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6B8B4" w14:textId="77777777" w:rsidR="0097573A" w:rsidRDefault="0097573A"/>
    <w:tbl>
      <w:tblPr>
        <w:tblpPr w:leftFromText="180" w:rightFromText="180" w:vertAnchor="text" w:horzAnchor="page" w:tblpX="571" w:tblpY="31"/>
        <w:tblW w:w="138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698"/>
        <w:gridCol w:w="1530"/>
        <w:gridCol w:w="1890"/>
        <w:gridCol w:w="1980"/>
        <w:gridCol w:w="1890"/>
        <w:gridCol w:w="1890"/>
      </w:tblGrid>
      <w:tr w:rsidR="00C548E3" w:rsidRPr="00C548E3" w14:paraId="440A545A" w14:textId="77777777" w:rsidTr="007A4B74">
        <w:tc>
          <w:tcPr>
            <w:tcW w:w="13878" w:type="dxa"/>
            <w:gridSpan w:val="6"/>
            <w:tcBorders>
              <w:top w:val="single" w:sz="4" w:space="0" w:color="auto"/>
              <w:left w:val="single" w:sz="4" w:space="0" w:color="auto"/>
              <w:bottom w:val="single" w:sz="4" w:space="0" w:color="auto"/>
              <w:right w:val="single" w:sz="4" w:space="0" w:color="auto"/>
            </w:tcBorders>
          </w:tcPr>
          <w:p w14:paraId="69FDAE08" w14:textId="7F0C1F50" w:rsidR="00C548E3" w:rsidRPr="00C548E3" w:rsidRDefault="00C548E3" w:rsidP="00C548E3">
            <w:pPr>
              <w:ind w:right="-108"/>
            </w:pPr>
            <w:r>
              <w:t xml:space="preserve">Supplemental Table </w:t>
            </w:r>
            <w:r w:rsidRPr="00C548E3">
              <w:t>A. Prevalence and adjusted odds of heroin use over 17 years as a function of medical use and nonmedical misuse history of prescription opioids during adolescence</w:t>
            </w:r>
          </w:p>
        </w:tc>
      </w:tr>
      <w:tr w:rsidR="00C548E3" w:rsidRPr="00C548E3" w14:paraId="7A01F5C0" w14:textId="77777777" w:rsidTr="007A4B74">
        <w:tc>
          <w:tcPr>
            <w:tcW w:w="4698" w:type="dxa"/>
            <w:tcBorders>
              <w:top w:val="single" w:sz="4" w:space="0" w:color="auto"/>
              <w:left w:val="single" w:sz="4" w:space="0" w:color="auto"/>
              <w:bottom w:val="single" w:sz="4" w:space="0" w:color="auto"/>
              <w:right w:val="single" w:sz="4" w:space="0" w:color="auto"/>
            </w:tcBorders>
          </w:tcPr>
          <w:p w14:paraId="5B52ECAA" w14:textId="77777777" w:rsidR="00C548E3" w:rsidRPr="00C548E3" w:rsidRDefault="00C548E3" w:rsidP="00C548E3">
            <w:pPr>
              <w:ind w:right="-108"/>
            </w:pPr>
          </w:p>
          <w:p w14:paraId="174E2C26" w14:textId="77777777" w:rsidR="00C548E3" w:rsidRPr="00C548E3" w:rsidRDefault="00C548E3" w:rsidP="00C548E3">
            <w:pPr>
              <w:ind w:right="-108"/>
            </w:pPr>
          </w:p>
          <w:p w14:paraId="2D0060FB" w14:textId="77777777" w:rsidR="00C548E3" w:rsidRPr="00C548E3" w:rsidRDefault="00C548E3" w:rsidP="00C548E3">
            <w:pPr>
              <w:ind w:right="-108"/>
            </w:pPr>
          </w:p>
          <w:p w14:paraId="02955959" w14:textId="77777777" w:rsidR="00C548E3" w:rsidRPr="00C548E3" w:rsidRDefault="00C548E3" w:rsidP="00C548E3">
            <w:pPr>
              <w:ind w:right="-108"/>
            </w:pPr>
            <w:r w:rsidRPr="00C548E3">
              <w:t>Baseline opioid exposure (modal age 18)</w:t>
            </w:r>
          </w:p>
        </w:tc>
        <w:tc>
          <w:tcPr>
            <w:tcW w:w="1530" w:type="dxa"/>
            <w:tcBorders>
              <w:top w:val="single" w:sz="4" w:space="0" w:color="auto"/>
              <w:left w:val="single" w:sz="4" w:space="0" w:color="auto"/>
              <w:bottom w:val="single" w:sz="4" w:space="0" w:color="auto"/>
              <w:right w:val="single" w:sz="4" w:space="0" w:color="auto"/>
            </w:tcBorders>
          </w:tcPr>
          <w:p w14:paraId="36916ED8" w14:textId="77777777" w:rsidR="00C548E3" w:rsidRPr="00C548E3" w:rsidRDefault="00C548E3" w:rsidP="00C548E3">
            <w:pPr>
              <w:ind w:right="-108"/>
              <w:jc w:val="center"/>
            </w:pPr>
          </w:p>
          <w:p w14:paraId="04562134" w14:textId="77777777" w:rsidR="00C548E3" w:rsidRPr="00C548E3" w:rsidRDefault="00C548E3" w:rsidP="00C548E3">
            <w:pPr>
              <w:ind w:right="-108"/>
              <w:jc w:val="center"/>
            </w:pPr>
            <w:r w:rsidRPr="00C548E3">
              <w:t xml:space="preserve">Heroin use </w:t>
            </w:r>
          </w:p>
          <w:p w14:paraId="77446C01" w14:textId="77777777" w:rsidR="00C548E3" w:rsidRPr="00C548E3" w:rsidRDefault="00C548E3" w:rsidP="00C548E3">
            <w:pPr>
              <w:ind w:right="-108"/>
              <w:jc w:val="center"/>
            </w:pPr>
            <w:r w:rsidRPr="00C548E3">
              <w:t>ages 19 to 35</w:t>
            </w:r>
          </w:p>
          <w:p w14:paraId="16F05156" w14:textId="77777777" w:rsidR="00C548E3" w:rsidRPr="00C548E3" w:rsidRDefault="00C548E3" w:rsidP="00C548E3">
            <w:pPr>
              <w:ind w:right="-108"/>
              <w:jc w:val="center"/>
            </w:pPr>
            <w:r w:rsidRPr="00C548E3">
              <w:t>%</w:t>
            </w:r>
          </w:p>
        </w:tc>
        <w:tc>
          <w:tcPr>
            <w:tcW w:w="1890" w:type="dxa"/>
            <w:tcBorders>
              <w:top w:val="single" w:sz="4" w:space="0" w:color="auto"/>
              <w:left w:val="single" w:sz="4" w:space="0" w:color="auto"/>
              <w:bottom w:val="single" w:sz="4" w:space="0" w:color="auto"/>
              <w:right w:val="single" w:sz="4" w:space="0" w:color="auto"/>
            </w:tcBorders>
          </w:tcPr>
          <w:p w14:paraId="1C6D042C" w14:textId="77777777" w:rsidR="00C548E3" w:rsidRPr="00C548E3" w:rsidRDefault="00C548E3" w:rsidP="00C548E3">
            <w:pPr>
              <w:ind w:right="-108"/>
              <w:jc w:val="center"/>
            </w:pPr>
          </w:p>
          <w:p w14:paraId="1D45BABE" w14:textId="77777777" w:rsidR="00C548E3" w:rsidRPr="00C548E3" w:rsidRDefault="00C548E3" w:rsidP="00C548E3">
            <w:pPr>
              <w:ind w:right="-108"/>
              <w:jc w:val="center"/>
            </w:pPr>
            <w:r w:rsidRPr="00C548E3">
              <w:t xml:space="preserve">Heroin use </w:t>
            </w:r>
          </w:p>
          <w:p w14:paraId="1719CBB0" w14:textId="77777777" w:rsidR="00C548E3" w:rsidRPr="00C548E3" w:rsidRDefault="00C548E3" w:rsidP="00C548E3">
            <w:pPr>
              <w:ind w:right="-108"/>
              <w:jc w:val="center"/>
            </w:pPr>
            <w:r w:rsidRPr="00C548E3">
              <w:t>ages 19 to 35</w:t>
            </w:r>
          </w:p>
          <w:p w14:paraId="53A7EF69" w14:textId="77777777" w:rsidR="00C548E3" w:rsidRPr="00C548E3" w:rsidRDefault="00C548E3" w:rsidP="00C548E3">
            <w:pPr>
              <w:ind w:right="-108"/>
              <w:jc w:val="center"/>
            </w:pPr>
            <w:r w:rsidRPr="00C548E3">
              <w:t>AOR (95% CI)</w:t>
            </w:r>
            <w:r w:rsidRPr="00C548E3">
              <w:rPr>
                <w:vertAlign w:val="superscript"/>
              </w:rPr>
              <w:t>a</w:t>
            </w:r>
          </w:p>
        </w:tc>
        <w:tc>
          <w:tcPr>
            <w:tcW w:w="1980" w:type="dxa"/>
            <w:tcBorders>
              <w:top w:val="single" w:sz="4" w:space="0" w:color="auto"/>
              <w:left w:val="single" w:sz="4" w:space="0" w:color="auto"/>
              <w:bottom w:val="single" w:sz="4" w:space="0" w:color="auto"/>
              <w:right w:val="single" w:sz="4" w:space="0" w:color="auto"/>
            </w:tcBorders>
          </w:tcPr>
          <w:p w14:paraId="6C986C21" w14:textId="77777777" w:rsidR="00C548E3" w:rsidRPr="00C548E3" w:rsidRDefault="00C548E3" w:rsidP="00C548E3">
            <w:pPr>
              <w:ind w:right="-108"/>
              <w:jc w:val="center"/>
            </w:pPr>
          </w:p>
          <w:p w14:paraId="2E7917CA" w14:textId="77777777" w:rsidR="00C548E3" w:rsidRPr="00C548E3" w:rsidRDefault="00C548E3" w:rsidP="00C548E3">
            <w:pPr>
              <w:ind w:right="-108"/>
              <w:jc w:val="center"/>
            </w:pPr>
            <w:r w:rsidRPr="00C548E3">
              <w:t xml:space="preserve">Heroin use </w:t>
            </w:r>
          </w:p>
          <w:p w14:paraId="76926623" w14:textId="77777777" w:rsidR="00C548E3" w:rsidRPr="00C548E3" w:rsidRDefault="00C548E3" w:rsidP="00C548E3">
            <w:pPr>
              <w:ind w:right="-108"/>
              <w:jc w:val="center"/>
            </w:pPr>
            <w:r w:rsidRPr="00C548E3">
              <w:t>ages 19 to 35</w:t>
            </w:r>
          </w:p>
          <w:p w14:paraId="69655109" w14:textId="77777777" w:rsidR="00C548E3" w:rsidRPr="00C548E3" w:rsidRDefault="00C548E3" w:rsidP="00C548E3">
            <w:pPr>
              <w:ind w:right="-108"/>
              <w:jc w:val="center"/>
            </w:pPr>
            <w:r w:rsidRPr="00C548E3">
              <w:t>AOR (95% CI)</w:t>
            </w:r>
            <w:r w:rsidRPr="00C548E3">
              <w:rPr>
                <w:vertAlign w:val="superscript"/>
              </w:rPr>
              <w:t>a</w:t>
            </w:r>
          </w:p>
        </w:tc>
        <w:tc>
          <w:tcPr>
            <w:tcW w:w="1890" w:type="dxa"/>
            <w:tcBorders>
              <w:top w:val="single" w:sz="4" w:space="0" w:color="auto"/>
              <w:left w:val="single" w:sz="4" w:space="0" w:color="auto"/>
              <w:bottom w:val="single" w:sz="4" w:space="0" w:color="auto"/>
              <w:right w:val="single" w:sz="4" w:space="0" w:color="auto"/>
            </w:tcBorders>
          </w:tcPr>
          <w:p w14:paraId="6EE2BE14" w14:textId="77777777" w:rsidR="00C548E3" w:rsidRPr="00C548E3" w:rsidRDefault="00C548E3" w:rsidP="00C548E3">
            <w:pPr>
              <w:ind w:right="-108"/>
              <w:jc w:val="center"/>
            </w:pPr>
          </w:p>
          <w:p w14:paraId="0BA2F01E" w14:textId="77777777" w:rsidR="00C548E3" w:rsidRPr="00C548E3" w:rsidRDefault="00C548E3" w:rsidP="00C548E3">
            <w:pPr>
              <w:ind w:right="-108"/>
              <w:jc w:val="center"/>
            </w:pPr>
            <w:r w:rsidRPr="00C548E3">
              <w:t xml:space="preserve">Heroin use </w:t>
            </w:r>
          </w:p>
          <w:p w14:paraId="04E26347" w14:textId="77777777" w:rsidR="00C548E3" w:rsidRPr="00C548E3" w:rsidRDefault="00C548E3" w:rsidP="00C548E3">
            <w:pPr>
              <w:ind w:right="-108"/>
              <w:jc w:val="center"/>
            </w:pPr>
            <w:r w:rsidRPr="00C548E3">
              <w:t>ages 19 to 35</w:t>
            </w:r>
          </w:p>
          <w:p w14:paraId="7C074CFE" w14:textId="77777777" w:rsidR="00C548E3" w:rsidRPr="00C548E3" w:rsidRDefault="00C548E3" w:rsidP="00C548E3">
            <w:pPr>
              <w:ind w:right="-108"/>
              <w:jc w:val="center"/>
            </w:pPr>
            <w:r w:rsidRPr="00C548E3">
              <w:t>AOR (95% CI)</w:t>
            </w:r>
            <w:r w:rsidRPr="00C548E3">
              <w:rPr>
                <w:vertAlign w:val="superscript"/>
              </w:rPr>
              <w:t>a</w:t>
            </w:r>
          </w:p>
        </w:tc>
        <w:tc>
          <w:tcPr>
            <w:tcW w:w="1890" w:type="dxa"/>
            <w:tcBorders>
              <w:top w:val="single" w:sz="4" w:space="0" w:color="auto"/>
              <w:left w:val="single" w:sz="4" w:space="0" w:color="auto"/>
              <w:bottom w:val="single" w:sz="4" w:space="0" w:color="auto"/>
              <w:right w:val="single" w:sz="4" w:space="0" w:color="auto"/>
            </w:tcBorders>
          </w:tcPr>
          <w:p w14:paraId="3F21A0F0" w14:textId="77777777" w:rsidR="00C548E3" w:rsidRPr="00C548E3" w:rsidRDefault="00C548E3" w:rsidP="00C548E3">
            <w:pPr>
              <w:ind w:right="-108"/>
              <w:jc w:val="center"/>
            </w:pPr>
          </w:p>
          <w:p w14:paraId="0827E9FD" w14:textId="77777777" w:rsidR="00C548E3" w:rsidRPr="00C548E3" w:rsidRDefault="00C548E3" w:rsidP="00C548E3">
            <w:pPr>
              <w:ind w:right="-108"/>
              <w:jc w:val="center"/>
            </w:pPr>
            <w:r w:rsidRPr="00C548E3">
              <w:t xml:space="preserve">Heroin use </w:t>
            </w:r>
          </w:p>
          <w:p w14:paraId="7E48375E" w14:textId="77777777" w:rsidR="00C548E3" w:rsidRPr="00C548E3" w:rsidRDefault="00C548E3" w:rsidP="00C548E3">
            <w:pPr>
              <w:ind w:right="-108"/>
              <w:jc w:val="center"/>
            </w:pPr>
            <w:r w:rsidRPr="00C548E3">
              <w:t>ages 19 to 35</w:t>
            </w:r>
          </w:p>
          <w:p w14:paraId="338114A6" w14:textId="77777777" w:rsidR="00C548E3" w:rsidRPr="00C548E3" w:rsidRDefault="00C548E3" w:rsidP="00C548E3">
            <w:pPr>
              <w:ind w:right="-108"/>
              <w:jc w:val="center"/>
            </w:pPr>
            <w:r w:rsidRPr="00C548E3">
              <w:t>AOR (95% CI)</w:t>
            </w:r>
            <w:r w:rsidRPr="00C548E3">
              <w:rPr>
                <w:vertAlign w:val="superscript"/>
              </w:rPr>
              <w:t>a</w:t>
            </w:r>
          </w:p>
        </w:tc>
      </w:tr>
      <w:tr w:rsidR="00C548E3" w:rsidRPr="00C548E3" w14:paraId="56918D51" w14:textId="77777777" w:rsidTr="007A4B74">
        <w:trPr>
          <w:trHeight w:val="1088"/>
        </w:trPr>
        <w:tc>
          <w:tcPr>
            <w:tcW w:w="4698" w:type="dxa"/>
            <w:tcBorders>
              <w:top w:val="single" w:sz="4" w:space="0" w:color="auto"/>
              <w:left w:val="single" w:sz="4" w:space="0" w:color="auto"/>
              <w:bottom w:val="single" w:sz="4" w:space="0" w:color="auto"/>
              <w:right w:val="single" w:sz="4" w:space="0" w:color="auto"/>
            </w:tcBorders>
          </w:tcPr>
          <w:p w14:paraId="383DB199" w14:textId="77777777" w:rsidR="00C548E3" w:rsidRPr="00C548E3" w:rsidRDefault="00C548E3" w:rsidP="00C548E3">
            <w:pPr>
              <w:ind w:right="-108"/>
              <w:rPr>
                <w:u w:val="single"/>
              </w:rPr>
            </w:pPr>
            <w:r w:rsidRPr="00C548E3">
              <w:rPr>
                <w:u w:val="single"/>
              </w:rPr>
              <w:t>Lifetime medical use/nonmedical misuse</w:t>
            </w:r>
          </w:p>
          <w:p w14:paraId="31D31552" w14:textId="77777777" w:rsidR="00C548E3" w:rsidRPr="00C548E3" w:rsidRDefault="00C548E3" w:rsidP="00C548E3">
            <w:pPr>
              <w:ind w:right="-108"/>
            </w:pPr>
            <w:r w:rsidRPr="00C548E3">
              <w:t>No medical or nonmedical use (n = 6,444)</w:t>
            </w:r>
            <w:r w:rsidRPr="00C548E3">
              <w:rPr>
                <w:vertAlign w:val="superscript"/>
              </w:rPr>
              <w:t>b</w:t>
            </w:r>
          </w:p>
          <w:p w14:paraId="09E5C35C" w14:textId="77777777" w:rsidR="00C548E3" w:rsidRPr="00C548E3" w:rsidRDefault="00C548E3" w:rsidP="00C548E3">
            <w:pPr>
              <w:ind w:right="-108"/>
            </w:pPr>
            <w:r w:rsidRPr="00C548E3">
              <w:t>Medical use only (n = 992)</w:t>
            </w:r>
            <w:r w:rsidRPr="00C548E3">
              <w:rPr>
                <w:vertAlign w:val="superscript"/>
              </w:rPr>
              <w:t>b</w:t>
            </w:r>
            <w:r w:rsidRPr="00C548E3">
              <w:t xml:space="preserve"> </w:t>
            </w:r>
          </w:p>
          <w:p w14:paraId="4E84485C" w14:textId="77777777" w:rsidR="00C548E3" w:rsidRPr="00C548E3" w:rsidRDefault="00C548E3" w:rsidP="00C548E3">
            <w:pPr>
              <w:ind w:right="-108"/>
            </w:pPr>
            <w:r w:rsidRPr="00C548E3">
              <w:t>Medical use followed by nonmedical use (n = 408)</w:t>
            </w:r>
            <w:r w:rsidRPr="00C548E3">
              <w:rPr>
                <w:vertAlign w:val="superscript"/>
              </w:rPr>
              <w:t>b</w:t>
            </w:r>
          </w:p>
          <w:p w14:paraId="43D8C425" w14:textId="77777777" w:rsidR="00C548E3" w:rsidRPr="00C548E3" w:rsidRDefault="00C548E3" w:rsidP="00C548E3">
            <w:pPr>
              <w:ind w:right="-108"/>
            </w:pPr>
            <w:r w:rsidRPr="00C548E3">
              <w:t>Nonmedical misuse followed by medical use (n = 197)</w:t>
            </w:r>
            <w:r w:rsidRPr="00C548E3">
              <w:rPr>
                <w:vertAlign w:val="superscript"/>
              </w:rPr>
              <w:t>b</w:t>
            </w:r>
          </w:p>
          <w:p w14:paraId="6DE9874C" w14:textId="77777777" w:rsidR="00C548E3" w:rsidRPr="00C548E3" w:rsidRDefault="00C548E3" w:rsidP="00C548E3">
            <w:pPr>
              <w:ind w:right="-108"/>
            </w:pPr>
            <w:r w:rsidRPr="00C548E3">
              <w:t>Nonmedical use only (n = 408)</w:t>
            </w:r>
            <w:r w:rsidRPr="00C548E3">
              <w:rPr>
                <w:vertAlign w:val="superscript"/>
              </w:rPr>
              <w:t>b</w:t>
            </w:r>
          </w:p>
        </w:tc>
        <w:tc>
          <w:tcPr>
            <w:tcW w:w="1530" w:type="dxa"/>
            <w:tcBorders>
              <w:top w:val="single" w:sz="4" w:space="0" w:color="auto"/>
              <w:left w:val="single" w:sz="4" w:space="0" w:color="auto"/>
              <w:bottom w:val="single" w:sz="4" w:space="0" w:color="auto"/>
              <w:right w:val="single" w:sz="4" w:space="0" w:color="auto"/>
            </w:tcBorders>
          </w:tcPr>
          <w:p w14:paraId="32F84FDE" w14:textId="77777777" w:rsidR="00C548E3" w:rsidRPr="00C548E3" w:rsidRDefault="00C548E3" w:rsidP="00C548E3">
            <w:pPr>
              <w:jc w:val="center"/>
            </w:pPr>
          </w:p>
          <w:p w14:paraId="7B1CC8CB" w14:textId="77777777" w:rsidR="00C548E3" w:rsidRPr="00C548E3" w:rsidRDefault="00C548E3" w:rsidP="00C548E3">
            <w:pPr>
              <w:jc w:val="center"/>
            </w:pPr>
            <w:r w:rsidRPr="00C548E3">
              <w:t>2.1%</w:t>
            </w:r>
          </w:p>
          <w:p w14:paraId="1A500916" w14:textId="77777777" w:rsidR="00C548E3" w:rsidRPr="00C548E3" w:rsidRDefault="00C548E3" w:rsidP="00C548E3">
            <w:pPr>
              <w:jc w:val="center"/>
            </w:pPr>
            <w:r w:rsidRPr="00C548E3">
              <w:t>3.7%</w:t>
            </w:r>
          </w:p>
          <w:p w14:paraId="0B7955DB" w14:textId="77777777" w:rsidR="00C548E3" w:rsidRPr="00C548E3" w:rsidRDefault="00C548E3" w:rsidP="00C548E3">
            <w:pPr>
              <w:jc w:val="center"/>
            </w:pPr>
            <w:r w:rsidRPr="00C548E3">
              <w:t>5.5%</w:t>
            </w:r>
          </w:p>
          <w:p w14:paraId="48DF6343" w14:textId="77777777" w:rsidR="00C548E3" w:rsidRPr="00C548E3" w:rsidRDefault="00C548E3" w:rsidP="00C548E3">
            <w:pPr>
              <w:jc w:val="center"/>
            </w:pPr>
            <w:r w:rsidRPr="00C548E3">
              <w:t>15.1%</w:t>
            </w:r>
          </w:p>
          <w:p w14:paraId="3CEFDDBA" w14:textId="77777777" w:rsidR="00C548E3" w:rsidRPr="00C548E3" w:rsidRDefault="00C548E3" w:rsidP="00C548E3">
            <w:pPr>
              <w:jc w:val="center"/>
            </w:pPr>
            <w:r w:rsidRPr="00C548E3">
              <w:t>16.4%</w:t>
            </w:r>
          </w:p>
          <w:p w14:paraId="591A00FC" w14:textId="77777777" w:rsidR="00C548E3" w:rsidRPr="00C548E3" w:rsidRDefault="00C548E3" w:rsidP="00C548E3">
            <w:pPr>
              <w:jc w:val="center"/>
            </w:pPr>
            <w:r w:rsidRPr="00C548E3">
              <w:rPr>
                <w:vertAlign w:val="superscript"/>
              </w:rPr>
              <w:t>b</w:t>
            </w:r>
            <w:r w:rsidRPr="00C548E3">
              <w:t>(n = 8449)</w:t>
            </w:r>
          </w:p>
        </w:tc>
        <w:tc>
          <w:tcPr>
            <w:tcW w:w="1890" w:type="dxa"/>
            <w:tcBorders>
              <w:top w:val="single" w:sz="4" w:space="0" w:color="auto"/>
              <w:left w:val="single" w:sz="4" w:space="0" w:color="auto"/>
              <w:bottom w:val="single" w:sz="4" w:space="0" w:color="auto"/>
              <w:right w:val="single" w:sz="4" w:space="0" w:color="auto"/>
            </w:tcBorders>
          </w:tcPr>
          <w:p w14:paraId="55A4AA46" w14:textId="77777777" w:rsidR="00C548E3" w:rsidRPr="00C548E3" w:rsidRDefault="00C548E3" w:rsidP="00C548E3">
            <w:pPr>
              <w:jc w:val="center"/>
            </w:pPr>
          </w:p>
          <w:p w14:paraId="29251A65" w14:textId="77777777" w:rsidR="00C548E3" w:rsidRPr="00C548E3" w:rsidRDefault="00C548E3" w:rsidP="00C548E3">
            <w:pPr>
              <w:jc w:val="center"/>
            </w:pPr>
            <w:r w:rsidRPr="00C548E3">
              <w:t>Reference</w:t>
            </w:r>
          </w:p>
          <w:p w14:paraId="0F725BCD" w14:textId="77777777" w:rsidR="00C548E3" w:rsidRPr="00C548E3" w:rsidRDefault="00C548E3" w:rsidP="00C548E3">
            <w:pPr>
              <w:jc w:val="center"/>
            </w:pPr>
            <w:r w:rsidRPr="00C548E3">
              <w:t>1.65 (1.06, 2.57)*</w:t>
            </w:r>
          </w:p>
          <w:p w14:paraId="31388969" w14:textId="77777777" w:rsidR="00C548E3" w:rsidRPr="00C548E3" w:rsidRDefault="00C548E3" w:rsidP="00C548E3">
            <w:pPr>
              <w:jc w:val="center"/>
            </w:pPr>
            <w:r w:rsidRPr="00C548E3">
              <w:t>1.93 (1.05, 3.55)*</w:t>
            </w:r>
          </w:p>
          <w:p w14:paraId="60FC54FD" w14:textId="77777777" w:rsidR="00C548E3" w:rsidRPr="00C548E3" w:rsidRDefault="00C548E3" w:rsidP="00C548E3">
            <w:pPr>
              <w:jc w:val="center"/>
            </w:pPr>
            <w:r w:rsidRPr="00C548E3">
              <w:t>4.30 (2.41, 7.67)***</w:t>
            </w:r>
          </w:p>
          <w:p w14:paraId="4B555190" w14:textId="77777777" w:rsidR="00C548E3" w:rsidRPr="00C548E3" w:rsidRDefault="00C548E3" w:rsidP="00C548E3">
            <w:pPr>
              <w:jc w:val="center"/>
            </w:pPr>
            <w:r w:rsidRPr="00C548E3">
              <w:t>5.52 (3.67, 8.29)***</w:t>
            </w:r>
          </w:p>
          <w:p w14:paraId="2326F17B" w14:textId="77777777" w:rsidR="00C548E3" w:rsidRPr="00C548E3" w:rsidRDefault="00C548E3" w:rsidP="00C548E3">
            <w:pPr>
              <w:jc w:val="center"/>
            </w:pPr>
            <w:r w:rsidRPr="00C548E3">
              <w:rPr>
                <w:vertAlign w:val="superscript"/>
              </w:rPr>
              <w:t>c</w:t>
            </w:r>
            <w:r w:rsidRPr="00C548E3">
              <w:t>(n = 8143)</w:t>
            </w:r>
          </w:p>
        </w:tc>
        <w:tc>
          <w:tcPr>
            <w:tcW w:w="1980" w:type="dxa"/>
            <w:tcBorders>
              <w:top w:val="single" w:sz="4" w:space="0" w:color="auto"/>
              <w:left w:val="single" w:sz="4" w:space="0" w:color="auto"/>
              <w:bottom w:val="single" w:sz="4" w:space="0" w:color="auto"/>
              <w:right w:val="single" w:sz="4" w:space="0" w:color="auto"/>
            </w:tcBorders>
          </w:tcPr>
          <w:p w14:paraId="280AD24D" w14:textId="77777777" w:rsidR="00C548E3" w:rsidRPr="00C548E3" w:rsidRDefault="00C548E3" w:rsidP="00C548E3">
            <w:pPr>
              <w:jc w:val="center"/>
            </w:pPr>
          </w:p>
          <w:p w14:paraId="4232ACEA" w14:textId="77777777" w:rsidR="00C548E3" w:rsidRPr="00C548E3" w:rsidRDefault="00C548E3" w:rsidP="00C548E3">
            <w:pPr>
              <w:jc w:val="center"/>
            </w:pPr>
            <w:r w:rsidRPr="00C548E3">
              <w:t>0.60 (0.38, 0.93)*</w:t>
            </w:r>
          </w:p>
          <w:p w14:paraId="2D2057CA" w14:textId="77777777" w:rsidR="00C548E3" w:rsidRPr="00C548E3" w:rsidRDefault="00C548E3" w:rsidP="00C548E3">
            <w:pPr>
              <w:jc w:val="center"/>
            </w:pPr>
            <w:r w:rsidRPr="00C548E3">
              <w:t>Reference</w:t>
            </w:r>
          </w:p>
          <w:p w14:paraId="4CD49E7F" w14:textId="77777777" w:rsidR="00C548E3" w:rsidRPr="00C548E3" w:rsidRDefault="00C548E3" w:rsidP="00C548E3">
            <w:pPr>
              <w:jc w:val="center"/>
            </w:pPr>
            <w:r w:rsidRPr="00C548E3">
              <w:t>1.17 (0.59, 2.31)</w:t>
            </w:r>
          </w:p>
          <w:p w14:paraId="13D15E3C" w14:textId="77777777" w:rsidR="00C548E3" w:rsidRPr="00C548E3" w:rsidRDefault="00C548E3" w:rsidP="00C548E3">
            <w:pPr>
              <w:jc w:val="center"/>
            </w:pPr>
            <w:r w:rsidRPr="00C548E3">
              <w:t>2.59 (1.33, 5.04)**</w:t>
            </w:r>
          </w:p>
          <w:p w14:paraId="6218CD15" w14:textId="77777777" w:rsidR="00C548E3" w:rsidRPr="00C548E3" w:rsidRDefault="00C548E3" w:rsidP="00C548E3">
            <w:pPr>
              <w:jc w:val="center"/>
            </w:pPr>
            <w:r w:rsidRPr="00C548E3">
              <w:t>3.33 (1.96, 5.66)***</w:t>
            </w:r>
          </w:p>
          <w:p w14:paraId="6C807BB0" w14:textId="77777777" w:rsidR="00C548E3" w:rsidRPr="00C548E3" w:rsidRDefault="00C548E3" w:rsidP="00C548E3">
            <w:pPr>
              <w:jc w:val="center"/>
            </w:pPr>
            <w:r w:rsidRPr="00C548E3">
              <w:rPr>
                <w:vertAlign w:val="superscript"/>
              </w:rPr>
              <w:t>c</w:t>
            </w:r>
            <w:r w:rsidRPr="00C548E3">
              <w:t>(n = 8143)</w:t>
            </w:r>
          </w:p>
        </w:tc>
        <w:tc>
          <w:tcPr>
            <w:tcW w:w="1890" w:type="dxa"/>
            <w:tcBorders>
              <w:top w:val="single" w:sz="4" w:space="0" w:color="auto"/>
              <w:left w:val="single" w:sz="4" w:space="0" w:color="auto"/>
              <w:bottom w:val="single" w:sz="4" w:space="0" w:color="auto"/>
              <w:right w:val="single" w:sz="4" w:space="0" w:color="auto"/>
            </w:tcBorders>
          </w:tcPr>
          <w:p w14:paraId="1815FFB5" w14:textId="77777777" w:rsidR="00C548E3" w:rsidRPr="00C548E3" w:rsidRDefault="00C548E3" w:rsidP="00C548E3">
            <w:pPr>
              <w:jc w:val="center"/>
            </w:pPr>
          </w:p>
          <w:p w14:paraId="1EFF8478" w14:textId="77777777" w:rsidR="00C548E3" w:rsidRPr="00C548E3" w:rsidRDefault="00C548E3" w:rsidP="00C548E3">
            <w:pPr>
              <w:jc w:val="center"/>
            </w:pPr>
            <w:r w:rsidRPr="00C548E3">
              <w:t>0.52 (0.28, 0.95)*</w:t>
            </w:r>
          </w:p>
          <w:p w14:paraId="4B89AE88" w14:textId="77777777" w:rsidR="00C548E3" w:rsidRPr="00C548E3" w:rsidRDefault="00C548E3" w:rsidP="00C548E3">
            <w:pPr>
              <w:jc w:val="center"/>
            </w:pPr>
            <w:r w:rsidRPr="00C548E3">
              <w:t>0.85 (0.43, 1.69)</w:t>
            </w:r>
          </w:p>
          <w:p w14:paraId="7BF9876C" w14:textId="77777777" w:rsidR="00C548E3" w:rsidRPr="00C548E3" w:rsidRDefault="00C548E3" w:rsidP="00C548E3">
            <w:pPr>
              <w:jc w:val="center"/>
            </w:pPr>
            <w:r w:rsidRPr="00C548E3">
              <w:t>Reference</w:t>
            </w:r>
          </w:p>
          <w:p w14:paraId="2ECD2948" w14:textId="77777777" w:rsidR="00C548E3" w:rsidRPr="00C548E3" w:rsidRDefault="00C548E3" w:rsidP="00C548E3">
            <w:pPr>
              <w:jc w:val="center"/>
            </w:pPr>
            <w:r w:rsidRPr="00C548E3">
              <w:t>2.21 (1.00, 4.91)*</w:t>
            </w:r>
          </w:p>
          <w:p w14:paraId="0FB56A21" w14:textId="77777777" w:rsidR="00C548E3" w:rsidRPr="00C548E3" w:rsidRDefault="00C548E3" w:rsidP="00C548E3">
            <w:pPr>
              <w:jc w:val="center"/>
            </w:pPr>
            <w:r w:rsidRPr="00C548E3">
              <w:t>2.84 (1.47, 5.52)**</w:t>
            </w:r>
          </w:p>
          <w:p w14:paraId="3DB52597" w14:textId="77777777" w:rsidR="00C548E3" w:rsidRPr="00C548E3" w:rsidRDefault="00C548E3" w:rsidP="00C548E3">
            <w:pPr>
              <w:jc w:val="center"/>
            </w:pPr>
            <w:r w:rsidRPr="00C548E3">
              <w:rPr>
                <w:vertAlign w:val="superscript"/>
              </w:rPr>
              <w:t>c</w:t>
            </w:r>
            <w:r w:rsidRPr="00C548E3">
              <w:t>(n = 8143)</w:t>
            </w:r>
          </w:p>
        </w:tc>
        <w:tc>
          <w:tcPr>
            <w:tcW w:w="1890" w:type="dxa"/>
            <w:tcBorders>
              <w:top w:val="single" w:sz="4" w:space="0" w:color="auto"/>
              <w:left w:val="single" w:sz="4" w:space="0" w:color="auto"/>
              <w:bottom w:val="single" w:sz="4" w:space="0" w:color="auto"/>
              <w:right w:val="single" w:sz="4" w:space="0" w:color="auto"/>
            </w:tcBorders>
          </w:tcPr>
          <w:p w14:paraId="696FF522" w14:textId="77777777" w:rsidR="00C548E3" w:rsidRPr="00C548E3" w:rsidRDefault="00C548E3" w:rsidP="00C548E3">
            <w:pPr>
              <w:jc w:val="center"/>
            </w:pPr>
          </w:p>
          <w:p w14:paraId="071C0D0B" w14:textId="77777777" w:rsidR="00C548E3" w:rsidRPr="00C548E3" w:rsidRDefault="00C548E3" w:rsidP="00C548E3">
            <w:pPr>
              <w:jc w:val="center"/>
            </w:pPr>
            <w:r w:rsidRPr="00C548E3">
              <w:t>0.23 (0.13, 0.41)***</w:t>
            </w:r>
          </w:p>
          <w:p w14:paraId="5A2D23DB" w14:textId="77777777" w:rsidR="00C548E3" w:rsidRPr="00C548E3" w:rsidRDefault="00C548E3" w:rsidP="00C548E3">
            <w:pPr>
              <w:jc w:val="center"/>
            </w:pPr>
            <w:r w:rsidRPr="00C548E3">
              <w:t>0.38 (0.19, 0.74)**</w:t>
            </w:r>
          </w:p>
          <w:p w14:paraId="10C55FA1" w14:textId="77777777" w:rsidR="00C548E3" w:rsidRPr="00C548E3" w:rsidRDefault="00C548E3" w:rsidP="00C548E3">
            <w:pPr>
              <w:jc w:val="center"/>
            </w:pPr>
            <w:r w:rsidRPr="00C548E3">
              <w:t>0.45 (0.20, 0.99)*</w:t>
            </w:r>
          </w:p>
          <w:p w14:paraId="7EF25982" w14:textId="77777777" w:rsidR="00C548E3" w:rsidRPr="00C548E3" w:rsidRDefault="00C548E3" w:rsidP="00C548E3">
            <w:pPr>
              <w:jc w:val="center"/>
            </w:pPr>
            <w:r w:rsidRPr="00C548E3">
              <w:t>Reference</w:t>
            </w:r>
          </w:p>
          <w:p w14:paraId="3260CF02" w14:textId="77777777" w:rsidR="00C548E3" w:rsidRPr="00C548E3" w:rsidRDefault="00C548E3" w:rsidP="00C548E3">
            <w:pPr>
              <w:jc w:val="center"/>
            </w:pPr>
            <w:r w:rsidRPr="00C548E3">
              <w:t>1.28 (0.50, 2.45)</w:t>
            </w:r>
          </w:p>
          <w:p w14:paraId="46F24017" w14:textId="77777777" w:rsidR="00C548E3" w:rsidRPr="00C548E3" w:rsidRDefault="00C548E3" w:rsidP="00C548E3">
            <w:pPr>
              <w:jc w:val="center"/>
            </w:pPr>
            <w:r w:rsidRPr="00C548E3">
              <w:rPr>
                <w:vertAlign w:val="superscript"/>
              </w:rPr>
              <w:t>c</w:t>
            </w:r>
            <w:r w:rsidRPr="00C548E3">
              <w:t>(n = 8143)</w:t>
            </w:r>
          </w:p>
        </w:tc>
      </w:tr>
      <w:tr w:rsidR="00C548E3" w:rsidRPr="00C548E3" w14:paraId="0F3C800E" w14:textId="77777777" w:rsidTr="007A4B74">
        <w:trPr>
          <w:trHeight w:val="1088"/>
        </w:trPr>
        <w:tc>
          <w:tcPr>
            <w:tcW w:w="13878" w:type="dxa"/>
            <w:gridSpan w:val="6"/>
            <w:tcBorders>
              <w:top w:val="single" w:sz="4" w:space="0" w:color="auto"/>
              <w:left w:val="single" w:sz="4" w:space="0" w:color="auto"/>
              <w:bottom w:val="single" w:sz="4" w:space="0" w:color="auto"/>
              <w:right w:val="single" w:sz="4" w:space="0" w:color="auto"/>
            </w:tcBorders>
          </w:tcPr>
          <w:p w14:paraId="28E749E6" w14:textId="77777777" w:rsidR="00C548E3" w:rsidRPr="00C548E3" w:rsidRDefault="00C548E3" w:rsidP="00C548E3">
            <w:pPr>
              <w:overflowPunct w:val="0"/>
              <w:autoSpaceDE w:val="0"/>
              <w:autoSpaceDN w:val="0"/>
              <w:adjustRightInd w:val="0"/>
              <w:textAlignment w:val="baseline"/>
              <w:rPr>
                <w:sz w:val="16"/>
                <w:szCs w:val="16"/>
                <w:vertAlign w:val="superscript"/>
              </w:rPr>
            </w:pPr>
            <w:r w:rsidRPr="00C548E3">
              <w:rPr>
                <w:sz w:val="16"/>
                <w:szCs w:val="16"/>
              </w:rPr>
              <w:t>p&lt;.05*, p&lt;.01**, p&lt;.001***</w:t>
            </w:r>
          </w:p>
          <w:p w14:paraId="4C0ABE7E" w14:textId="77777777" w:rsidR="00C548E3" w:rsidRPr="00C548E3" w:rsidRDefault="00C548E3" w:rsidP="00C548E3">
            <w:pPr>
              <w:overflowPunct w:val="0"/>
              <w:autoSpaceDE w:val="0"/>
              <w:autoSpaceDN w:val="0"/>
              <w:adjustRightInd w:val="0"/>
              <w:textAlignment w:val="baseline"/>
              <w:rPr>
                <w:sz w:val="16"/>
                <w:szCs w:val="16"/>
              </w:rPr>
            </w:pPr>
            <w:r w:rsidRPr="00C548E3">
              <w:rPr>
                <w:sz w:val="16"/>
                <w:szCs w:val="16"/>
                <w:vertAlign w:val="superscript"/>
              </w:rPr>
              <w:t>a</w:t>
            </w:r>
            <w:r w:rsidRPr="00C548E3">
              <w:rPr>
                <w:sz w:val="16"/>
                <w:szCs w:val="16"/>
              </w:rPr>
              <w:t>All analyses control for race/ethnicity (i.e., White, Black, Hispanic, Other race), sex (i.e., Male and Female), highest level of parental education, geographic region (i.e., Northeast, Northcentral, South and West), metropolitan statistical area (i.e., large MSA, other MSA, and non-MSA), and baseline cohort year, and baseline measures of past two week binge drinking, past 30 day marijuana use, and past 30 day cigarette use.</w:t>
            </w:r>
            <w:r w:rsidRPr="00C548E3">
              <w:rPr>
                <w:color w:val="000000"/>
                <w:sz w:val="16"/>
                <w:szCs w:val="16"/>
              </w:rPr>
              <w:t xml:space="preserve"> </w:t>
            </w:r>
          </w:p>
          <w:p w14:paraId="533ABB9E" w14:textId="77777777" w:rsidR="00C548E3" w:rsidRPr="00C548E3" w:rsidRDefault="00C548E3" w:rsidP="00C548E3">
            <w:pPr>
              <w:overflowPunct w:val="0"/>
              <w:autoSpaceDE w:val="0"/>
              <w:autoSpaceDN w:val="0"/>
              <w:adjustRightInd w:val="0"/>
              <w:textAlignment w:val="baseline"/>
              <w:rPr>
                <w:sz w:val="16"/>
                <w:szCs w:val="16"/>
              </w:rPr>
            </w:pPr>
            <w:r w:rsidRPr="00C548E3">
              <w:rPr>
                <w:sz w:val="16"/>
                <w:szCs w:val="16"/>
                <w:vertAlign w:val="superscript"/>
              </w:rPr>
              <w:t>b</w:t>
            </w:r>
            <w:r w:rsidRPr="00C548E3">
              <w:rPr>
                <w:sz w:val="16"/>
                <w:szCs w:val="16"/>
              </w:rPr>
              <w:t xml:space="preserve">Sample size drops based on attrition in the panel sample (sample sizes are unweighted). </w:t>
            </w:r>
            <w:r w:rsidRPr="00C548E3">
              <w:rPr>
                <w:sz w:val="16"/>
                <w:szCs w:val="16"/>
                <w:vertAlign w:val="superscript"/>
              </w:rPr>
              <w:t>c</w:t>
            </w:r>
            <w:r w:rsidRPr="00C548E3">
              <w:rPr>
                <w:sz w:val="16"/>
                <w:szCs w:val="16"/>
              </w:rPr>
              <w:t>Sample size drops due to attrition and missing data on control variables (sample sizes are unweighted).. Individuals who reported any lifetime heroin use at baseline (modal age 18) were excluded (n = 179). A random one-sixth of the overall panel sample received the questions regarding medical and nonmedical prescription opioid use.</w:t>
            </w:r>
            <w:r w:rsidRPr="00C548E3">
              <w:t xml:space="preserve"> </w:t>
            </w:r>
            <w:r w:rsidRPr="00C548E3">
              <w:rPr>
                <w:sz w:val="16"/>
                <w:szCs w:val="16"/>
              </w:rPr>
              <w:t>All percentages and adjusted odds ratios (AOR) use attrition weights at age 35.</w:t>
            </w:r>
          </w:p>
        </w:tc>
      </w:tr>
    </w:tbl>
    <w:p w14:paraId="1F0962E5" w14:textId="77777777" w:rsidR="00C548E3" w:rsidRPr="00C548E3" w:rsidRDefault="00C548E3" w:rsidP="00C548E3">
      <w:pPr>
        <w:tabs>
          <w:tab w:val="left" w:pos="9120"/>
        </w:tabs>
      </w:pPr>
    </w:p>
    <w:p w14:paraId="21F8A96F" w14:textId="77777777" w:rsidR="0097573A" w:rsidRDefault="0097573A"/>
    <w:tbl>
      <w:tblPr>
        <w:tblpPr w:leftFromText="180" w:rightFromText="180" w:vertAnchor="text" w:horzAnchor="margin" w:tblpY="-779"/>
        <w:tblW w:w="109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4698"/>
        <w:gridCol w:w="247"/>
        <w:gridCol w:w="1890"/>
        <w:gridCol w:w="2160"/>
        <w:gridCol w:w="1980"/>
      </w:tblGrid>
      <w:tr w:rsidR="00C548E3" w14:paraId="77FC186B" w14:textId="77777777" w:rsidTr="007A4B74">
        <w:tc>
          <w:tcPr>
            <w:tcW w:w="10975" w:type="dxa"/>
            <w:gridSpan w:val="5"/>
            <w:tcBorders>
              <w:top w:val="single" w:sz="4" w:space="0" w:color="auto"/>
              <w:left w:val="single" w:sz="4" w:space="0" w:color="auto"/>
              <w:bottom w:val="single" w:sz="4" w:space="0" w:color="auto"/>
              <w:right w:val="single" w:sz="4" w:space="0" w:color="auto"/>
            </w:tcBorders>
          </w:tcPr>
          <w:p w14:paraId="50E839BE" w14:textId="2008A738" w:rsidR="00C548E3" w:rsidRDefault="00C548E3" w:rsidP="007A4B74">
            <w:pPr>
              <w:ind w:right="-108"/>
            </w:pPr>
            <w:r>
              <w:lastRenderedPageBreak/>
              <w:t>Supplemental Table B</w:t>
            </w:r>
            <w:r w:rsidRPr="00F5459D">
              <w:t xml:space="preserve">. Prevalence </w:t>
            </w:r>
            <w:r>
              <w:t xml:space="preserve">and adjusted odds </w:t>
            </w:r>
            <w:r w:rsidRPr="00F5459D">
              <w:t xml:space="preserve">of heroin use </w:t>
            </w:r>
            <w:r>
              <w:t xml:space="preserve">over 17 years </w:t>
            </w:r>
            <w:r w:rsidRPr="00F5459D">
              <w:t>as a function of medical use</w:t>
            </w:r>
            <w:r>
              <w:t xml:space="preserve"> and nonmedical misuse</w:t>
            </w:r>
            <w:r w:rsidRPr="00F5459D">
              <w:t xml:space="preserve"> history of prescription opi</w:t>
            </w:r>
            <w:r>
              <w:t>oids during adolescence</w:t>
            </w:r>
          </w:p>
        </w:tc>
      </w:tr>
      <w:tr w:rsidR="00C548E3" w:rsidRPr="00604D39" w14:paraId="332F3DAD" w14:textId="77777777" w:rsidTr="007A4B74">
        <w:tc>
          <w:tcPr>
            <w:tcW w:w="4698" w:type="dxa"/>
            <w:tcBorders>
              <w:top w:val="single" w:sz="4" w:space="0" w:color="auto"/>
              <w:left w:val="single" w:sz="4" w:space="0" w:color="auto"/>
              <w:bottom w:val="single" w:sz="4" w:space="0" w:color="auto"/>
              <w:right w:val="single" w:sz="4" w:space="0" w:color="auto"/>
            </w:tcBorders>
          </w:tcPr>
          <w:p w14:paraId="1D41BE61" w14:textId="77777777" w:rsidR="00C548E3" w:rsidRPr="00F5459D" w:rsidRDefault="00C548E3" w:rsidP="007A4B74">
            <w:pPr>
              <w:ind w:right="-108"/>
            </w:pPr>
          </w:p>
          <w:p w14:paraId="7E314C4D" w14:textId="77777777" w:rsidR="00C548E3" w:rsidRDefault="00C548E3" w:rsidP="007A4B74">
            <w:pPr>
              <w:ind w:right="-108"/>
            </w:pPr>
          </w:p>
          <w:p w14:paraId="44492799" w14:textId="77777777" w:rsidR="00C548E3" w:rsidRDefault="00C548E3" w:rsidP="007A4B74">
            <w:pPr>
              <w:ind w:right="-108"/>
            </w:pPr>
          </w:p>
          <w:p w14:paraId="4580FBB6" w14:textId="77777777" w:rsidR="00C548E3" w:rsidRPr="00604D39" w:rsidRDefault="00C548E3" w:rsidP="007A4B74">
            <w:pPr>
              <w:ind w:right="-108"/>
            </w:pPr>
            <w:r w:rsidRPr="00604D39">
              <w:t>Baseline opioid expos</w:t>
            </w:r>
            <w:r>
              <w:t xml:space="preserve">ure (modal age </w:t>
            </w:r>
            <w:r w:rsidRPr="00604D39">
              <w:t>18)</w:t>
            </w:r>
          </w:p>
        </w:tc>
        <w:tc>
          <w:tcPr>
            <w:tcW w:w="247" w:type="dxa"/>
            <w:tcBorders>
              <w:top w:val="single" w:sz="4" w:space="0" w:color="auto"/>
              <w:left w:val="single" w:sz="4" w:space="0" w:color="auto"/>
              <w:bottom w:val="single" w:sz="4" w:space="0" w:color="auto"/>
              <w:right w:val="single" w:sz="4" w:space="0" w:color="auto"/>
            </w:tcBorders>
          </w:tcPr>
          <w:p w14:paraId="00455AE0" w14:textId="77777777" w:rsidR="00C548E3" w:rsidRPr="00604D39" w:rsidRDefault="00C548E3" w:rsidP="007A4B74">
            <w:pPr>
              <w:ind w:right="-108"/>
              <w:jc w:val="center"/>
            </w:pPr>
          </w:p>
          <w:p w14:paraId="7FBBEA1C" w14:textId="77777777" w:rsidR="00C548E3" w:rsidRPr="00604D39" w:rsidRDefault="00C548E3" w:rsidP="007A4B74">
            <w:pPr>
              <w:ind w:right="-108"/>
              <w:jc w:val="center"/>
            </w:pPr>
          </w:p>
        </w:tc>
        <w:tc>
          <w:tcPr>
            <w:tcW w:w="1890" w:type="dxa"/>
            <w:tcBorders>
              <w:top w:val="single" w:sz="4" w:space="0" w:color="auto"/>
              <w:left w:val="single" w:sz="4" w:space="0" w:color="auto"/>
              <w:bottom w:val="single" w:sz="4" w:space="0" w:color="auto"/>
              <w:right w:val="single" w:sz="4" w:space="0" w:color="auto"/>
            </w:tcBorders>
          </w:tcPr>
          <w:p w14:paraId="671130DA" w14:textId="77777777" w:rsidR="00C548E3" w:rsidRPr="0097573A" w:rsidRDefault="00C548E3" w:rsidP="007A4B74">
            <w:pPr>
              <w:ind w:right="-108"/>
              <w:jc w:val="center"/>
              <w:rPr>
                <w:b/>
              </w:rPr>
            </w:pPr>
            <w:r w:rsidRPr="0097573A">
              <w:rPr>
                <w:b/>
              </w:rPr>
              <w:t>ORIGINAL OUTCOME</w:t>
            </w:r>
          </w:p>
          <w:p w14:paraId="198C0D04" w14:textId="77777777" w:rsidR="00C548E3" w:rsidRDefault="00C548E3" w:rsidP="007A4B74">
            <w:pPr>
              <w:ind w:right="-108"/>
              <w:jc w:val="center"/>
            </w:pPr>
          </w:p>
          <w:p w14:paraId="2CDC028F" w14:textId="77777777" w:rsidR="00C548E3" w:rsidRDefault="00C548E3" w:rsidP="007A4B74">
            <w:pPr>
              <w:ind w:right="-108"/>
              <w:jc w:val="center"/>
            </w:pPr>
            <w:r>
              <w:t xml:space="preserve">Heroin use </w:t>
            </w:r>
          </w:p>
          <w:p w14:paraId="0F5AF2F5" w14:textId="77777777" w:rsidR="00C548E3" w:rsidRPr="00604D39" w:rsidRDefault="00C548E3" w:rsidP="007A4B74">
            <w:pPr>
              <w:ind w:right="-108"/>
              <w:jc w:val="center"/>
            </w:pPr>
            <w:r>
              <w:t>ages 19</w:t>
            </w:r>
            <w:r w:rsidRPr="00604D39">
              <w:t xml:space="preserve"> to 35</w:t>
            </w:r>
          </w:p>
          <w:p w14:paraId="2F274DAA" w14:textId="77777777" w:rsidR="00C548E3" w:rsidRPr="00604D39" w:rsidRDefault="00C548E3" w:rsidP="007A4B74">
            <w:pPr>
              <w:ind w:right="-108"/>
              <w:jc w:val="center"/>
            </w:pPr>
            <w:r w:rsidRPr="00604D39">
              <w:t>AOR (95% CI)</w:t>
            </w:r>
            <w:r>
              <w:rPr>
                <w:vertAlign w:val="superscript"/>
              </w:rPr>
              <w:t>a</w:t>
            </w:r>
          </w:p>
        </w:tc>
        <w:tc>
          <w:tcPr>
            <w:tcW w:w="2160" w:type="dxa"/>
            <w:tcBorders>
              <w:top w:val="single" w:sz="4" w:space="0" w:color="auto"/>
              <w:left w:val="single" w:sz="4" w:space="0" w:color="auto"/>
              <w:bottom w:val="single" w:sz="4" w:space="0" w:color="auto"/>
              <w:right w:val="single" w:sz="4" w:space="0" w:color="auto"/>
            </w:tcBorders>
          </w:tcPr>
          <w:p w14:paraId="11DB3021" w14:textId="77777777" w:rsidR="00C548E3" w:rsidRPr="0097573A" w:rsidRDefault="00C548E3" w:rsidP="007A4B74">
            <w:pPr>
              <w:ind w:right="-108"/>
              <w:jc w:val="center"/>
              <w:rPr>
                <w:b/>
              </w:rPr>
            </w:pPr>
            <w:r w:rsidRPr="0097573A">
              <w:rPr>
                <w:b/>
              </w:rPr>
              <w:t>SUPPLEMENTAL OUTTCOME</w:t>
            </w:r>
          </w:p>
          <w:p w14:paraId="20D20C66" w14:textId="77777777" w:rsidR="00C548E3" w:rsidRDefault="00C548E3" w:rsidP="007A4B74">
            <w:pPr>
              <w:ind w:right="-108"/>
              <w:jc w:val="center"/>
            </w:pPr>
          </w:p>
          <w:p w14:paraId="3532778D" w14:textId="77777777" w:rsidR="00C548E3" w:rsidRDefault="00C548E3" w:rsidP="007A4B74">
            <w:pPr>
              <w:ind w:right="-108"/>
              <w:jc w:val="center"/>
            </w:pPr>
            <w:r>
              <w:t xml:space="preserve">Heroin use </w:t>
            </w:r>
          </w:p>
          <w:p w14:paraId="6C213589" w14:textId="77777777" w:rsidR="00C548E3" w:rsidRPr="00604D39" w:rsidRDefault="00C548E3" w:rsidP="007A4B74">
            <w:pPr>
              <w:ind w:right="-108"/>
              <w:jc w:val="center"/>
            </w:pPr>
            <w:r>
              <w:t>between age 19 to 22</w:t>
            </w:r>
            <w:r w:rsidRPr="0097573A">
              <w:rPr>
                <w:vertAlign w:val="superscript"/>
              </w:rPr>
              <w:t>d</w:t>
            </w:r>
          </w:p>
          <w:p w14:paraId="510FB664" w14:textId="77777777" w:rsidR="00C548E3" w:rsidRPr="00604D39" w:rsidRDefault="00C548E3" w:rsidP="007A4B74">
            <w:pPr>
              <w:ind w:right="-108"/>
              <w:jc w:val="center"/>
            </w:pPr>
            <w:r w:rsidRPr="00604D39">
              <w:t>AOR (95% CI)</w:t>
            </w:r>
            <w:r>
              <w:rPr>
                <w:vertAlign w:val="superscript"/>
              </w:rPr>
              <w:t>a</w:t>
            </w:r>
          </w:p>
        </w:tc>
        <w:tc>
          <w:tcPr>
            <w:tcW w:w="1980" w:type="dxa"/>
            <w:tcBorders>
              <w:top w:val="single" w:sz="4" w:space="0" w:color="auto"/>
              <w:left w:val="single" w:sz="4" w:space="0" w:color="auto"/>
              <w:bottom w:val="single" w:sz="4" w:space="0" w:color="auto"/>
              <w:right w:val="single" w:sz="4" w:space="0" w:color="auto"/>
            </w:tcBorders>
          </w:tcPr>
          <w:p w14:paraId="62D4EA46" w14:textId="77777777" w:rsidR="00C548E3" w:rsidRPr="0097573A" w:rsidRDefault="00C548E3" w:rsidP="007A4B74">
            <w:pPr>
              <w:ind w:right="-108"/>
              <w:jc w:val="center"/>
              <w:rPr>
                <w:b/>
              </w:rPr>
            </w:pPr>
            <w:r w:rsidRPr="0097573A">
              <w:rPr>
                <w:b/>
              </w:rPr>
              <w:t>SUPPLEMENTAL OTUCOME</w:t>
            </w:r>
          </w:p>
          <w:p w14:paraId="1D2C785E" w14:textId="77777777" w:rsidR="00C548E3" w:rsidRDefault="00C548E3" w:rsidP="007A4B74">
            <w:pPr>
              <w:ind w:right="-108"/>
              <w:jc w:val="center"/>
            </w:pPr>
            <w:r>
              <w:t>Mean Frequency of Heroin use between age 19 to 35</w:t>
            </w:r>
            <w:r w:rsidRPr="0097573A">
              <w:rPr>
                <w:vertAlign w:val="superscript"/>
              </w:rPr>
              <w:t>e</w:t>
            </w:r>
          </w:p>
          <w:p w14:paraId="4E126811" w14:textId="77777777" w:rsidR="00C548E3" w:rsidRPr="00604D39" w:rsidRDefault="00C548E3" w:rsidP="007A4B74">
            <w:pPr>
              <w:ind w:right="-108"/>
              <w:jc w:val="center"/>
            </w:pPr>
            <w:r>
              <w:t>IR</w:t>
            </w:r>
            <w:r w:rsidRPr="00604D39">
              <w:t>R</w:t>
            </w:r>
            <w:r w:rsidRPr="0097573A">
              <w:rPr>
                <w:vertAlign w:val="superscript"/>
              </w:rPr>
              <w:t>f</w:t>
            </w:r>
            <w:r w:rsidRPr="00604D39">
              <w:t xml:space="preserve"> (95% CI)</w:t>
            </w:r>
            <w:r>
              <w:rPr>
                <w:vertAlign w:val="superscript"/>
              </w:rPr>
              <w:t>a</w:t>
            </w:r>
          </w:p>
        </w:tc>
      </w:tr>
      <w:tr w:rsidR="00C548E3" w:rsidRPr="00604D39" w14:paraId="13A27E8E" w14:textId="77777777" w:rsidTr="007A4B74">
        <w:trPr>
          <w:trHeight w:val="1088"/>
        </w:trPr>
        <w:tc>
          <w:tcPr>
            <w:tcW w:w="4698" w:type="dxa"/>
            <w:tcBorders>
              <w:top w:val="single" w:sz="4" w:space="0" w:color="auto"/>
              <w:left w:val="single" w:sz="4" w:space="0" w:color="auto"/>
              <w:bottom w:val="single" w:sz="4" w:space="0" w:color="auto"/>
              <w:right w:val="single" w:sz="4" w:space="0" w:color="auto"/>
            </w:tcBorders>
          </w:tcPr>
          <w:p w14:paraId="365DE619" w14:textId="77777777" w:rsidR="00C548E3" w:rsidRPr="00604D39" w:rsidRDefault="00C548E3" w:rsidP="007A4B74">
            <w:pPr>
              <w:ind w:right="-108"/>
              <w:rPr>
                <w:u w:val="single"/>
              </w:rPr>
            </w:pPr>
            <w:r>
              <w:rPr>
                <w:u w:val="single"/>
              </w:rPr>
              <w:t>Lifetime medical use/</w:t>
            </w:r>
            <w:r w:rsidRPr="00604D39">
              <w:rPr>
                <w:u w:val="single"/>
              </w:rPr>
              <w:t xml:space="preserve">nonmedical </w:t>
            </w:r>
            <w:r>
              <w:rPr>
                <w:u w:val="single"/>
              </w:rPr>
              <w:t>mis</w:t>
            </w:r>
            <w:r w:rsidRPr="00604D39">
              <w:rPr>
                <w:u w:val="single"/>
              </w:rPr>
              <w:t>use</w:t>
            </w:r>
          </w:p>
          <w:p w14:paraId="4B51152A" w14:textId="77777777" w:rsidR="00C548E3" w:rsidRPr="00604D39" w:rsidRDefault="00C548E3" w:rsidP="007A4B74">
            <w:pPr>
              <w:ind w:right="-108"/>
            </w:pPr>
            <w:r w:rsidRPr="00604D39">
              <w:t>No medi</w:t>
            </w:r>
            <w:r>
              <w:t>cal or nonmedical use (n = 6,444</w:t>
            </w:r>
            <w:r w:rsidRPr="00604D39">
              <w:t>)</w:t>
            </w:r>
            <w:r w:rsidRPr="00794DEB">
              <w:rPr>
                <w:vertAlign w:val="superscript"/>
              </w:rPr>
              <w:t>b</w:t>
            </w:r>
          </w:p>
          <w:p w14:paraId="00A5BC10" w14:textId="77777777" w:rsidR="00C548E3" w:rsidRPr="00604D39" w:rsidRDefault="00C548E3" w:rsidP="007A4B74">
            <w:pPr>
              <w:ind w:right="-108"/>
            </w:pPr>
            <w:r>
              <w:t>Medical use only (n = 992</w:t>
            </w:r>
            <w:r w:rsidRPr="00604D39">
              <w:t>)</w:t>
            </w:r>
            <w:r w:rsidRPr="00794DEB">
              <w:rPr>
                <w:vertAlign w:val="superscript"/>
              </w:rPr>
              <w:t>b</w:t>
            </w:r>
            <w:r w:rsidRPr="00604D39">
              <w:t xml:space="preserve"> </w:t>
            </w:r>
          </w:p>
          <w:p w14:paraId="712C5015" w14:textId="77777777" w:rsidR="00C548E3" w:rsidRDefault="00C548E3" w:rsidP="007A4B74">
            <w:pPr>
              <w:ind w:right="-108"/>
            </w:pPr>
            <w:r w:rsidRPr="00604D39">
              <w:t>Medica</w:t>
            </w:r>
            <w:r>
              <w:t>l use followed by nonmedical use (n = 408</w:t>
            </w:r>
            <w:r w:rsidRPr="00604D39">
              <w:t>)</w:t>
            </w:r>
            <w:r w:rsidRPr="00794DEB">
              <w:rPr>
                <w:vertAlign w:val="superscript"/>
              </w:rPr>
              <w:t>b</w:t>
            </w:r>
          </w:p>
          <w:p w14:paraId="4C091E28" w14:textId="77777777" w:rsidR="00C548E3" w:rsidRDefault="00C548E3" w:rsidP="007A4B74">
            <w:pPr>
              <w:ind w:right="-108"/>
            </w:pPr>
            <w:r>
              <w:t>Nonmedical misuse followed by medical use (n = 197</w:t>
            </w:r>
            <w:r w:rsidRPr="00604D39">
              <w:t>)</w:t>
            </w:r>
            <w:r w:rsidRPr="00794DEB">
              <w:rPr>
                <w:vertAlign w:val="superscript"/>
              </w:rPr>
              <w:t>b</w:t>
            </w:r>
          </w:p>
          <w:p w14:paraId="14D6B289" w14:textId="77777777" w:rsidR="00C548E3" w:rsidRPr="00F3560D" w:rsidRDefault="00C548E3" w:rsidP="007A4B74">
            <w:pPr>
              <w:ind w:right="-108"/>
            </w:pPr>
            <w:r>
              <w:t>Nonmedical use only (n = 408</w:t>
            </w:r>
            <w:r w:rsidRPr="00604D39">
              <w:t>)</w:t>
            </w:r>
            <w:r w:rsidRPr="00794DEB">
              <w:rPr>
                <w:vertAlign w:val="superscript"/>
              </w:rPr>
              <w:t>b</w:t>
            </w:r>
          </w:p>
        </w:tc>
        <w:tc>
          <w:tcPr>
            <w:tcW w:w="247" w:type="dxa"/>
            <w:tcBorders>
              <w:top w:val="single" w:sz="4" w:space="0" w:color="auto"/>
              <w:left w:val="single" w:sz="4" w:space="0" w:color="auto"/>
              <w:bottom w:val="single" w:sz="4" w:space="0" w:color="auto"/>
              <w:right w:val="single" w:sz="4" w:space="0" w:color="auto"/>
            </w:tcBorders>
          </w:tcPr>
          <w:p w14:paraId="0B8BE89F" w14:textId="77777777" w:rsidR="00C548E3" w:rsidRPr="00604D39" w:rsidRDefault="00C548E3" w:rsidP="007A4B74">
            <w:pPr>
              <w:jc w:val="center"/>
            </w:pPr>
          </w:p>
          <w:p w14:paraId="1167CDBE" w14:textId="77777777" w:rsidR="00C548E3" w:rsidRPr="00604D39" w:rsidRDefault="00C548E3" w:rsidP="007A4B74">
            <w:pPr>
              <w:jc w:val="center"/>
            </w:pPr>
          </w:p>
        </w:tc>
        <w:tc>
          <w:tcPr>
            <w:tcW w:w="1890" w:type="dxa"/>
            <w:tcBorders>
              <w:top w:val="single" w:sz="4" w:space="0" w:color="auto"/>
              <w:left w:val="single" w:sz="4" w:space="0" w:color="auto"/>
              <w:bottom w:val="single" w:sz="4" w:space="0" w:color="auto"/>
              <w:right w:val="single" w:sz="4" w:space="0" w:color="auto"/>
            </w:tcBorders>
          </w:tcPr>
          <w:p w14:paraId="564CAB6B" w14:textId="77777777" w:rsidR="00C548E3" w:rsidRPr="00604D39" w:rsidRDefault="00C548E3" w:rsidP="007A4B74">
            <w:pPr>
              <w:jc w:val="center"/>
            </w:pPr>
          </w:p>
          <w:p w14:paraId="565906F4" w14:textId="77777777" w:rsidR="00C548E3" w:rsidRPr="00604D39" w:rsidRDefault="00C548E3" w:rsidP="007A4B74">
            <w:pPr>
              <w:jc w:val="center"/>
            </w:pPr>
            <w:r w:rsidRPr="00604D39">
              <w:t>Reference</w:t>
            </w:r>
          </w:p>
          <w:p w14:paraId="306CABBD" w14:textId="77777777" w:rsidR="00C548E3" w:rsidRPr="00604D39" w:rsidRDefault="00C548E3" w:rsidP="007A4B74">
            <w:pPr>
              <w:jc w:val="center"/>
            </w:pPr>
            <w:r>
              <w:t>1.65 (1.06, 2.57</w:t>
            </w:r>
            <w:r w:rsidRPr="00604D39">
              <w:t>)</w:t>
            </w:r>
            <w:r>
              <w:t>*</w:t>
            </w:r>
          </w:p>
          <w:p w14:paraId="5405371E" w14:textId="77777777" w:rsidR="00C548E3" w:rsidRPr="00604D39" w:rsidRDefault="00C548E3" w:rsidP="007A4B74">
            <w:pPr>
              <w:jc w:val="center"/>
            </w:pPr>
            <w:r>
              <w:t>1.93 (1.05, 3.55</w:t>
            </w:r>
            <w:r w:rsidRPr="00604D39">
              <w:t>)</w:t>
            </w:r>
            <w:r>
              <w:t>*</w:t>
            </w:r>
          </w:p>
          <w:p w14:paraId="67206259" w14:textId="77777777" w:rsidR="00C548E3" w:rsidRPr="00604D39" w:rsidRDefault="00C548E3" w:rsidP="007A4B74">
            <w:pPr>
              <w:jc w:val="center"/>
            </w:pPr>
            <w:r>
              <w:t>4.30 (2.41, 7.67</w:t>
            </w:r>
            <w:r w:rsidRPr="00604D39">
              <w:t>)</w:t>
            </w:r>
            <w:r>
              <w:t>***</w:t>
            </w:r>
          </w:p>
          <w:p w14:paraId="6069D21D" w14:textId="77777777" w:rsidR="00C548E3" w:rsidRPr="00604D39" w:rsidRDefault="00C548E3" w:rsidP="007A4B74">
            <w:pPr>
              <w:jc w:val="center"/>
            </w:pPr>
            <w:r>
              <w:t>5.52 (3.67, 8.29</w:t>
            </w:r>
            <w:r w:rsidRPr="00604D39">
              <w:t>)</w:t>
            </w:r>
            <w:r>
              <w:t>***</w:t>
            </w:r>
          </w:p>
          <w:p w14:paraId="56AE7DF2" w14:textId="77777777" w:rsidR="00C548E3" w:rsidRPr="00604D39" w:rsidRDefault="00C548E3" w:rsidP="007A4B74">
            <w:pPr>
              <w:jc w:val="center"/>
            </w:pPr>
            <w:r>
              <w:rPr>
                <w:vertAlign w:val="superscript"/>
              </w:rPr>
              <w:t>c</w:t>
            </w:r>
            <w:r>
              <w:t>(n = 8143</w:t>
            </w:r>
            <w:r w:rsidRPr="00604D39">
              <w:t>)</w:t>
            </w:r>
          </w:p>
        </w:tc>
        <w:tc>
          <w:tcPr>
            <w:tcW w:w="2160" w:type="dxa"/>
            <w:tcBorders>
              <w:top w:val="single" w:sz="4" w:space="0" w:color="auto"/>
              <w:left w:val="single" w:sz="4" w:space="0" w:color="auto"/>
              <w:bottom w:val="single" w:sz="4" w:space="0" w:color="auto"/>
              <w:right w:val="single" w:sz="4" w:space="0" w:color="auto"/>
            </w:tcBorders>
          </w:tcPr>
          <w:p w14:paraId="7F229DD4" w14:textId="77777777" w:rsidR="00C548E3" w:rsidRPr="00604D39" w:rsidRDefault="00C548E3" w:rsidP="007A4B74">
            <w:pPr>
              <w:jc w:val="center"/>
            </w:pPr>
          </w:p>
          <w:p w14:paraId="6E0DC3F3" w14:textId="77777777" w:rsidR="00C548E3" w:rsidRPr="00604D39" w:rsidRDefault="00C548E3" w:rsidP="007A4B74">
            <w:pPr>
              <w:jc w:val="center"/>
            </w:pPr>
            <w:r w:rsidRPr="00604D39">
              <w:t>Reference</w:t>
            </w:r>
          </w:p>
          <w:p w14:paraId="21233DE3" w14:textId="77777777" w:rsidR="00C548E3" w:rsidRPr="00604D39" w:rsidRDefault="00C548E3" w:rsidP="007A4B74">
            <w:pPr>
              <w:jc w:val="center"/>
            </w:pPr>
            <w:r>
              <w:t>1.40 (0.44, 4.41</w:t>
            </w:r>
            <w:r w:rsidRPr="00604D39">
              <w:t>)</w:t>
            </w:r>
          </w:p>
          <w:p w14:paraId="6009E3A3" w14:textId="77777777" w:rsidR="00C548E3" w:rsidRPr="00604D39" w:rsidRDefault="00C548E3" w:rsidP="007A4B74">
            <w:pPr>
              <w:jc w:val="center"/>
            </w:pPr>
            <w:r>
              <w:t>3.56 (1.14, 11.0</w:t>
            </w:r>
            <w:r w:rsidRPr="00604D39">
              <w:t>)</w:t>
            </w:r>
            <w:r>
              <w:t>*</w:t>
            </w:r>
          </w:p>
          <w:p w14:paraId="766ECA90" w14:textId="77777777" w:rsidR="00C548E3" w:rsidRPr="00604D39" w:rsidRDefault="00C548E3" w:rsidP="007A4B74">
            <w:pPr>
              <w:jc w:val="center"/>
            </w:pPr>
            <w:r>
              <w:t>2.60 (0.76, 8.93</w:t>
            </w:r>
            <w:r w:rsidRPr="00604D39">
              <w:t>)</w:t>
            </w:r>
          </w:p>
          <w:p w14:paraId="135DFB2A" w14:textId="77777777" w:rsidR="00C548E3" w:rsidRPr="00604D39" w:rsidRDefault="00C548E3" w:rsidP="007A4B74">
            <w:pPr>
              <w:jc w:val="center"/>
            </w:pPr>
            <w:r>
              <w:t>6.57 (2.88, 15.0</w:t>
            </w:r>
            <w:r w:rsidRPr="00604D39">
              <w:t>)</w:t>
            </w:r>
            <w:r>
              <w:t>***</w:t>
            </w:r>
          </w:p>
          <w:p w14:paraId="17792FAF" w14:textId="77777777" w:rsidR="00C548E3" w:rsidRPr="00604D39" w:rsidRDefault="00C548E3" w:rsidP="007A4B74">
            <w:pPr>
              <w:jc w:val="center"/>
            </w:pPr>
            <w:r>
              <w:rPr>
                <w:vertAlign w:val="superscript"/>
              </w:rPr>
              <w:t>c</w:t>
            </w:r>
            <w:r>
              <w:t>(n = 8143</w:t>
            </w:r>
            <w:r w:rsidRPr="00604D39">
              <w:t>)</w:t>
            </w:r>
          </w:p>
        </w:tc>
        <w:tc>
          <w:tcPr>
            <w:tcW w:w="1980" w:type="dxa"/>
            <w:tcBorders>
              <w:top w:val="single" w:sz="4" w:space="0" w:color="auto"/>
              <w:left w:val="single" w:sz="4" w:space="0" w:color="auto"/>
              <w:bottom w:val="single" w:sz="4" w:space="0" w:color="auto"/>
              <w:right w:val="single" w:sz="4" w:space="0" w:color="auto"/>
            </w:tcBorders>
          </w:tcPr>
          <w:p w14:paraId="1F27139C" w14:textId="77777777" w:rsidR="00C548E3" w:rsidRPr="00604D39" w:rsidRDefault="00C548E3" w:rsidP="007A4B74">
            <w:pPr>
              <w:jc w:val="center"/>
            </w:pPr>
          </w:p>
          <w:p w14:paraId="392802A4" w14:textId="77777777" w:rsidR="00C548E3" w:rsidRPr="00604D39" w:rsidRDefault="00C548E3" w:rsidP="007A4B74">
            <w:pPr>
              <w:jc w:val="center"/>
            </w:pPr>
            <w:r w:rsidRPr="00604D39">
              <w:t>Reference</w:t>
            </w:r>
          </w:p>
          <w:p w14:paraId="4EFA258B" w14:textId="77777777" w:rsidR="00C548E3" w:rsidRPr="00604D39" w:rsidRDefault="00C548E3" w:rsidP="007A4B74">
            <w:pPr>
              <w:jc w:val="center"/>
            </w:pPr>
            <w:r>
              <w:t>0.74 (0.31, 1.72</w:t>
            </w:r>
            <w:r w:rsidRPr="00604D39">
              <w:t>)</w:t>
            </w:r>
          </w:p>
          <w:p w14:paraId="6D7F28C6" w14:textId="77777777" w:rsidR="00C548E3" w:rsidRPr="00604D39" w:rsidRDefault="00C548E3" w:rsidP="007A4B74">
            <w:pPr>
              <w:jc w:val="center"/>
            </w:pPr>
            <w:r>
              <w:t>3.59 (1.36, 9.46</w:t>
            </w:r>
            <w:r w:rsidRPr="00604D39">
              <w:t>)</w:t>
            </w:r>
            <w:r>
              <w:t>**</w:t>
            </w:r>
          </w:p>
          <w:p w14:paraId="424C279F" w14:textId="77777777" w:rsidR="00C548E3" w:rsidRPr="00604D39" w:rsidRDefault="00C548E3" w:rsidP="007A4B74">
            <w:pPr>
              <w:jc w:val="center"/>
            </w:pPr>
            <w:r>
              <w:t>4.23 (1.00, 17.9</w:t>
            </w:r>
            <w:r w:rsidRPr="00604D39">
              <w:t>)</w:t>
            </w:r>
            <w:r>
              <w:t>*</w:t>
            </w:r>
          </w:p>
          <w:p w14:paraId="7E98C39E" w14:textId="77777777" w:rsidR="00C548E3" w:rsidRPr="00604D39" w:rsidRDefault="00C548E3" w:rsidP="007A4B74">
            <w:pPr>
              <w:jc w:val="center"/>
            </w:pPr>
            <w:r>
              <w:t>4.11 (1.88, 8.98</w:t>
            </w:r>
            <w:r w:rsidRPr="00604D39">
              <w:t>)</w:t>
            </w:r>
            <w:r>
              <w:t>***</w:t>
            </w:r>
          </w:p>
          <w:p w14:paraId="459581D4" w14:textId="77777777" w:rsidR="00C548E3" w:rsidRPr="00604D39" w:rsidRDefault="00C548E3" w:rsidP="007A4B74">
            <w:pPr>
              <w:jc w:val="center"/>
            </w:pPr>
            <w:r>
              <w:rPr>
                <w:vertAlign w:val="superscript"/>
              </w:rPr>
              <w:t>c</w:t>
            </w:r>
            <w:r>
              <w:t>(n = 8143</w:t>
            </w:r>
            <w:r w:rsidRPr="00604D39">
              <w:t>)</w:t>
            </w:r>
          </w:p>
        </w:tc>
      </w:tr>
      <w:tr w:rsidR="00C548E3" w:rsidRPr="00604D39" w14:paraId="4707F610" w14:textId="77777777" w:rsidTr="007A4B74">
        <w:trPr>
          <w:trHeight w:val="1088"/>
        </w:trPr>
        <w:tc>
          <w:tcPr>
            <w:tcW w:w="10975" w:type="dxa"/>
            <w:gridSpan w:val="5"/>
            <w:tcBorders>
              <w:top w:val="single" w:sz="4" w:space="0" w:color="auto"/>
              <w:left w:val="single" w:sz="4" w:space="0" w:color="auto"/>
              <w:bottom w:val="single" w:sz="4" w:space="0" w:color="auto"/>
              <w:right w:val="single" w:sz="4" w:space="0" w:color="auto"/>
            </w:tcBorders>
          </w:tcPr>
          <w:p w14:paraId="5BDDCD93" w14:textId="77777777" w:rsidR="00C548E3" w:rsidRPr="00F5459D" w:rsidRDefault="00C548E3" w:rsidP="007A4B74">
            <w:pPr>
              <w:overflowPunct w:val="0"/>
              <w:autoSpaceDE w:val="0"/>
              <w:autoSpaceDN w:val="0"/>
              <w:adjustRightInd w:val="0"/>
              <w:textAlignment w:val="baseline"/>
              <w:rPr>
                <w:sz w:val="16"/>
                <w:szCs w:val="16"/>
                <w:vertAlign w:val="superscript"/>
              </w:rPr>
            </w:pPr>
            <w:r>
              <w:rPr>
                <w:sz w:val="16"/>
                <w:szCs w:val="16"/>
              </w:rPr>
              <w:t xml:space="preserve">p&lt;.05*, p&lt;.01**, </w:t>
            </w:r>
            <w:r w:rsidRPr="00604D39">
              <w:rPr>
                <w:sz w:val="16"/>
                <w:szCs w:val="16"/>
              </w:rPr>
              <w:t>p&lt;.001***</w:t>
            </w:r>
          </w:p>
          <w:p w14:paraId="67245EE3" w14:textId="77777777" w:rsidR="00C548E3" w:rsidRPr="006918CC" w:rsidRDefault="00C548E3" w:rsidP="007A4B74">
            <w:pPr>
              <w:overflowPunct w:val="0"/>
              <w:autoSpaceDE w:val="0"/>
              <w:autoSpaceDN w:val="0"/>
              <w:adjustRightInd w:val="0"/>
              <w:textAlignment w:val="baseline"/>
              <w:rPr>
                <w:sz w:val="16"/>
                <w:szCs w:val="16"/>
              </w:rPr>
            </w:pPr>
            <w:r>
              <w:rPr>
                <w:sz w:val="16"/>
                <w:szCs w:val="16"/>
                <w:vertAlign w:val="superscript"/>
              </w:rPr>
              <w:t>a</w:t>
            </w:r>
            <w:r w:rsidRPr="00F5459D">
              <w:rPr>
                <w:sz w:val="16"/>
                <w:szCs w:val="16"/>
              </w:rPr>
              <w:t>All analyses control for race (i.e., White, Black, Hispanic, Other race), sex (i.e., Male and Female), highest level of parental education, geographic region (i.e., Northeast, Northcentral, South and West), metropolitan statistical area (i.e., large MSA, other MSA, and non-MSA), and baseline cohort year, and baseline measures of past-year alcohol use, past-year marijuana use, and past-year other drug use.</w:t>
            </w:r>
            <w:r w:rsidRPr="00F5459D">
              <w:rPr>
                <w:color w:val="000000"/>
                <w:sz w:val="16"/>
                <w:szCs w:val="16"/>
              </w:rPr>
              <w:t xml:space="preserve"> </w:t>
            </w:r>
          </w:p>
          <w:p w14:paraId="7959062D" w14:textId="77777777" w:rsidR="00C548E3" w:rsidRDefault="00C548E3" w:rsidP="007A4B74">
            <w:pPr>
              <w:overflowPunct w:val="0"/>
              <w:autoSpaceDE w:val="0"/>
              <w:autoSpaceDN w:val="0"/>
              <w:adjustRightInd w:val="0"/>
              <w:textAlignment w:val="baseline"/>
              <w:rPr>
                <w:sz w:val="16"/>
                <w:szCs w:val="16"/>
              </w:rPr>
            </w:pPr>
            <w:r>
              <w:rPr>
                <w:sz w:val="16"/>
                <w:szCs w:val="16"/>
                <w:vertAlign w:val="superscript"/>
              </w:rPr>
              <w:t>b</w:t>
            </w:r>
            <w:r>
              <w:rPr>
                <w:sz w:val="16"/>
                <w:szCs w:val="16"/>
              </w:rPr>
              <w:t xml:space="preserve">Sample size drops based on attrition in the panel sample. </w:t>
            </w:r>
            <w:r w:rsidRPr="00794DEB">
              <w:rPr>
                <w:sz w:val="16"/>
                <w:szCs w:val="16"/>
                <w:vertAlign w:val="superscript"/>
              </w:rPr>
              <w:t>c</w:t>
            </w:r>
            <w:r>
              <w:rPr>
                <w:sz w:val="16"/>
                <w:szCs w:val="16"/>
              </w:rPr>
              <w:t>Sample size drops due to attrition and missing data on control variables</w:t>
            </w:r>
            <w:r w:rsidRPr="00F319D4">
              <w:rPr>
                <w:sz w:val="16"/>
                <w:szCs w:val="16"/>
              </w:rPr>
              <w:t xml:space="preserve">. </w:t>
            </w:r>
            <w:r w:rsidRPr="0097573A">
              <w:rPr>
                <w:sz w:val="16"/>
                <w:szCs w:val="16"/>
                <w:vertAlign w:val="superscript"/>
              </w:rPr>
              <w:t>d</w:t>
            </w:r>
            <w:r>
              <w:rPr>
                <w:sz w:val="16"/>
                <w:szCs w:val="16"/>
              </w:rPr>
              <w:t xml:space="preserve">This outcome used past-year heroin use to capture when respondents first started using heroin after the age of 18. </w:t>
            </w:r>
            <w:r w:rsidRPr="0097573A">
              <w:rPr>
                <w:sz w:val="16"/>
                <w:szCs w:val="16"/>
                <w:vertAlign w:val="superscript"/>
              </w:rPr>
              <w:t>e</w:t>
            </w:r>
            <w:r>
              <w:rPr>
                <w:sz w:val="16"/>
                <w:szCs w:val="16"/>
              </w:rPr>
              <w:t xml:space="preserve">This outcome used the average frequency of past-year heroin use between age 19 and 35 (the seven possible response options ranged from ‘0 occasions’ to ’40 or more occasions’. </w:t>
            </w:r>
            <w:r w:rsidRPr="0097573A">
              <w:rPr>
                <w:sz w:val="16"/>
                <w:szCs w:val="16"/>
                <w:vertAlign w:val="superscript"/>
              </w:rPr>
              <w:t>f</w:t>
            </w:r>
            <w:r>
              <w:rPr>
                <w:sz w:val="16"/>
                <w:szCs w:val="16"/>
              </w:rPr>
              <w:t>These models used negative binomral regression due to the continuous nature of the outcome variable.</w:t>
            </w:r>
          </w:p>
          <w:p w14:paraId="674ED2C6" w14:textId="77777777" w:rsidR="00C548E3" w:rsidRDefault="00C548E3" w:rsidP="007A4B74">
            <w:pPr>
              <w:overflowPunct w:val="0"/>
              <w:autoSpaceDE w:val="0"/>
              <w:autoSpaceDN w:val="0"/>
              <w:adjustRightInd w:val="0"/>
              <w:textAlignment w:val="baseline"/>
              <w:rPr>
                <w:sz w:val="16"/>
                <w:szCs w:val="16"/>
              </w:rPr>
            </w:pPr>
            <w:r>
              <w:rPr>
                <w:sz w:val="16"/>
                <w:szCs w:val="16"/>
              </w:rPr>
              <w:t>I</w:t>
            </w:r>
            <w:r w:rsidRPr="00F319D4">
              <w:rPr>
                <w:sz w:val="16"/>
                <w:szCs w:val="16"/>
              </w:rPr>
              <w:t>ndividuals who reported any lifetime heroin use at baseline</w:t>
            </w:r>
            <w:r>
              <w:rPr>
                <w:sz w:val="16"/>
                <w:szCs w:val="16"/>
              </w:rPr>
              <w:t xml:space="preserve"> (modal age 18) were excluded (n = 179).</w:t>
            </w:r>
            <w:r w:rsidRPr="00F319D4">
              <w:rPr>
                <w:sz w:val="16"/>
                <w:szCs w:val="16"/>
              </w:rPr>
              <w:t xml:space="preserve"> A random one-sixth of the overall panel sample received</w:t>
            </w:r>
            <w:r w:rsidRPr="00737674">
              <w:rPr>
                <w:sz w:val="16"/>
                <w:szCs w:val="16"/>
              </w:rPr>
              <w:t xml:space="preserve"> the </w:t>
            </w:r>
            <w:r>
              <w:rPr>
                <w:sz w:val="16"/>
                <w:szCs w:val="16"/>
              </w:rPr>
              <w:t>questions regarding medical and nonmedical prescription opioid use</w:t>
            </w:r>
            <w:r w:rsidRPr="00737674">
              <w:rPr>
                <w:sz w:val="16"/>
                <w:szCs w:val="16"/>
              </w:rPr>
              <w:t>.</w:t>
            </w:r>
            <w:r w:rsidRPr="000524E4">
              <w:t xml:space="preserve"> </w:t>
            </w:r>
            <w:r w:rsidRPr="0026295D">
              <w:rPr>
                <w:sz w:val="16"/>
                <w:szCs w:val="16"/>
              </w:rPr>
              <w:t>All percentages and adjusted odds ratios (AOR) use attrition weights at age 35.</w:t>
            </w:r>
          </w:p>
          <w:p w14:paraId="55F8DB75" w14:textId="77777777" w:rsidR="00C548E3" w:rsidRPr="00604D39" w:rsidRDefault="00C548E3" w:rsidP="007A4B74">
            <w:pPr>
              <w:overflowPunct w:val="0"/>
              <w:autoSpaceDE w:val="0"/>
              <w:autoSpaceDN w:val="0"/>
              <w:adjustRightInd w:val="0"/>
              <w:textAlignment w:val="baseline"/>
              <w:rPr>
                <w:sz w:val="16"/>
                <w:szCs w:val="16"/>
              </w:rPr>
            </w:pPr>
          </w:p>
        </w:tc>
      </w:tr>
    </w:tbl>
    <w:p w14:paraId="1777A67F" w14:textId="77777777" w:rsidR="00C548E3" w:rsidRDefault="00C548E3" w:rsidP="00C548E3"/>
    <w:p w14:paraId="643B1214" w14:textId="77777777" w:rsidR="00C548E3" w:rsidRDefault="00C548E3" w:rsidP="00C548E3"/>
    <w:p w14:paraId="49316F18" w14:textId="77777777" w:rsidR="00C548E3" w:rsidRDefault="00C548E3" w:rsidP="00C548E3"/>
    <w:p w14:paraId="087FBFCB" w14:textId="77777777" w:rsidR="00C548E3" w:rsidRDefault="00C548E3" w:rsidP="00C548E3"/>
    <w:p w14:paraId="27ED7A95" w14:textId="77777777" w:rsidR="00C548E3" w:rsidRDefault="00C548E3" w:rsidP="00C548E3"/>
    <w:p w14:paraId="5C846392" w14:textId="77777777" w:rsidR="00C548E3" w:rsidRDefault="00C548E3" w:rsidP="00C548E3"/>
    <w:p w14:paraId="5DECAFC7" w14:textId="77777777" w:rsidR="00C548E3" w:rsidRDefault="00C548E3" w:rsidP="00C548E3"/>
    <w:p w14:paraId="5C205A08" w14:textId="77777777" w:rsidR="00C548E3" w:rsidRDefault="00C548E3" w:rsidP="00C548E3"/>
    <w:p w14:paraId="602ABE98" w14:textId="77777777" w:rsidR="00C548E3" w:rsidRDefault="00C548E3" w:rsidP="00C548E3"/>
    <w:p w14:paraId="62DEB751" w14:textId="77777777" w:rsidR="00C548E3" w:rsidRDefault="00C548E3" w:rsidP="00C548E3"/>
    <w:p w14:paraId="152B800F" w14:textId="77777777" w:rsidR="00C548E3" w:rsidRDefault="00C548E3" w:rsidP="00C548E3"/>
    <w:p w14:paraId="40DC8CED" w14:textId="77777777" w:rsidR="00C548E3" w:rsidRDefault="00C548E3" w:rsidP="00C548E3"/>
    <w:p w14:paraId="681732E4" w14:textId="77777777" w:rsidR="00C548E3" w:rsidRDefault="00C548E3" w:rsidP="00C548E3"/>
    <w:p w14:paraId="5D084A04" w14:textId="77777777" w:rsidR="00C548E3" w:rsidRDefault="00C548E3" w:rsidP="00C548E3"/>
    <w:p w14:paraId="220C5897" w14:textId="77777777" w:rsidR="00C548E3" w:rsidRDefault="00C548E3" w:rsidP="00C548E3"/>
    <w:p w14:paraId="4EAF6A3A" w14:textId="77777777" w:rsidR="00C548E3" w:rsidRDefault="00C548E3" w:rsidP="00C548E3"/>
    <w:p w14:paraId="3A8B16F3" w14:textId="77777777" w:rsidR="00C548E3" w:rsidRDefault="00C548E3" w:rsidP="00C548E3"/>
    <w:p w14:paraId="04FC46FE" w14:textId="77777777" w:rsidR="00C548E3" w:rsidRDefault="00C548E3" w:rsidP="00C548E3"/>
    <w:p w14:paraId="5D3C222A" w14:textId="77777777" w:rsidR="00C548E3" w:rsidRDefault="00C548E3" w:rsidP="00C548E3"/>
    <w:p w14:paraId="66F77F52" w14:textId="77777777" w:rsidR="00C548E3" w:rsidRDefault="00C548E3" w:rsidP="00C548E3"/>
    <w:p w14:paraId="3FDC535E" w14:textId="77777777" w:rsidR="00C548E3" w:rsidRDefault="00C548E3" w:rsidP="00C548E3"/>
    <w:p w14:paraId="5B88CB35" w14:textId="77777777" w:rsidR="0097573A" w:rsidRDefault="0097573A"/>
    <w:p w14:paraId="29E89FD3" w14:textId="77777777" w:rsidR="0097573A" w:rsidRDefault="0097573A"/>
    <w:p w14:paraId="5C4826E2" w14:textId="77777777" w:rsidR="0097573A" w:rsidRDefault="0097573A"/>
    <w:p w14:paraId="5708A602" w14:textId="77777777" w:rsidR="0097573A" w:rsidRDefault="0097573A"/>
    <w:p w14:paraId="01D588E0" w14:textId="77777777" w:rsidR="0097573A" w:rsidRDefault="0097573A"/>
    <w:p w14:paraId="77F0AD4C" w14:textId="77777777" w:rsidR="0097573A" w:rsidRDefault="0097573A"/>
    <w:p w14:paraId="67353817" w14:textId="77777777" w:rsidR="0097573A" w:rsidRDefault="0097573A"/>
    <w:p w14:paraId="7FB5C875" w14:textId="77777777" w:rsidR="0097573A" w:rsidRDefault="0097573A"/>
    <w:p w14:paraId="7BD8253D" w14:textId="77777777" w:rsidR="0097573A" w:rsidRDefault="0097573A"/>
    <w:p w14:paraId="2E19955D" w14:textId="77777777" w:rsidR="0097573A" w:rsidRDefault="0097573A"/>
    <w:p w14:paraId="3576AFFC" w14:textId="77777777" w:rsidR="00705053" w:rsidRDefault="00705053"/>
    <w:p w14:paraId="254A39AE" w14:textId="77777777" w:rsidR="00705053" w:rsidRDefault="00705053"/>
    <w:p w14:paraId="2B93879A" w14:textId="77777777" w:rsidR="00705053" w:rsidRDefault="00705053"/>
    <w:p w14:paraId="55C5EC0C" w14:textId="0703DAE0" w:rsidR="00705053" w:rsidRDefault="00705053"/>
    <w:p w14:paraId="39F07A73" w14:textId="599654A9" w:rsidR="00C548E3" w:rsidRDefault="00C548E3"/>
    <w:p w14:paraId="773AAAC9" w14:textId="20B6E798" w:rsidR="00C548E3" w:rsidRDefault="00C548E3"/>
    <w:p w14:paraId="23DF6E63" w14:textId="4D9AA055" w:rsidR="00C548E3" w:rsidRDefault="00C548E3"/>
    <w:p w14:paraId="4005CAF3" w14:textId="39479F99" w:rsidR="00C548E3" w:rsidRDefault="00C548E3"/>
    <w:p w14:paraId="0BC289D3" w14:textId="77777777" w:rsidR="00C548E3" w:rsidRDefault="00C548E3"/>
    <w:tbl>
      <w:tblPr>
        <w:tblpPr w:leftFromText="180" w:rightFromText="180" w:vertAnchor="text" w:horzAnchor="margin" w:tblpXSpec="center" w:tblpY="-269"/>
        <w:tblW w:w="1538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9355"/>
        <w:gridCol w:w="270"/>
        <w:gridCol w:w="1980"/>
        <w:gridCol w:w="1890"/>
        <w:gridCol w:w="1890"/>
      </w:tblGrid>
      <w:tr w:rsidR="00A97EAD" w:rsidRPr="00604D39" w14:paraId="4C55A912" w14:textId="77777777" w:rsidTr="00A97EAD">
        <w:tc>
          <w:tcPr>
            <w:tcW w:w="15385" w:type="dxa"/>
            <w:gridSpan w:val="5"/>
            <w:tcBorders>
              <w:top w:val="single" w:sz="4" w:space="0" w:color="auto"/>
              <w:left w:val="single" w:sz="4" w:space="0" w:color="auto"/>
              <w:bottom w:val="single" w:sz="4" w:space="0" w:color="auto"/>
              <w:right w:val="single" w:sz="4" w:space="0" w:color="auto"/>
            </w:tcBorders>
          </w:tcPr>
          <w:p w14:paraId="221CF7A8" w14:textId="77777777" w:rsidR="00A97EAD" w:rsidRDefault="00A97EAD" w:rsidP="00A97EAD">
            <w:pPr>
              <w:ind w:right="-108"/>
            </w:pPr>
            <w:r>
              <w:lastRenderedPageBreak/>
              <w:t>Supplemental Table C</w:t>
            </w:r>
            <w:r w:rsidRPr="00F5459D">
              <w:t xml:space="preserve">. Prevalence </w:t>
            </w:r>
            <w:r>
              <w:t xml:space="preserve">and adjusted odds </w:t>
            </w:r>
            <w:r w:rsidRPr="00F5459D">
              <w:t xml:space="preserve">of heroin use </w:t>
            </w:r>
            <w:r>
              <w:t xml:space="preserve">over 17 years </w:t>
            </w:r>
            <w:r w:rsidRPr="00F5459D">
              <w:t>as a function of medical use</w:t>
            </w:r>
            <w:r>
              <w:t xml:space="preserve"> and nonmedical misuse</w:t>
            </w:r>
            <w:r w:rsidRPr="00F5459D">
              <w:t xml:space="preserve"> history of prescription opi</w:t>
            </w:r>
            <w:r>
              <w:t>oids during adolescence</w:t>
            </w:r>
          </w:p>
        </w:tc>
      </w:tr>
      <w:tr w:rsidR="00A97EAD" w:rsidRPr="00604D39" w14:paraId="36CF9713" w14:textId="77777777" w:rsidTr="00A97EAD">
        <w:tc>
          <w:tcPr>
            <w:tcW w:w="9355" w:type="dxa"/>
            <w:tcBorders>
              <w:top w:val="single" w:sz="4" w:space="0" w:color="auto"/>
              <w:left w:val="single" w:sz="4" w:space="0" w:color="auto"/>
              <w:bottom w:val="single" w:sz="4" w:space="0" w:color="auto"/>
              <w:right w:val="single" w:sz="4" w:space="0" w:color="auto"/>
            </w:tcBorders>
          </w:tcPr>
          <w:p w14:paraId="0D43E47E" w14:textId="77777777" w:rsidR="00A97EAD" w:rsidRPr="00F5459D" w:rsidRDefault="00A97EAD" w:rsidP="00A97EAD">
            <w:pPr>
              <w:ind w:right="-108"/>
            </w:pPr>
          </w:p>
          <w:p w14:paraId="00A17E29" w14:textId="77777777" w:rsidR="00A97EAD" w:rsidRDefault="00A97EAD" w:rsidP="00A97EAD">
            <w:pPr>
              <w:ind w:right="-108"/>
            </w:pPr>
          </w:p>
          <w:p w14:paraId="4E7189D7" w14:textId="77777777" w:rsidR="00A97EAD" w:rsidRDefault="00A97EAD" w:rsidP="00A97EAD">
            <w:pPr>
              <w:ind w:right="-108"/>
            </w:pPr>
          </w:p>
          <w:p w14:paraId="74C1D79E" w14:textId="77777777" w:rsidR="00A97EAD" w:rsidRPr="00604D39" w:rsidRDefault="00A97EAD" w:rsidP="00A97EAD">
            <w:pPr>
              <w:ind w:right="-108"/>
            </w:pPr>
          </w:p>
        </w:tc>
        <w:tc>
          <w:tcPr>
            <w:tcW w:w="270" w:type="dxa"/>
            <w:tcBorders>
              <w:top w:val="single" w:sz="4" w:space="0" w:color="auto"/>
              <w:left w:val="single" w:sz="4" w:space="0" w:color="auto"/>
              <w:bottom w:val="single" w:sz="4" w:space="0" w:color="auto"/>
              <w:right w:val="single" w:sz="4" w:space="0" w:color="auto"/>
            </w:tcBorders>
          </w:tcPr>
          <w:p w14:paraId="4B79BDE3" w14:textId="77777777" w:rsidR="00A97EAD" w:rsidRPr="00604D39" w:rsidRDefault="00A97EAD" w:rsidP="00A97EAD">
            <w:pPr>
              <w:ind w:right="-108"/>
              <w:jc w:val="center"/>
            </w:pPr>
          </w:p>
          <w:p w14:paraId="1876801D" w14:textId="77777777" w:rsidR="00A97EAD" w:rsidRPr="00604D39" w:rsidRDefault="00A97EAD" w:rsidP="00A97EAD">
            <w:pPr>
              <w:ind w:right="-108"/>
              <w:jc w:val="center"/>
            </w:pPr>
          </w:p>
        </w:tc>
        <w:tc>
          <w:tcPr>
            <w:tcW w:w="1980" w:type="dxa"/>
            <w:tcBorders>
              <w:top w:val="single" w:sz="4" w:space="0" w:color="auto"/>
              <w:left w:val="single" w:sz="4" w:space="0" w:color="auto"/>
              <w:bottom w:val="single" w:sz="4" w:space="0" w:color="auto"/>
              <w:right w:val="single" w:sz="4" w:space="0" w:color="auto"/>
            </w:tcBorders>
          </w:tcPr>
          <w:p w14:paraId="151D996D" w14:textId="77777777" w:rsidR="00A97EAD" w:rsidRPr="0097573A" w:rsidRDefault="00A97EAD" w:rsidP="00A97EAD">
            <w:pPr>
              <w:ind w:right="-108"/>
              <w:jc w:val="center"/>
              <w:rPr>
                <w:b/>
              </w:rPr>
            </w:pPr>
            <w:r w:rsidRPr="0097573A">
              <w:rPr>
                <w:b/>
              </w:rPr>
              <w:t>ORIGINAL OUTCOME</w:t>
            </w:r>
          </w:p>
          <w:p w14:paraId="2B93A99D" w14:textId="77777777" w:rsidR="00A97EAD" w:rsidRDefault="00A97EAD" w:rsidP="00A97EAD">
            <w:pPr>
              <w:ind w:right="-108"/>
              <w:jc w:val="center"/>
            </w:pPr>
          </w:p>
          <w:p w14:paraId="5ADEBCA8" w14:textId="77777777" w:rsidR="00A97EAD" w:rsidRDefault="00A97EAD" w:rsidP="00A97EAD">
            <w:pPr>
              <w:ind w:right="-108"/>
              <w:jc w:val="center"/>
            </w:pPr>
            <w:r>
              <w:t xml:space="preserve">Heroin use </w:t>
            </w:r>
          </w:p>
          <w:p w14:paraId="2DF863F5" w14:textId="77777777" w:rsidR="00A97EAD" w:rsidRPr="00604D39" w:rsidRDefault="00A97EAD" w:rsidP="00A97EAD">
            <w:pPr>
              <w:ind w:right="-108"/>
              <w:jc w:val="center"/>
            </w:pPr>
            <w:r>
              <w:t>between ages 19</w:t>
            </w:r>
            <w:r w:rsidRPr="00604D39">
              <w:t xml:space="preserve"> to 35</w:t>
            </w:r>
          </w:p>
          <w:p w14:paraId="2D1F6933" w14:textId="77777777" w:rsidR="00A97EAD" w:rsidRPr="00604D39" w:rsidRDefault="00A97EAD" w:rsidP="00A97EAD">
            <w:pPr>
              <w:ind w:right="-108"/>
              <w:jc w:val="center"/>
            </w:pPr>
            <w:r w:rsidRPr="00604D39">
              <w:t>AOR (95% CI)</w:t>
            </w:r>
            <w:r>
              <w:rPr>
                <w:vertAlign w:val="superscript"/>
              </w:rPr>
              <w:t>a</w:t>
            </w:r>
          </w:p>
        </w:tc>
        <w:tc>
          <w:tcPr>
            <w:tcW w:w="1890" w:type="dxa"/>
            <w:tcBorders>
              <w:top w:val="single" w:sz="4" w:space="0" w:color="auto"/>
              <w:left w:val="single" w:sz="4" w:space="0" w:color="auto"/>
              <w:bottom w:val="single" w:sz="4" w:space="0" w:color="auto"/>
              <w:right w:val="single" w:sz="4" w:space="0" w:color="auto"/>
            </w:tcBorders>
          </w:tcPr>
          <w:p w14:paraId="29139009" w14:textId="77777777" w:rsidR="00A97EAD" w:rsidRPr="0097573A" w:rsidRDefault="00A97EAD" w:rsidP="00A97EAD">
            <w:pPr>
              <w:ind w:right="-108"/>
              <w:jc w:val="center"/>
              <w:rPr>
                <w:b/>
              </w:rPr>
            </w:pPr>
            <w:r w:rsidRPr="0097573A">
              <w:rPr>
                <w:b/>
              </w:rPr>
              <w:t>SUPPLEMENTAL OUTCOME</w:t>
            </w:r>
          </w:p>
          <w:p w14:paraId="6E89802F" w14:textId="77777777" w:rsidR="00A97EAD" w:rsidRDefault="00A97EAD" w:rsidP="00A97EAD">
            <w:pPr>
              <w:ind w:right="-108"/>
              <w:jc w:val="center"/>
            </w:pPr>
          </w:p>
          <w:p w14:paraId="2C077FE4" w14:textId="77777777" w:rsidR="00A97EAD" w:rsidRDefault="00A97EAD" w:rsidP="00A97EAD">
            <w:pPr>
              <w:ind w:right="-108"/>
              <w:jc w:val="center"/>
            </w:pPr>
            <w:r>
              <w:t xml:space="preserve">Heroin use </w:t>
            </w:r>
          </w:p>
          <w:p w14:paraId="36C20833" w14:textId="77777777" w:rsidR="00A97EAD" w:rsidRPr="00604D39" w:rsidRDefault="00A97EAD" w:rsidP="00A97EAD">
            <w:pPr>
              <w:ind w:right="-108"/>
              <w:jc w:val="center"/>
            </w:pPr>
            <w:r>
              <w:t>between age 19 to 22</w:t>
            </w:r>
            <w:r w:rsidRPr="0097573A">
              <w:rPr>
                <w:vertAlign w:val="superscript"/>
              </w:rPr>
              <w:t>d</w:t>
            </w:r>
          </w:p>
          <w:p w14:paraId="4CC1531C" w14:textId="77777777" w:rsidR="00A97EAD" w:rsidRPr="00604D39" w:rsidRDefault="00A97EAD" w:rsidP="00A97EAD">
            <w:pPr>
              <w:ind w:right="-108"/>
              <w:jc w:val="center"/>
            </w:pPr>
            <w:r w:rsidRPr="00604D39">
              <w:t>AOR (95% CI)</w:t>
            </w:r>
            <w:r>
              <w:rPr>
                <w:vertAlign w:val="superscript"/>
              </w:rPr>
              <w:t>a</w:t>
            </w:r>
          </w:p>
        </w:tc>
        <w:tc>
          <w:tcPr>
            <w:tcW w:w="1890" w:type="dxa"/>
            <w:tcBorders>
              <w:top w:val="single" w:sz="4" w:space="0" w:color="auto"/>
              <w:left w:val="single" w:sz="4" w:space="0" w:color="auto"/>
              <w:bottom w:val="single" w:sz="4" w:space="0" w:color="auto"/>
              <w:right w:val="single" w:sz="4" w:space="0" w:color="auto"/>
            </w:tcBorders>
          </w:tcPr>
          <w:p w14:paraId="2F9E370F" w14:textId="77777777" w:rsidR="00A97EAD" w:rsidRPr="0097573A" w:rsidRDefault="00A97EAD" w:rsidP="00A97EAD">
            <w:pPr>
              <w:ind w:right="-108"/>
              <w:jc w:val="center"/>
              <w:rPr>
                <w:b/>
              </w:rPr>
            </w:pPr>
            <w:r w:rsidRPr="0097573A">
              <w:rPr>
                <w:b/>
              </w:rPr>
              <w:t>SUPPLEMENTAL OUTCOME</w:t>
            </w:r>
          </w:p>
          <w:p w14:paraId="63B304C7" w14:textId="77777777" w:rsidR="00A97EAD" w:rsidRDefault="00A97EAD" w:rsidP="00A97EAD">
            <w:pPr>
              <w:ind w:right="-108"/>
              <w:jc w:val="center"/>
            </w:pPr>
          </w:p>
          <w:p w14:paraId="65CB2753" w14:textId="77777777" w:rsidR="00A97EAD" w:rsidRDefault="00A97EAD" w:rsidP="00A97EAD">
            <w:pPr>
              <w:ind w:right="-108"/>
              <w:jc w:val="center"/>
            </w:pPr>
            <w:r>
              <w:t>Heroin use frequency (mean) ages 19 to 35</w:t>
            </w:r>
            <w:r w:rsidRPr="0097573A">
              <w:rPr>
                <w:vertAlign w:val="superscript"/>
              </w:rPr>
              <w:t>e</w:t>
            </w:r>
          </w:p>
          <w:p w14:paraId="3DB07D9C" w14:textId="77777777" w:rsidR="00A97EAD" w:rsidRPr="00604D39" w:rsidRDefault="00A97EAD" w:rsidP="00A97EAD">
            <w:pPr>
              <w:ind w:right="-108"/>
              <w:jc w:val="center"/>
            </w:pPr>
            <w:r>
              <w:t>IR</w:t>
            </w:r>
            <w:r w:rsidRPr="00604D39">
              <w:t>R</w:t>
            </w:r>
            <w:r w:rsidRPr="0097573A">
              <w:rPr>
                <w:vertAlign w:val="superscript"/>
              </w:rPr>
              <w:t>e</w:t>
            </w:r>
            <w:r w:rsidRPr="00604D39">
              <w:t xml:space="preserve"> (95% CI)</w:t>
            </w:r>
            <w:r>
              <w:rPr>
                <w:vertAlign w:val="superscript"/>
              </w:rPr>
              <w:t>a</w:t>
            </w:r>
          </w:p>
        </w:tc>
      </w:tr>
      <w:tr w:rsidR="00A97EAD" w:rsidRPr="00604D39" w14:paraId="30170604" w14:textId="77777777" w:rsidTr="00A97EAD">
        <w:trPr>
          <w:trHeight w:val="1088"/>
        </w:trPr>
        <w:tc>
          <w:tcPr>
            <w:tcW w:w="9355" w:type="dxa"/>
            <w:tcBorders>
              <w:top w:val="single" w:sz="4" w:space="0" w:color="auto"/>
              <w:left w:val="single" w:sz="4" w:space="0" w:color="auto"/>
              <w:bottom w:val="single" w:sz="4" w:space="0" w:color="auto"/>
              <w:right w:val="single" w:sz="4" w:space="0" w:color="auto"/>
            </w:tcBorders>
          </w:tcPr>
          <w:p w14:paraId="54E37FBB" w14:textId="77777777" w:rsidR="00A97EAD" w:rsidRPr="00604D39" w:rsidRDefault="00A97EAD" w:rsidP="00A97EAD">
            <w:pPr>
              <w:ind w:right="-108"/>
              <w:rPr>
                <w:u w:val="single"/>
              </w:rPr>
            </w:pPr>
            <w:r>
              <w:rPr>
                <w:u w:val="single"/>
              </w:rPr>
              <w:t>Lifetime medical use/</w:t>
            </w:r>
            <w:r w:rsidRPr="00604D39">
              <w:rPr>
                <w:u w:val="single"/>
              </w:rPr>
              <w:t xml:space="preserve">nonmedical </w:t>
            </w:r>
            <w:r>
              <w:rPr>
                <w:u w:val="single"/>
              </w:rPr>
              <w:t>mis</w:t>
            </w:r>
            <w:r w:rsidRPr="00604D39">
              <w:rPr>
                <w:u w:val="single"/>
              </w:rPr>
              <w:t>use</w:t>
            </w:r>
            <w:r>
              <w:rPr>
                <w:u w:val="single"/>
              </w:rPr>
              <w:t xml:space="preserve"> (at age 18 and earlier &amp; between ages 19 to 35)</w:t>
            </w:r>
          </w:p>
          <w:p w14:paraId="36A7FBE1" w14:textId="77777777" w:rsidR="00A97EAD" w:rsidRPr="00604D39" w:rsidRDefault="00A97EAD" w:rsidP="00A97EAD">
            <w:pPr>
              <w:ind w:right="-108"/>
            </w:pPr>
            <w:r w:rsidRPr="00604D39">
              <w:t>No medi</w:t>
            </w:r>
            <w:r>
              <w:t>cal or nonmedical use (n = 3,385; never exposed to opioids during the entire study period</w:t>
            </w:r>
            <w:r w:rsidRPr="00604D39">
              <w:t>)</w:t>
            </w:r>
            <w:r w:rsidRPr="00794DEB">
              <w:rPr>
                <w:vertAlign w:val="superscript"/>
              </w:rPr>
              <w:t>b</w:t>
            </w:r>
          </w:p>
          <w:p w14:paraId="6576C37F" w14:textId="77777777" w:rsidR="00A97EAD" w:rsidRPr="00604D39" w:rsidRDefault="00A97EAD" w:rsidP="00A97EAD">
            <w:pPr>
              <w:ind w:right="-108"/>
            </w:pPr>
            <w:r>
              <w:t>Medical use only by age 18 (n = 992</w:t>
            </w:r>
            <w:r w:rsidRPr="00604D39">
              <w:t>)</w:t>
            </w:r>
            <w:r w:rsidRPr="00794DEB">
              <w:rPr>
                <w:vertAlign w:val="superscript"/>
              </w:rPr>
              <w:t>b</w:t>
            </w:r>
            <w:r w:rsidRPr="00604D39">
              <w:t xml:space="preserve"> </w:t>
            </w:r>
          </w:p>
          <w:p w14:paraId="1836DA66" w14:textId="77777777" w:rsidR="00A97EAD" w:rsidRDefault="00A97EAD" w:rsidP="00A97EAD">
            <w:pPr>
              <w:ind w:right="-108"/>
            </w:pPr>
            <w:r w:rsidRPr="00604D39">
              <w:t>Medica</w:t>
            </w:r>
            <w:r>
              <w:t>l use followed by nonmedical use by age 18 (n = 407</w:t>
            </w:r>
            <w:r w:rsidRPr="00604D39">
              <w:t>)</w:t>
            </w:r>
            <w:r w:rsidRPr="00794DEB">
              <w:rPr>
                <w:vertAlign w:val="superscript"/>
              </w:rPr>
              <w:t>b</w:t>
            </w:r>
          </w:p>
          <w:p w14:paraId="0B6526D1" w14:textId="77777777" w:rsidR="00A97EAD" w:rsidRDefault="00A97EAD" w:rsidP="00A97EAD">
            <w:pPr>
              <w:ind w:right="-108"/>
            </w:pPr>
            <w:r>
              <w:t>Nonmedical use followed by medical use by age 18 (n = 196</w:t>
            </w:r>
            <w:r w:rsidRPr="00604D39">
              <w:t>)</w:t>
            </w:r>
            <w:r w:rsidRPr="00794DEB">
              <w:rPr>
                <w:vertAlign w:val="superscript"/>
              </w:rPr>
              <w:t>b</w:t>
            </w:r>
          </w:p>
          <w:p w14:paraId="428ED666" w14:textId="77777777" w:rsidR="00A97EAD" w:rsidRDefault="00A97EAD" w:rsidP="00A97EAD">
            <w:pPr>
              <w:ind w:right="-108"/>
              <w:rPr>
                <w:vertAlign w:val="superscript"/>
              </w:rPr>
            </w:pPr>
            <w:r>
              <w:t>Nonmedical use only by age 18 (n = 405)</w:t>
            </w:r>
          </w:p>
          <w:p w14:paraId="7CC3E2EA" w14:textId="77777777" w:rsidR="00A97EAD" w:rsidRPr="00F3560D" w:rsidRDefault="00A97EAD" w:rsidP="00A97EAD">
            <w:pPr>
              <w:ind w:right="-108"/>
            </w:pPr>
            <w:r>
              <w:t xml:space="preserve">Prescription opioid use between ages of 19 and 35 (not exposed at baseline [age 18 or younger]) (n = </w:t>
            </w:r>
            <w:r w:rsidRPr="00E807ED">
              <w:rPr>
                <w:u w:val="single"/>
              </w:rPr>
              <w:t>3051</w:t>
            </w:r>
            <w:r>
              <w:t>)</w:t>
            </w:r>
          </w:p>
        </w:tc>
        <w:tc>
          <w:tcPr>
            <w:tcW w:w="270" w:type="dxa"/>
            <w:tcBorders>
              <w:top w:val="single" w:sz="4" w:space="0" w:color="auto"/>
              <w:left w:val="single" w:sz="4" w:space="0" w:color="auto"/>
              <w:bottom w:val="single" w:sz="4" w:space="0" w:color="auto"/>
              <w:right w:val="single" w:sz="4" w:space="0" w:color="auto"/>
            </w:tcBorders>
          </w:tcPr>
          <w:p w14:paraId="01E51F60" w14:textId="77777777" w:rsidR="00A97EAD" w:rsidRPr="00604D39" w:rsidRDefault="00A97EAD" w:rsidP="00A97EAD">
            <w:pPr>
              <w:jc w:val="center"/>
            </w:pPr>
          </w:p>
          <w:p w14:paraId="4DF15CCC" w14:textId="77777777" w:rsidR="00A97EAD" w:rsidRPr="00604D39" w:rsidRDefault="00A97EAD" w:rsidP="00A97EAD">
            <w:pPr>
              <w:jc w:val="center"/>
            </w:pPr>
          </w:p>
        </w:tc>
        <w:tc>
          <w:tcPr>
            <w:tcW w:w="1980" w:type="dxa"/>
            <w:tcBorders>
              <w:top w:val="single" w:sz="4" w:space="0" w:color="auto"/>
              <w:left w:val="single" w:sz="4" w:space="0" w:color="auto"/>
              <w:bottom w:val="single" w:sz="4" w:space="0" w:color="auto"/>
              <w:right w:val="single" w:sz="4" w:space="0" w:color="auto"/>
            </w:tcBorders>
            <w:vAlign w:val="center"/>
          </w:tcPr>
          <w:p w14:paraId="3F81DD6C" w14:textId="77777777" w:rsidR="00A97EAD" w:rsidRPr="00604D39" w:rsidRDefault="00A97EAD" w:rsidP="00A97EAD">
            <w:pPr>
              <w:jc w:val="center"/>
            </w:pPr>
          </w:p>
          <w:p w14:paraId="74184482" w14:textId="77777777" w:rsidR="00A97EAD" w:rsidRPr="00604D39" w:rsidRDefault="00A97EAD" w:rsidP="00A97EAD">
            <w:pPr>
              <w:jc w:val="center"/>
            </w:pPr>
            <w:r w:rsidRPr="00604D39">
              <w:t>Reference</w:t>
            </w:r>
          </w:p>
          <w:p w14:paraId="62092BFB" w14:textId="77777777" w:rsidR="00A97EAD" w:rsidRPr="00604D39" w:rsidRDefault="00A97EAD" w:rsidP="00A97EAD">
            <w:pPr>
              <w:jc w:val="center"/>
            </w:pPr>
            <w:r>
              <w:t>5.30 (2.84, 9.90</w:t>
            </w:r>
            <w:r w:rsidRPr="00604D39">
              <w:t>)</w:t>
            </w:r>
            <w:r>
              <w:t>***</w:t>
            </w:r>
          </w:p>
          <w:p w14:paraId="14E926A9" w14:textId="77777777" w:rsidR="00A97EAD" w:rsidRPr="00604D39" w:rsidRDefault="00A97EAD" w:rsidP="00A97EAD">
            <w:pPr>
              <w:jc w:val="center"/>
            </w:pPr>
            <w:r>
              <w:t>6.25 (2.93, 13.3</w:t>
            </w:r>
            <w:r w:rsidRPr="00604D39">
              <w:t>)</w:t>
            </w:r>
            <w:r>
              <w:t>***</w:t>
            </w:r>
          </w:p>
          <w:p w14:paraId="4F7CD924" w14:textId="77777777" w:rsidR="00A97EAD" w:rsidRPr="00604D39" w:rsidRDefault="00A97EAD" w:rsidP="00A97EAD">
            <w:pPr>
              <w:jc w:val="center"/>
            </w:pPr>
            <w:r>
              <w:t>14.1 (6.76, 29.5</w:t>
            </w:r>
            <w:r w:rsidRPr="00604D39">
              <w:t>)</w:t>
            </w:r>
            <w:r>
              <w:t>***</w:t>
            </w:r>
          </w:p>
          <w:p w14:paraId="03A31951" w14:textId="77777777" w:rsidR="00A97EAD" w:rsidRPr="00604D39" w:rsidRDefault="00A97EAD" w:rsidP="00A97EAD">
            <w:pPr>
              <w:jc w:val="center"/>
            </w:pPr>
            <w:r>
              <w:t>18.1 (9.87, 33.4</w:t>
            </w:r>
            <w:r w:rsidRPr="00604D39">
              <w:t>)</w:t>
            </w:r>
            <w:r>
              <w:t>***</w:t>
            </w:r>
          </w:p>
          <w:p w14:paraId="230EE6BC" w14:textId="77777777" w:rsidR="00A97EAD" w:rsidRPr="00116BE5" w:rsidRDefault="00A97EAD" w:rsidP="00A97EAD">
            <w:pPr>
              <w:jc w:val="center"/>
            </w:pPr>
            <w:r>
              <w:t>5.60 (3.32, 9.44</w:t>
            </w:r>
            <w:r w:rsidRPr="00604D39">
              <w:t>)</w:t>
            </w:r>
            <w:r>
              <w:t>***</w:t>
            </w:r>
          </w:p>
          <w:p w14:paraId="0DB67784" w14:textId="77777777" w:rsidR="00A97EAD" w:rsidRPr="00604D39" w:rsidRDefault="00A97EAD" w:rsidP="00A97EAD">
            <w:pPr>
              <w:jc w:val="center"/>
            </w:pPr>
            <w:r>
              <w:rPr>
                <w:vertAlign w:val="superscript"/>
              </w:rPr>
              <w:t>c</w:t>
            </w:r>
            <w:r>
              <w:t>(n = 8130</w:t>
            </w:r>
            <w:r w:rsidRPr="00604D39">
              <w:t>)</w:t>
            </w:r>
          </w:p>
        </w:tc>
        <w:tc>
          <w:tcPr>
            <w:tcW w:w="1890" w:type="dxa"/>
            <w:tcBorders>
              <w:top w:val="single" w:sz="4" w:space="0" w:color="auto"/>
              <w:left w:val="single" w:sz="4" w:space="0" w:color="auto"/>
              <w:bottom w:val="single" w:sz="4" w:space="0" w:color="auto"/>
              <w:right w:val="single" w:sz="4" w:space="0" w:color="auto"/>
            </w:tcBorders>
            <w:vAlign w:val="center"/>
          </w:tcPr>
          <w:p w14:paraId="2C13C5CA" w14:textId="77777777" w:rsidR="00A97EAD" w:rsidRPr="00604D39" w:rsidRDefault="00A97EAD" w:rsidP="00A97EAD">
            <w:pPr>
              <w:jc w:val="center"/>
            </w:pPr>
          </w:p>
          <w:p w14:paraId="0D97B120" w14:textId="77777777" w:rsidR="00A97EAD" w:rsidRPr="00604D39" w:rsidRDefault="00A97EAD" w:rsidP="00A97EAD">
            <w:pPr>
              <w:jc w:val="center"/>
            </w:pPr>
            <w:r w:rsidRPr="00604D39">
              <w:t>Reference</w:t>
            </w:r>
          </w:p>
          <w:p w14:paraId="0F72CAD5" w14:textId="77777777" w:rsidR="00A97EAD" w:rsidRPr="00604D39" w:rsidRDefault="00A97EAD" w:rsidP="00A97EAD">
            <w:pPr>
              <w:jc w:val="center"/>
            </w:pPr>
            <w:r>
              <w:t>3.06 (0.63, 14.8</w:t>
            </w:r>
            <w:r w:rsidRPr="00604D39">
              <w:t>)</w:t>
            </w:r>
          </w:p>
          <w:p w14:paraId="41DBF551" w14:textId="77777777" w:rsidR="00A97EAD" w:rsidRPr="00604D39" w:rsidRDefault="00A97EAD" w:rsidP="00A97EAD">
            <w:pPr>
              <w:jc w:val="center"/>
            </w:pPr>
            <w:r>
              <w:t>7.77 (1.62, 37.4</w:t>
            </w:r>
            <w:r w:rsidRPr="00604D39">
              <w:t>)</w:t>
            </w:r>
            <w:r>
              <w:t>**</w:t>
            </w:r>
          </w:p>
          <w:p w14:paraId="2E5EF726" w14:textId="77777777" w:rsidR="00A97EAD" w:rsidRPr="00604D39" w:rsidRDefault="00A97EAD" w:rsidP="00A97EAD">
            <w:pPr>
              <w:jc w:val="center"/>
            </w:pPr>
            <w:r>
              <w:t>5.80 (1.12, 29.9</w:t>
            </w:r>
            <w:r w:rsidRPr="00604D39">
              <w:t>)</w:t>
            </w:r>
            <w:r>
              <w:t>*</w:t>
            </w:r>
          </w:p>
          <w:p w14:paraId="0C3C34AA" w14:textId="77777777" w:rsidR="00A97EAD" w:rsidRPr="00604D39" w:rsidRDefault="00A97EAD" w:rsidP="00A97EAD">
            <w:pPr>
              <w:jc w:val="center"/>
            </w:pPr>
            <w:r>
              <w:t>14.6 (3.83, 56.1</w:t>
            </w:r>
            <w:r w:rsidRPr="00604D39">
              <w:t>)</w:t>
            </w:r>
            <w:r>
              <w:t>***</w:t>
            </w:r>
          </w:p>
          <w:p w14:paraId="7CBD18A6" w14:textId="77777777" w:rsidR="00A97EAD" w:rsidRPr="00116BE5" w:rsidRDefault="00A97EAD" w:rsidP="00A97EAD">
            <w:pPr>
              <w:jc w:val="center"/>
            </w:pPr>
            <w:r>
              <w:t>3.39 (0.86, 13.3</w:t>
            </w:r>
            <w:r w:rsidRPr="00604D39">
              <w:t>)</w:t>
            </w:r>
          </w:p>
          <w:p w14:paraId="7D678FA9" w14:textId="77777777" w:rsidR="00A97EAD" w:rsidRPr="00604D39" w:rsidRDefault="00A97EAD" w:rsidP="00A97EAD">
            <w:pPr>
              <w:jc w:val="center"/>
            </w:pPr>
            <w:r>
              <w:rPr>
                <w:vertAlign w:val="superscript"/>
              </w:rPr>
              <w:t>c</w:t>
            </w:r>
            <w:r>
              <w:t>(n = 8130</w:t>
            </w:r>
            <w:r w:rsidRPr="00604D39">
              <w:t>)</w:t>
            </w:r>
          </w:p>
        </w:tc>
        <w:tc>
          <w:tcPr>
            <w:tcW w:w="1890" w:type="dxa"/>
            <w:tcBorders>
              <w:top w:val="single" w:sz="4" w:space="0" w:color="auto"/>
              <w:left w:val="single" w:sz="4" w:space="0" w:color="auto"/>
              <w:bottom w:val="single" w:sz="4" w:space="0" w:color="auto"/>
              <w:right w:val="single" w:sz="4" w:space="0" w:color="auto"/>
            </w:tcBorders>
          </w:tcPr>
          <w:p w14:paraId="08FF543D" w14:textId="77777777" w:rsidR="00A97EAD" w:rsidRDefault="00A97EAD" w:rsidP="00A97EAD">
            <w:pPr>
              <w:jc w:val="center"/>
            </w:pPr>
          </w:p>
          <w:p w14:paraId="464F55CB" w14:textId="77777777" w:rsidR="00A97EAD" w:rsidRPr="00604D39" w:rsidRDefault="00A97EAD" w:rsidP="00A97EAD">
            <w:pPr>
              <w:jc w:val="center"/>
            </w:pPr>
            <w:r w:rsidRPr="00604D39">
              <w:t>Reference</w:t>
            </w:r>
          </w:p>
          <w:p w14:paraId="6C9B17F9" w14:textId="77777777" w:rsidR="00A97EAD" w:rsidRPr="00604D39" w:rsidRDefault="00A97EAD" w:rsidP="00A97EAD">
            <w:pPr>
              <w:jc w:val="center"/>
            </w:pPr>
            <w:r>
              <w:t>3.21 (1.04, 9.91</w:t>
            </w:r>
            <w:r w:rsidRPr="00604D39">
              <w:t>)</w:t>
            </w:r>
            <w:r>
              <w:t>*</w:t>
            </w:r>
          </w:p>
          <w:p w14:paraId="14F39363" w14:textId="77777777" w:rsidR="00A97EAD" w:rsidRPr="00604D39" w:rsidRDefault="00A97EAD" w:rsidP="00A97EAD">
            <w:pPr>
              <w:jc w:val="center"/>
            </w:pPr>
            <w:r>
              <w:t>15.8 (4.87, 51.3</w:t>
            </w:r>
            <w:r w:rsidRPr="00604D39">
              <w:t>)</w:t>
            </w:r>
            <w:r>
              <w:t>***</w:t>
            </w:r>
          </w:p>
          <w:p w14:paraId="5F69EE0B" w14:textId="77777777" w:rsidR="00A97EAD" w:rsidRPr="00604D39" w:rsidRDefault="00A97EAD" w:rsidP="00A97EAD">
            <w:pPr>
              <w:jc w:val="center"/>
            </w:pPr>
            <w:r>
              <w:t>19.3 (3.99, 93.4</w:t>
            </w:r>
            <w:r w:rsidRPr="00604D39">
              <w:t>)</w:t>
            </w:r>
            <w:r>
              <w:t>***</w:t>
            </w:r>
          </w:p>
          <w:p w14:paraId="7DDDF4DC" w14:textId="77777777" w:rsidR="00A97EAD" w:rsidRPr="00604D39" w:rsidRDefault="00A97EAD" w:rsidP="00A97EAD">
            <w:pPr>
              <w:jc w:val="center"/>
            </w:pPr>
            <w:r>
              <w:t>18.4 (6.58, 51.7</w:t>
            </w:r>
            <w:r w:rsidRPr="00604D39">
              <w:t>)</w:t>
            </w:r>
            <w:r>
              <w:t>***</w:t>
            </w:r>
          </w:p>
          <w:p w14:paraId="47078618" w14:textId="77777777" w:rsidR="00A97EAD" w:rsidRPr="00116BE5" w:rsidRDefault="00A97EAD" w:rsidP="00A97EAD">
            <w:pPr>
              <w:jc w:val="center"/>
            </w:pPr>
            <w:r>
              <w:t>7.70 (2.94, 20.1</w:t>
            </w:r>
            <w:r w:rsidRPr="00604D39">
              <w:t>)</w:t>
            </w:r>
            <w:r>
              <w:t>***</w:t>
            </w:r>
          </w:p>
          <w:p w14:paraId="06B02F66" w14:textId="77777777" w:rsidR="00A97EAD" w:rsidRPr="00604D39" w:rsidRDefault="00A97EAD" w:rsidP="00A97EAD">
            <w:pPr>
              <w:jc w:val="center"/>
            </w:pPr>
            <w:r>
              <w:rPr>
                <w:vertAlign w:val="superscript"/>
              </w:rPr>
              <w:t>c</w:t>
            </w:r>
            <w:r>
              <w:t>(n = 8130</w:t>
            </w:r>
            <w:r w:rsidRPr="00604D39">
              <w:t>)</w:t>
            </w:r>
          </w:p>
        </w:tc>
      </w:tr>
      <w:tr w:rsidR="00A97EAD" w:rsidRPr="00604D39" w14:paraId="461A5111" w14:textId="77777777" w:rsidTr="00A97EAD">
        <w:trPr>
          <w:trHeight w:val="1088"/>
        </w:trPr>
        <w:tc>
          <w:tcPr>
            <w:tcW w:w="15385" w:type="dxa"/>
            <w:gridSpan w:val="5"/>
            <w:tcBorders>
              <w:top w:val="single" w:sz="4" w:space="0" w:color="auto"/>
              <w:left w:val="single" w:sz="4" w:space="0" w:color="auto"/>
              <w:bottom w:val="single" w:sz="4" w:space="0" w:color="auto"/>
              <w:right w:val="single" w:sz="4" w:space="0" w:color="auto"/>
            </w:tcBorders>
          </w:tcPr>
          <w:p w14:paraId="7E4E9680" w14:textId="77777777" w:rsidR="00A97EAD" w:rsidRDefault="00A97EAD" w:rsidP="00A97EAD">
            <w:pPr>
              <w:overflowPunct w:val="0"/>
              <w:autoSpaceDE w:val="0"/>
              <w:autoSpaceDN w:val="0"/>
              <w:adjustRightInd w:val="0"/>
              <w:textAlignment w:val="baseline"/>
              <w:rPr>
                <w:sz w:val="16"/>
                <w:szCs w:val="16"/>
              </w:rPr>
            </w:pPr>
            <w:r w:rsidRPr="00D9540B">
              <w:rPr>
                <w:sz w:val="16"/>
                <w:szCs w:val="16"/>
              </w:rPr>
              <w:t>p&lt;.05*, p&lt;.01**, p&lt;.001***</w:t>
            </w:r>
          </w:p>
          <w:p w14:paraId="27F09E8B" w14:textId="77777777" w:rsidR="00A97EAD" w:rsidRPr="006918CC" w:rsidRDefault="00A97EAD" w:rsidP="00A97EAD">
            <w:pPr>
              <w:overflowPunct w:val="0"/>
              <w:autoSpaceDE w:val="0"/>
              <w:autoSpaceDN w:val="0"/>
              <w:adjustRightInd w:val="0"/>
              <w:textAlignment w:val="baseline"/>
              <w:rPr>
                <w:sz w:val="16"/>
                <w:szCs w:val="16"/>
              </w:rPr>
            </w:pPr>
            <w:r>
              <w:rPr>
                <w:sz w:val="16"/>
                <w:szCs w:val="16"/>
                <w:vertAlign w:val="superscript"/>
              </w:rPr>
              <w:t>a</w:t>
            </w:r>
            <w:r w:rsidRPr="00F5459D">
              <w:rPr>
                <w:sz w:val="16"/>
                <w:szCs w:val="16"/>
              </w:rPr>
              <w:t>All analyses control for race (i.e., White, Black, Hispanic, Other race), sex (i.e., Male and Female), highest level of parental education, geographic region (i.e., Northeast, Northcentral, South and West), metropolitan statistical area (i.e., large MSA, other MSA, and non-MSA), and baseline cohort year, and baseline m</w:t>
            </w:r>
            <w:r>
              <w:rPr>
                <w:sz w:val="16"/>
                <w:szCs w:val="16"/>
              </w:rPr>
              <w:t>easures of past two week binge drinking, past 30 day</w:t>
            </w:r>
            <w:r w:rsidRPr="00F5459D">
              <w:rPr>
                <w:sz w:val="16"/>
                <w:szCs w:val="16"/>
              </w:rPr>
              <w:t xml:space="preserve"> marijua</w:t>
            </w:r>
            <w:r>
              <w:rPr>
                <w:sz w:val="16"/>
                <w:szCs w:val="16"/>
              </w:rPr>
              <w:t>na use, and past 30 day cigarette</w:t>
            </w:r>
            <w:r w:rsidRPr="00F5459D">
              <w:rPr>
                <w:sz w:val="16"/>
                <w:szCs w:val="16"/>
              </w:rPr>
              <w:t xml:space="preserve"> use.</w:t>
            </w:r>
            <w:r w:rsidRPr="00F5459D">
              <w:rPr>
                <w:color w:val="000000"/>
                <w:sz w:val="16"/>
                <w:szCs w:val="16"/>
              </w:rPr>
              <w:t xml:space="preserve"> </w:t>
            </w:r>
          </w:p>
          <w:p w14:paraId="54FEFFA7" w14:textId="77777777" w:rsidR="00A97EAD" w:rsidRDefault="00A97EAD" w:rsidP="00A97EAD">
            <w:pPr>
              <w:overflowPunct w:val="0"/>
              <w:autoSpaceDE w:val="0"/>
              <w:autoSpaceDN w:val="0"/>
              <w:adjustRightInd w:val="0"/>
              <w:textAlignment w:val="baseline"/>
              <w:rPr>
                <w:sz w:val="16"/>
                <w:szCs w:val="16"/>
              </w:rPr>
            </w:pPr>
            <w:r>
              <w:rPr>
                <w:sz w:val="16"/>
                <w:szCs w:val="16"/>
                <w:vertAlign w:val="superscript"/>
              </w:rPr>
              <w:t>b</w:t>
            </w:r>
            <w:r>
              <w:rPr>
                <w:sz w:val="16"/>
                <w:szCs w:val="16"/>
              </w:rPr>
              <w:t xml:space="preserve">Sample size drops based on attrition in the panel sample (sample sizes are unweighted). </w:t>
            </w:r>
            <w:r w:rsidRPr="00794DEB">
              <w:rPr>
                <w:sz w:val="16"/>
                <w:szCs w:val="16"/>
                <w:vertAlign w:val="superscript"/>
              </w:rPr>
              <w:t>c</w:t>
            </w:r>
            <w:r>
              <w:rPr>
                <w:sz w:val="16"/>
                <w:szCs w:val="16"/>
              </w:rPr>
              <w:t xml:space="preserve">Sample size drops due to attrition and missing data on control variables (sample sizes are unweighted). </w:t>
            </w:r>
            <w:r w:rsidRPr="0097573A">
              <w:rPr>
                <w:sz w:val="16"/>
                <w:szCs w:val="16"/>
                <w:vertAlign w:val="superscript"/>
              </w:rPr>
              <w:t xml:space="preserve"> d</w:t>
            </w:r>
            <w:r>
              <w:rPr>
                <w:sz w:val="16"/>
                <w:szCs w:val="16"/>
              </w:rPr>
              <w:t xml:space="preserve">This outcome used past-year heroin use to capture when respondents first started using heroin after the age of 18. </w:t>
            </w:r>
            <w:r w:rsidRPr="0097573A">
              <w:rPr>
                <w:sz w:val="16"/>
                <w:szCs w:val="16"/>
                <w:vertAlign w:val="superscript"/>
              </w:rPr>
              <w:t>e</w:t>
            </w:r>
            <w:r>
              <w:rPr>
                <w:sz w:val="16"/>
                <w:szCs w:val="16"/>
              </w:rPr>
              <w:t xml:space="preserve">This outcome used the average frequency of past-year heroin use between age 19 and 35 (the seven possible response options ranged from ‘0 occasions’ to ’40 or more occasions’. </w:t>
            </w:r>
            <w:r w:rsidRPr="0097573A">
              <w:rPr>
                <w:sz w:val="16"/>
                <w:szCs w:val="16"/>
                <w:vertAlign w:val="superscript"/>
              </w:rPr>
              <w:t>f</w:t>
            </w:r>
            <w:r>
              <w:rPr>
                <w:sz w:val="16"/>
                <w:szCs w:val="16"/>
              </w:rPr>
              <w:t>These models used negative binomral regression due to the continuous nature of the outcome variable.</w:t>
            </w:r>
          </w:p>
          <w:p w14:paraId="55A29C9B" w14:textId="77777777" w:rsidR="00A97EAD" w:rsidRDefault="00A97EAD" w:rsidP="00A97EAD">
            <w:pPr>
              <w:overflowPunct w:val="0"/>
              <w:autoSpaceDE w:val="0"/>
              <w:autoSpaceDN w:val="0"/>
              <w:adjustRightInd w:val="0"/>
              <w:textAlignment w:val="baseline"/>
              <w:rPr>
                <w:sz w:val="16"/>
                <w:szCs w:val="16"/>
              </w:rPr>
            </w:pPr>
            <w:r w:rsidRPr="00F319D4">
              <w:rPr>
                <w:sz w:val="16"/>
                <w:szCs w:val="16"/>
              </w:rPr>
              <w:t xml:space="preserve"> </w:t>
            </w:r>
            <w:r>
              <w:rPr>
                <w:sz w:val="16"/>
                <w:szCs w:val="16"/>
              </w:rPr>
              <w:t>I</w:t>
            </w:r>
            <w:r w:rsidRPr="00F319D4">
              <w:rPr>
                <w:sz w:val="16"/>
                <w:szCs w:val="16"/>
              </w:rPr>
              <w:t>ndividuals who reported any lifetime heroin use at baseline</w:t>
            </w:r>
            <w:r>
              <w:rPr>
                <w:sz w:val="16"/>
                <w:szCs w:val="16"/>
              </w:rPr>
              <w:t xml:space="preserve"> (modal age 18) were excluded (n = 179).</w:t>
            </w:r>
            <w:r w:rsidRPr="00F319D4">
              <w:rPr>
                <w:sz w:val="16"/>
                <w:szCs w:val="16"/>
              </w:rPr>
              <w:t xml:space="preserve"> A random one-sixth of the overall panel sample received</w:t>
            </w:r>
            <w:r w:rsidRPr="00737674">
              <w:rPr>
                <w:sz w:val="16"/>
                <w:szCs w:val="16"/>
              </w:rPr>
              <w:t xml:space="preserve"> the </w:t>
            </w:r>
            <w:r>
              <w:rPr>
                <w:sz w:val="16"/>
                <w:szCs w:val="16"/>
              </w:rPr>
              <w:t>questions regarding medical and nonmedical prescription opioid use</w:t>
            </w:r>
            <w:r w:rsidRPr="00737674">
              <w:rPr>
                <w:sz w:val="16"/>
                <w:szCs w:val="16"/>
              </w:rPr>
              <w:t>.</w:t>
            </w:r>
            <w:r w:rsidRPr="000524E4">
              <w:t xml:space="preserve"> </w:t>
            </w:r>
            <w:r w:rsidRPr="0026295D">
              <w:rPr>
                <w:sz w:val="16"/>
                <w:szCs w:val="16"/>
              </w:rPr>
              <w:t>All percentages and adjusted odds ratios (AOR) use attrition weights at age 35.</w:t>
            </w:r>
          </w:p>
          <w:p w14:paraId="5A5ED893" w14:textId="77777777" w:rsidR="00A97EAD" w:rsidRDefault="00A97EAD" w:rsidP="00A97EAD">
            <w:pPr>
              <w:overflowPunct w:val="0"/>
              <w:autoSpaceDE w:val="0"/>
              <w:autoSpaceDN w:val="0"/>
              <w:adjustRightInd w:val="0"/>
              <w:textAlignment w:val="baseline"/>
              <w:rPr>
                <w:sz w:val="16"/>
                <w:szCs w:val="16"/>
              </w:rPr>
            </w:pPr>
          </w:p>
          <w:p w14:paraId="03A75952" w14:textId="77777777" w:rsidR="00A97EAD" w:rsidRPr="00604D39" w:rsidRDefault="00A97EAD" w:rsidP="00A97EAD">
            <w:pPr>
              <w:overflowPunct w:val="0"/>
              <w:autoSpaceDE w:val="0"/>
              <w:autoSpaceDN w:val="0"/>
              <w:adjustRightInd w:val="0"/>
              <w:textAlignment w:val="baseline"/>
              <w:rPr>
                <w:sz w:val="16"/>
                <w:szCs w:val="16"/>
              </w:rPr>
            </w:pPr>
          </w:p>
        </w:tc>
      </w:tr>
    </w:tbl>
    <w:p w14:paraId="3C8B2B72" w14:textId="0F874303" w:rsidR="00116BE5" w:rsidRDefault="00116BE5" w:rsidP="00C548E3"/>
    <w:p w14:paraId="53227C4A" w14:textId="6D07178B" w:rsidR="00A97EAD" w:rsidRDefault="00A97EAD" w:rsidP="00C548E3"/>
    <w:p w14:paraId="441F2895" w14:textId="7A64A3FB" w:rsidR="00A97EAD" w:rsidRDefault="00A97EAD" w:rsidP="00C548E3"/>
    <w:p w14:paraId="01F3DBCF" w14:textId="03443EFD" w:rsidR="00A97EAD" w:rsidRDefault="00A97EAD" w:rsidP="00C548E3"/>
    <w:p w14:paraId="6C311885" w14:textId="3286A863" w:rsidR="00A97EAD" w:rsidRDefault="00A97EAD" w:rsidP="00C548E3"/>
    <w:p w14:paraId="72F6BCE5" w14:textId="7EB9A2B6" w:rsidR="00A97EAD" w:rsidRDefault="00A97EAD" w:rsidP="00C548E3"/>
    <w:p w14:paraId="32A41455" w14:textId="5BACD03A" w:rsidR="00A97EAD" w:rsidRDefault="00A97EAD" w:rsidP="00C548E3"/>
    <w:p w14:paraId="0FBD28A0" w14:textId="66CC36A6" w:rsidR="00A97EAD" w:rsidRDefault="00A97EAD" w:rsidP="00C548E3"/>
    <w:p w14:paraId="435964CF" w14:textId="577D1F42" w:rsidR="00A97EAD" w:rsidRDefault="00A97EAD">
      <w:pPr>
        <w:spacing w:after="160" w:line="259" w:lineRule="auto"/>
      </w:pPr>
      <w:r>
        <w:br w:type="page"/>
      </w:r>
    </w:p>
    <w:p w14:paraId="423660B8" w14:textId="77777777" w:rsidR="00A97EAD" w:rsidRDefault="00A97EAD" w:rsidP="00A97EAD"/>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8"/>
        <w:gridCol w:w="2070"/>
      </w:tblGrid>
      <w:tr w:rsidR="002A7388" w:rsidRPr="00A97EAD" w14:paraId="44CD75C5" w14:textId="77777777" w:rsidTr="002772C4">
        <w:tc>
          <w:tcPr>
            <w:tcW w:w="10278" w:type="dxa"/>
            <w:gridSpan w:val="2"/>
            <w:shd w:val="clear" w:color="auto" w:fill="auto"/>
          </w:tcPr>
          <w:p w14:paraId="74BE54F0" w14:textId="3ABA36CE" w:rsidR="002A7388" w:rsidRPr="00A97EAD" w:rsidRDefault="002A7388" w:rsidP="002A7388">
            <w:pPr>
              <w:rPr>
                <w:rFonts w:eastAsia="Calibri"/>
                <w:color w:val="000000"/>
              </w:rPr>
            </w:pPr>
            <w:r w:rsidRPr="002A7388">
              <w:rPr>
                <w:rFonts w:eastAsia="Calibri"/>
                <w:color w:val="000000"/>
              </w:rPr>
              <w:t xml:space="preserve">Supplemental Table D. Descriptive statistics for lifetime heroin users at baseline (n = 179) </w:t>
            </w:r>
          </w:p>
        </w:tc>
      </w:tr>
      <w:tr w:rsidR="002A7388" w:rsidRPr="00A97EAD" w14:paraId="10819991" w14:textId="77777777" w:rsidTr="002772C4">
        <w:tc>
          <w:tcPr>
            <w:tcW w:w="8208" w:type="dxa"/>
            <w:shd w:val="clear" w:color="auto" w:fill="auto"/>
          </w:tcPr>
          <w:p w14:paraId="1307AA95" w14:textId="77777777" w:rsidR="002A7388" w:rsidRPr="00A97EAD" w:rsidRDefault="002A7388" w:rsidP="00A97EAD">
            <w:pPr>
              <w:rPr>
                <w:rFonts w:eastAsia="Calibri"/>
                <w:color w:val="000000"/>
              </w:rPr>
            </w:pPr>
          </w:p>
          <w:p w14:paraId="2827DD8A" w14:textId="035F1030" w:rsidR="002A7388" w:rsidRPr="00A97EAD" w:rsidRDefault="002772C4" w:rsidP="00A97EAD">
            <w:pPr>
              <w:rPr>
                <w:rFonts w:eastAsia="Calibri"/>
              </w:rPr>
            </w:pPr>
            <w:r>
              <w:rPr>
                <w:rFonts w:eastAsia="Calibri"/>
                <w:color w:val="000000"/>
              </w:rPr>
              <w:t>Baseline prescription opioid/heroin use behaviors</w:t>
            </w:r>
            <w:r w:rsidR="002A7388" w:rsidRPr="00A97EAD">
              <w:rPr>
                <w:rFonts w:eastAsia="Calibri"/>
                <w:color w:val="000000"/>
              </w:rPr>
              <w:t xml:space="preserve"> (modal age 18)</w:t>
            </w:r>
          </w:p>
        </w:tc>
        <w:tc>
          <w:tcPr>
            <w:tcW w:w="2070" w:type="dxa"/>
            <w:shd w:val="clear" w:color="auto" w:fill="auto"/>
            <w:vAlign w:val="bottom"/>
          </w:tcPr>
          <w:p w14:paraId="1C6AAE95" w14:textId="5DE5EA9C" w:rsidR="002A7388" w:rsidRPr="00A97EAD" w:rsidRDefault="002A7388" w:rsidP="00A97EAD">
            <w:pPr>
              <w:jc w:val="center"/>
              <w:rPr>
                <w:rFonts w:eastAsia="Calibri"/>
                <w:color w:val="000000"/>
              </w:rPr>
            </w:pPr>
            <w:r w:rsidRPr="00A97EAD">
              <w:rPr>
                <w:rFonts w:eastAsia="Calibri"/>
                <w:color w:val="000000"/>
              </w:rPr>
              <w:t>%</w:t>
            </w:r>
            <w:r w:rsidR="002772C4">
              <w:rPr>
                <w:rFonts w:eastAsia="Calibri"/>
                <w:color w:val="000000"/>
              </w:rPr>
              <w:t xml:space="preserve"> (n = 179)</w:t>
            </w:r>
          </w:p>
        </w:tc>
      </w:tr>
      <w:tr w:rsidR="002A7388" w:rsidRPr="00A97EAD" w14:paraId="0B3439AB" w14:textId="77777777" w:rsidTr="002772C4">
        <w:tc>
          <w:tcPr>
            <w:tcW w:w="8208" w:type="dxa"/>
            <w:shd w:val="clear" w:color="auto" w:fill="auto"/>
            <w:vAlign w:val="bottom"/>
          </w:tcPr>
          <w:p w14:paraId="56ED0B64" w14:textId="1CB10454" w:rsidR="002A7388" w:rsidRPr="00A97EAD" w:rsidRDefault="002A7388" w:rsidP="002A7388">
            <w:pPr>
              <w:rPr>
                <w:rFonts w:eastAsia="Calibri"/>
                <w:b/>
                <w:bCs/>
                <w:color w:val="000000"/>
              </w:rPr>
            </w:pPr>
            <w:r w:rsidRPr="00A97EAD">
              <w:rPr>
                <w:rFonts w:eastAsia="Calibri"/>
                <w:b/>
                <w:bCs/>
                <w:color w:val="000000"/>
              </w:rPr>
              <w:t>Medica</w:t>
            </w:r>
            <w:r w:rsidR="002772C4">
              <w:rPr>
                <w:rFonts w:eastAsia="Calibri"/>
                <w:b/>
                <w:bCs/>
                <w:color w:val="000000"/>
              </w:rPr>
              <w:t xml:space="preserve">l use and nonmedical misuse of </w:t>
            </w:r>
            <w:r w:rsidR="001E2429">
              <w:rPr>
                <w:rFonts w:eastAsia="Calibri"/>
                <w:b/>
                <w:bCs/>
                <w:color w:val="000000"/>
              </w:rPr>
              <w:t xml:space="preserve">prescription </w:t>
            </w:r>
            <w:r w:rsidR="002772C4">
              <w:rPr>
                <w:rFonts w:eastAsia="Calibri"/>
                <w:b/>
                <w:bCs/>
                <w:color w:val="000000"/>
              </w:rPr>
              <w:t>opioids</w:t>
            </w:r>
            <w:r>
              <w:rPr>
                <w:rFonts w:eastAsia="Calibri"/>
                <w:b/>
                <w:bCs/>
                <w:color w:val="000000"/>
              </w:rPr>
              <w:t xml:space="preserve"> </w:t>
            </w:r>
            <w:r w:rsidRPr="00A97EAD">
              <w:rPr>
                <w:rFonts w:eastAsia="Calibri"/>
                <w:b/>
                <w:bCs/>
                <w:color w:val="000000"/>
              </w:rPr>
              <w:t>at baseline</w:t>
            </w:r>
          </w:p>
        </w:tc>
        <w:tc>
          <w:tcPr>
            <w:tcW w:w="2070" w:type="dxa"/>
            <w:shd w:val="clear" w:color="auto" w:fill="auto"/>
            <w:vAlign w:val="bottom"/>
          </w:tcPr>
          <w:p w14:paraId="5EDAF29D" w14:textId="77777777" w:rsidR="002A7388" w:rsidRPr="00A97EAD" w:rsidRDefault="002A7388" w:rsidP="002A7388">
            <w:pPr>
              <w:jc w:val="center"/>
              <w:rPr>
                <w:rFonts w:eastAsia="Calibri"/>
                <w:color w:val="000000"/>
              </w:rPr>
            </w:pPr>
          </w:p>
        </w:tc>
      </w:tr>
      <w:tr w:rsidR="002A7388" w:rsidRPr="00A97EAD" w14:paraId="3296C626" w14:textId="77777777" w:rsidTr="002772C4">
        <w:tc>
          <w:tcPr>
            <w:tcW w:w="8208" w:type="dxa"/>
            <w:shd w:val="clear" w:color="auto" w:fill="auto"/>
            <w:vAlign w:val="bottom"/>
          </w:tcPr>
          <w:p w14:paraId="6D951D20" w14:textId="36247511" w:rsidR="002A7388" w:rsidRPr="00A97EAD" w:rsidRDefault="002A7388" w:rsidP="002A7388">
            <w:pPr>
              <w:rPr>
                <w:rFonts w:eastAsia="Calibri"/>
                <w:bCs/>
                <w:color w:val="000000"/>
              </w:rPr>
            </w:pPr>
            <w:r w:rsidRPr="00A97EAD">
              <w:rPr>
                <w:rFonts w:eastAsia="Calibri"/>
                <w:color w:val="000000"/>
              </w:rPr>
              <w:t xml:space="preserve">   Non-use</w:t>
            </w:r>
            <w:r w:rsidR="002575FF">
              <w:rPr>
                <w:rFonts w:eastAsia="Calibri"/>
                <w:color w:val="000000"/>
              </w:rPr>
              <w:t xml:space="preserve"> of prescription opioids</w:t>
            </w:r>
          </w:p>
        </w:tc>
        <w:tc>
          <w:tcPr>
            <w:tcW w:w="2070" w:type="dxa"/>
            <w:shd w:val="clear" w:color="auto" w:fill="auto"/>
            <w:vAlign w:val="bottom"/>
          </w:tcPr>
          <w:p w14:paraId="0C8B43D2" w14:textId="7490D503" w:rsidR="002A7388" w:rsidRPr="00A97EAD" w:rsidRDefault="002A7388" w:rsidP="002A7388">
            <w:pPr>
              <w:jc w:val="center"/>
              <w:rPr>
                <w:rFonts w:eastAsia="Calibri"/>
                <w:color w:val="000000"/>
              </w:rPr>
            </w:pPr>
            <w:r>
              <w:rPr>
                <w:rFonts w:eastAsia="Calibri"/>
                <w:color w:val="000000"/>
              </w:rPr>
              <w:t>26.0</w:t>
            </w:r>
            <w:r w:rsidRPr="00A97EAD">
              <w:rPr>
                <w:rFonts w:eastAsia="Calibri"/>
                <w:color w:val="000000"/>
              </w:rPr>
              <w:t>%</w:t>
            </w:r>
          </w:p>
        </w:tc>
      </w:tr>
      <w:tr w:rsidR="002A7388" w:rsidRPr="00A97EAD" w14:paraId="79182DF5" w14:textId="77777777" w:rsidTr="002772C4">
        <w:tc>
          <w:tcPr>
            <w:tcW w:w="8208" w:type="dxa"/>
            <w:shd w:val="clear" w:color="auto" w:fill="auto"/>
            <w:vAlign w:val="bottom"/>
          </w:tcPr>
          <w:p w14:paraId="5D3C65B6" w14:textId="1CCCC048" w:rsidR="002A7388" w:rsidRPr="00A97EAD" w:rsidRDefault="002A7388" w:rsidP="002A7388">
            <w:pPr>
              <w:rPr>
                <w:rFonts w:eastAsia="Calibri"/>
                <w:bCs/>
                <w:color w:val="000000"/>
              </w:rPr>
            </w:pPr>
            <w:r w:rsidRPr="00A97EAD">
              <w:rPr>
                <w:rFonts w:eastAsia="Calibri"/>
                <w:color w:val="000000"/>
              </w:rPr>
              <w:t xml:space="preserve">   Medical use </w:t>
            </w:r>
            <w:r w:rsidR="002575FF">
              <w:rPr>
                <w:rFonts w:eastAsia="Calibri"/>
                <w:color w:val="000000"/>
              </w:rPr>
              <w:t xml:space="preserve">of prescription opioids </w:t>
            </w:r>
            <w:r w:rsidRPr="00A97EAD">
              <w:rPr>
                <w:rFonts w:eastAsia="Calibri"/>
                <w:color w:val="000000"/>
              </w:rPr>
              <w:t>only</w:t>
            </w:r>
          </w:p>
        </w:tc>
        <w:tc>
          <w:tcPr>
            <w:tcW w:w="2070" w:type="dxa"/>
            <w:shd w:val="clear" w:color="auto" w:fill="auto"/>
            <w:vAlign w:val="bottom"/>
          </w:tcPr>
          <w:p w14:paraId="7116E303" w14:textId="4A9DC33C" w:rsidR="002A7388" w:rsidRPr="00A97EAD" w:rsidRDefault="002A7388" w:rsidP="002A7388">
            <w:pPr>
              <w:jc w:val="center"/>
              <w:rPr>
                <w:rFonts w:eastAsia="Calibri"/>
                <w:color w:val="000000"/>
              </w:rPr>
            </w:pPr>
            <w:r>
              <w:rPr>
                <w:rFonts w:eastAsia="Calibri"/>
                <w:color w:val="000000"/>
              </w:rPr>
              <w:t>1.8</w:t>
            </w:r>
            <w:r w:rsidRPr="00A97EAD">
              <w:rPr>
                <w:rFonts w:eastAsia="Calibri"/>
                <w:color w:val="000000"/>
              </w:rPr>
              <w:t>%</w:t>
            </w:r>
          </w:p>
        </w:tc>
      </w:tr>
      <w:tr w:rsidR="002A7388" w:rsidRPr="00A97EAD" w14:paraId="4DD4108C" w14:textId="77777777" w:rsidTr="002772C4">
        <w:tc>
          <w:tcPr>
            <w:tcW w:w="8208" w:type="dxa"/>
            <w:shd w:val="clear" w:color="auto" w:fill="auto"/>
            <w:vAlign w:val="bottom"/>
          </w:tcPr>
          <w:p w14:paraId="2FA81920" w14:textId="287D0516" w:rsidR="002A7388" w:rsidRPr="00A97EAD" w:rsidRDefault="002A7388" w:rsidP="002A7388">
            <w:pPr>
              <w:rPr>
                <w:rFonts w:eastAsia="Calibri"/>
                <w:bCs/>
                <w:color w:val="000000"/>
              </w:rPr>
            </w:pPr>
            <w:r w:rsidRPr="00A97EAD">
              <w:rPr>
                <w:rFonts w:eastAsia="Calibri"/>
                <w:color w:val="000000"/>
              </w:rPr>
              <w:t xml:space="preserve">   </w:t>
            </w:r>
            <w:r w:rsidR="002772C4">
              <w:rPr>
                <w:rFonts w:eastAsia="Calibri"/>
                <w:color w:val="000000"/>
              </w:rPr>
              <w:t>Nonmedical misuse followed by m</w:t>
            </w:r>
            <w:r w:rsidRPr="00A97EAD">
              <w:rPr>
                <w:rFonts w:eastAsia="Calibri"/>
                <w:color w:val="000000"/>
              </w:rPr>
              <w:t>edi</w:t>
            </w:r>
            <w:r w:rsidR="002772C4">
              <w:rPr>
                <w:rFonts w:eastAsia="Calibri"/>
                <w:color w:val="000000"/>
              </w:rPr>
              <w:t xml:space="preserve">cal use </w:t>
            </w:r>
            <w:r w:rsidR="002575FF">
              <w:rPr>
                <w:rFonts w:eastAsia="Calibri"/>
                <w:color w:val="000000"/>
              </w:rPr>
              <w:t>of prescription opioids</w:t>
            </w:r>
          </w:p>
        </w:tc>
        <w:tc>
          <w:tcPr>
            <w:tcW w:w="2070" w:type="dxa"/>
            <w:shd w:val="clear" w:color="auto" w:fill="auto"/>
            <w:vAlign w:val="bottom"/>
          </w:tcPr>
          <w:p w14:paraId="5ED8A3AF" w14:textId="3A91835F" w:rsidR="002A7388" w:rsidRPr="00A97EAD" w:rsidRDefault="002A7388" w:rsidP="002A7388">
            <w:pPr>
              <w:jc w:val="center"/>
              <w:rPr>
                <w:rFonts w:eastAsia="Calibri"/>
                <w:color w:val="000000"/>
              </w:rPr>
            </w:pPr>
            <w:r>
              <w:rPr>
                <w:rFonts w:eastAsia="Calibri"/>
                <w:color w:val="000000"/>
              </w:rPr>
              <w:t>6.5</w:t>
            </w:r>
            <w:r w:rsidRPr="00A97EAD">
              <w:rPr>
                <w:rFonts w:eastAsia="Calibri"/>
                <w:color w:val="000000"/>
              </w:rPr>
              <w:t>%</w:t>
            </w:r>
          </w:p>
        </w:tc>
      </w:tr>
      <w:tr w:rsidR="002A7388" w:rsidRPr="00A97EAD" w14:paraId="11ACBEEA" w14:textId="77777777" w:rsidTr="002772C4">
        <w:tc>
          <w:tcPr>
            <w:tcW w:w="8208" w:type="dxa"/>
            <w:shd w:val="clear" w:color="auto" w:fill="auto"/>
            <w:vAlign w:val="bottom"/>
          </w:tcPr>
          <w:p w14:paraId="5B8B9A48" w14:textId="61990653" w:rsidR="002A7388" w:rsidRPr="00A97EAD" w:rsidRDefault="002A7388" w:rsidP="002A7388">
            <w:pPr>
              <w:rPr>
                <w:rFonts w:eastAsia="Calibri"/>
                <w:bCs/>
                <w:color w:val="000000"/>
              </w:rPr>
            </w:pPr>
            <w:r w:rsidRPr="00A97EAD">
              <w:rPr>
                <w:rFonts w:eastAsia="Calibri"/>
                <w:color w:val="000000"/>
              </w:rPr>
              <w:t xml:space="preserve">   </w:t>
            </w:r>
            <w:r w:rsidR="002772C4">
              <w:rPr>
                <w:rFonts w:eastAsia="Calibri"/>
                <w:color w:val="000000"/>
              </w:rPr>
              <w:t>Medical use followed by n</w:t>
            </w:r>
            <w:r w:rsidRPr="00A97EAD">
              <w:rPr>
                <w:rFonts w:eastAsia="Calibri"/>
                <w:color w:val="000000"/>
              </w:rPr>
              <w:t>onm</w:t>
            </w:r>
            <w:r w:rsidR="002772C4">
              <w:rPr>
                <w:rFonts w:eastAsia="Calibri"/>
                <w:color w:val="000000"/>
              </w:rPr>
              <w:t xml:space="preserve">edical misuse </w:t>
            </w:r>
            <w:r w:rsidR="002575FF">
              <w:rPr>
                <w:rFonts w:eastAsia="Calibri"/>
                <w:color w:val="000000"/>
              </w:rPr>
              <w:t>of prescription opioids</w:t>
            </w:r>
          </w:p>
        </w:tc>
        <w:tc>
          <w:tcPr>
            <w:tcW w:w="2070" w:type="dxa"/>
            <w:shd w:val="clear" w:color="auto" w:fill="auto"/>
            <w:vAlign w:val="bottom"/>
          </w:tcPr>
          <w:p w14:paraId="15AAAAAE" w14:textId="2048E613" w:rsidR="002A7388" w:rsidRPr="00A97EAD" w:rsidRDefault="002A7388" w:rsidP="002A7388">
            <w:pPr>
              <w:jc w:val="center"/>
              <w:rPr>
                <w:rFonts w:eastAsia="Calibri"/>
                <w:color w:val="000000"/>
              </w:rPr>
            </w:pPr>
            <w:r>
              <w:rPr>
                <w:rFonts w:eastAsia="Calibri"/>
                <w:color w:val="000000"/>
              </w:rPr>
              <w:t>20.7</w:t>
            </w:r>
            <w:r w:rsidRPr="00A97EAD">
              <w:rPr>
                <w:rFonts w:eastAsia="Calibri"/>
                <w:color w:val="000000"/>
              </w:rPr>
              <w:t>%</w:t>
            </w:r>
          </w:p>
        </w:tc>
      </w:tr>
      <w:tr w:rsidR="002A7388" w:rsidRPr="00A97EAD" w14:paraId="4B0C2353" w14:textId="77777777" w:rsidTr="002772C4">
        <w:tc>
          <w:tcPr>
            <w:tcW w:w="8208" w:type="dxa"/>
            <w:shd w:val="clear" w:color="auto" w:fill="auto"/>
            <w:vAlign w:val="bottom"/>
          </w:tcPr>
          <w:p w14:paraId="089E9B2E" w14:textId="0507E27F" w:rsidR="002A7388" w:rsidRPr="00A97EAD" w:rsidRDefault="002A7388" w:rsidP="002A7388">
            <w:pPr>
              <w:rPr>
                <w:rFonts w:eastAsia="Calibri"/>
                <w:bCs/>
                <w:color w:val="000000"/>
              </w:rPr>
            </w:pPr>
            <w:r w:rsidRPr="00A97EAD">
              <w:rPr>
                <w:rFonts w:eastAsia="Calibri"/>
                <w:color w:val="000000"/>
              </w:rPr>
              <w:t xml:space="preserve">   Nonmedical misuse </w:t>
            </w:r>
            <w:r w:rsidR="002575FF">
              <w:rPr>
                <w:rFonts w:eastAsia="Calibri"/>
                <w:color w:val="000000"/>
              </w:rPr>
              <w:t xml:space="preserve">of prescription opioids </w:t>
            </w:r>
            <w:r w:rsidRPr="00A97EAD">
              <w:rPr>
                <w:rFonts w:eastAsia="Calibri"/>
                <w:color w:val="000000"/>
              </w:rPr>
              <w:t>only</w:t>
            </w:r>
          </w:p>
        </w:tc>
        <w:tc>
          <w:tcPr>
            <w:tcW w:w="2070" w:type="dxa"/>
            <w:shd w:val="clear" w:color="auto" w:fill="auto"/>
            <w:vAlign w:val="bottom"/>
          </w:tcPr>
          <w:p w14:paraId="47B3E1DE" w14:textId="08D51064" w:rsidR="002A7388" w:rsidRPr="00A97EAD" w:rsidRDefault="002A7388" w:rsidP="002A7388">
            <w:pPr>
              <w:jc w:val="center"/>
              <w:rPr>
                <w:rFonts w:eastAsia="Calibri"/>
                <w:color w:val="000000"/>
              </w:rPr>
            </w:pPr>
            <w:r>
              <w:rPr>
                <w:rFonts w:eastAsia="Calibri"/>
                <w:color w:val="000000"/>
              </w:rPr>
              <w:t>45.0</w:t>
            </w:r>
            <w:r w:rsidRPr="00A97EAD">
              <w:rPr>
                <w:rFonts w:eastAsia="Calibri"/>
                <w:color w:val="000000"/>
              </w:rPr>
              <w:t>%</w:t>
            </w:r>
          </w:p>
        </w:tc>
      </w:tr>
      <w:tr w:rsidR="002A7388" w:rsidRPr="00A97EAD" w14:paraId="116A50F8" w14:textId="77777777" w:rsidTr="002772C4">
        <w:tc>
          <w:tcPr>
            <w:tcW w:w="8208" w:type="dxa"/>
            <w:shd w:val="clear" w:color="auto" w:fill="auto"/>
            <w:vAlign w:val="bottom"/>
          </w:tcPr>
          <w:p w14:paraId="2BB40125" w14:textId="4E840A9C" w:rsidR="002A7388" w:rsidRPr="00A97EAD" w:rsidRDefault="002A7388" w:rsidP="002A7388">
            <w:pPr>
              <w:rPr>
                <w:rFonts w:eastAsia="Calibri"/>
                <w:color w:val="000000"/>
              </w:rPr>
            </w:pPr>
          </w:p>
        </w:tc>
        <w:tc>
          <w:tcPr>
            <w:tcW w:w="2070" w:type="dxa"/>
            <w:shd w:val="clear" w:color="auto" w:fill="auto"/>
            <w:vAlign w:val="bottom"/>
          </w:tcPr>
          <w:p w14:paraId="339CA1B0" w14:textId="77777777" w:rsidR="002A7388" w:rsidRPr="00A97EAD" w:rsidRDefault="002A7388" w:rsidP="002A7388">
            <w:pPr>
              <w:jc w:val="center"/>
              <w:rPr>
                <w:rFonts w:eastAsia="Calibri"/>
                <w:color w:val="000000"/>
              </w:rPr>
            </w:pPr>
          </w:p>
        </w:tc>
      </w:tr>
      <w:tr w:rsidR="002A7388" w:rsidRPr="00A97EAD" w14:paraId="3F21FE17" w14:textId="77777777" w:rsidTr="002772C4">
        <w:tc>
          <w:tcPr>
            <w:tcW w:w="8208" w:type="dxa"/>
            <w:shd w:val="clear" w:color="auto" w:fill="auto"/>
            <w:vAlign w:val="bottom"/>
          </w:tcPr>
          <w:p w14:paraId="36B0FECE" w14:textId="4CF2FA16" w:rsidR="002A7388" w:rsidRPr="00A97EAD" w:rsidRDefault="004428E5" w:rsidP="002A7388">
            <w:pPr>
              <w:rPr>
                <w:rFonts w:eastAsia="Calibri"/>
                <w:color w:val="000000"/>
              </w:rPr>
            </w:pPr>
            <w:r>
              <w:rPr>
                <w:rFonts w:eastAsia="Calibri"/>
                <w:b/>
                <w:bCs/>
                <w:color w:val="000000"/>
              </w:rPr>
              <w:t>Initiation sequences</w:t>
            </w:r>
            <w:bookmarkStart w:id="0" w:name="_GoBack"/>
            <w:bookmarkEnd w:id="0"/>
            <w:r w:rsidR="002A7388">
              <w:rPr>
                <w:rFonts w:eastAsia="Calibri"/>
                <w:b/>
                <w:bCs/>
                <w:color w:val="000000"/>
              </w:rPr>
              <w:t xml:space="preserve"> of h</w:t>
            </w:r>
            <w:r w:rsidR="002A7388">
              <w:rPr>
                <w:rFonts w:eastAsia="Calibri"/>
                <w:b/>
                <w:bCs/>
                <w:color w:val="000000"/>
              </w:rPr>
              <w:t>eroin</w:t>
            </w:r>
            <w:r w:rsidR="002A7388">
              <w:rPr>
                <w:rFonts w:eastAsia="Calibri"/>
                <w:b/>
                <w:bCs/>
                <w:color w:val="000000"/>
              </w:rPr>
              <w:t xml:space="preserve"> and nonmedical use of prescription opioids</w:t>
            </w:r>
            <w:r w:rsidR="002A7388">
              <w:rPr>
                <w:rFonts w:eastAsia="Calibri"/>
                <w:b/>
                <w:bCs/>
                <w:color w:val="000000"/>
              </w:rPr>
              <w:t xml:space="preserve"> at baseline</w:t>
            </w:r>
          </w:p>
        </w:tc>
        <w:tc>
          <w:tcPr>
            <w:tcW w:w="2070" w:type="dxa"/>
            <w:shd w:val="clear" w:color="auto" w:fill="auto"/>
            <w:vAlign w:val="bottom"/>
          </w:tcPr>
          <w:p w14:paraId="3F2BEDF7" w14:textId="3A97DBD6" w:rsidR="002A7388" w:rsidRPr="00A97EAD" w:rsidRDefault="002A7388" w:rsidP="002A7388">
            <w:pPr>
              <w:jc w:val="center"/>
              <w:rPr>
                <w:rFonts w:eastAsia="Calibri"/>
                <w:color w:val="000000"/>
              </w:rPr>
            </w:pPr>
          </w:p>
        </w:tc>
      </w:tr>
      <w:tr w:rsidR="002A7388" w:rsidRPr="00A97EAD" w14:paraId="0AD914B3" w14:textId="77777777" w:rsidTr="002772C4">
        <w:tc>
          <w:tcPr>
            <w:tcW w:w="8208" w:type="dxa"/>
            <w:shd w:val="clear" w:color="auto" w:fill="auto"/>
            <w:vAlign w:val="bottom"/>
          </w:tcPr>
          <w:p w14:paraId="161D7FC4" w14:textId="16996661" w:rsidR="002A7388" w:rsidRPr="00A97EAD" w:rsidRDefault="002A7388" w:rsidP="002A7388">
            <w:pPr>
              <w:rPr>
                <w:rFonts w:eastAsia="Calibri"/>
                <w:color w:val="000000"/>
              </w:rPr>
            </w:pPr>
            <w:r w:rsidRPr="00A97EAD">
              <w:rPr>
                <w:rFonts w:eastAsia="Calibri"/>
                <w:b/>
                <w:bCs/>
                <w:color w:val="000000"/>
              </w:rPr>
              <w:t xml:space="preserve">   </w:t>
            </w:r>
            <w:r>
              <w:rPr>
                <w:rFonts w:eastAsia="Calibri"/>
                <w:bCs/>
                <w:color w:val="000000"/>
              </w:rPr>
              <w:t>Heroin use only</w:t>
            </w:r>
          </w:p>
        </w:tc>
        <w:tc>
          <w:tcPr>
            <w:tcW w:w="2070" w:type="dxa"/>
            <w:shd w:val="clear" w:color="auto" w:fill="auto"/>
            <w:vAlign w:val="bottom"/>
          </w:tcPr>
          <w:p w14:paraId="04BB39A7" w14:textId="15F94CD1" w:rsidR="002A7388" w:rsidRPr="00A97EAD" w:rsidRDefault="002A7388" w:rsidP="002A7388">
            <w:pPr>
              <w:jc w:val="center"/>
              <w:rPr>
                <w:rFonts w:eastAsia="Calibri"/>
                <w:color w:val="000000"/>
              </w:rPr>
            </w:pPr>
            <w:r>
              <w:rPr>
                <w:rFonts w:eastAsia="Calibri"/>
                <w:color w:val="000000"/>
              </w:rPr>
              <w:t>25.4</w:t>
            </w:r>
            <w:r w:rsidRPr="00A97EAD">
              <w:rPr>
                <w:rFonts w:eastAsia="Calibri"/>
                <w:color w:val="000000"/>
              </w:rPr>
              <w:t>%</w:t>
            </w:r>
          </w:p>
        </w:tc>
      </w:tr>
      <w:tr w:rsidR="002A7388" w:rsidRPr="00A97EAD" w14:paraId="446A6E6D" w14:textId="77777777" w:rsidTr="002772C4">
        <w:tc>
          <w:tcPr>
            <w:tcW w:w="8208" w:type="dxa"/>
            <w:shd w:val="clear" w:color="auto" w:fill="auto"/>
            <w:vAlign w:val="bottom"/>
          </w:tcPr>
          <w:p w14:paraId="44FBD2BF" w14:textId="5DD1E2E7" w:rsidR="002A7388" w:rsidRPr="00A97EAD" w:rsidRDefault="002A7388" w:rsidP="002A7388">
            <w:pPr>
              <w:rPr>
                <w:rFonts w:eastAsia="Calibri"/>
                <w:color w:val="000000"/>
              </w:rPr>
            </w:pPr>
            <w:r w:rsidRPr="00A97EAD">
              <w:rPr>
                <w:rFonts w:eastAsia="Calibri"/>
                <w:b/>
                <w:bCs/>
                <w:color w:val="000000"/>
              </w:rPr>
              <w:t xml:space="preserve">   </w:t>
            </w:r>
            <w:r w:rsidR="000D0216">
              <w:rPr>
                <w:rFonts w:eastAsia="Calibri"/>
                <w:bCs/>
                <w:color w:val="000000"/>
              </w:rPr>
              <w:t>Heroin use</w:t>
            </w:r>
            <w:r>
              <w:rPr>
                <w:rFonts w:eastAsia="Calibri"/>
                <w:bCs/>
                <w:color w:val="000000"/>
              </w:rPr>
              <w:t xml:space="preserve"> followed by nonmedical </w:t>
            </w:r>
            <w:r w:rsidR="000D0216">
              <w:rPr>
                <w:rFonts w:eastAsia="Calibri"/>
                <w:bCs/>
                <w:color w:val="000000"/>
              </w:rPr>
              <w:t>mis</w:t>
            </w:r>
            <w:r>
              <w:rPr>
                <w:rFonts w:eastAsia="Calibri"/>
                <w:bCs/>
                <w:color w:val="000000"/>
              </w:rPr>
              <w:t>use</w:t>
            </w:r>
            <w:r w:rsidR="002772C4">
              <w:rPr>
                <w:rFonts w:eastAsia="Calibri"/>
                <w:bCs/>
                <w:color w:val="000000"/>
              </w:rPr>
              <w:t xml:space="preserve"> of prescription opioids</w:t>
            </w:r>
          </w:p>
        </w:tc>
        <w:tc>
          <w:tcPr>
            <w:tcW w:w="2070" w:type="dxa"/>
            <w:shd w:val="clear" w:color="auto" w:fill="auto"/>
            <w:vAlign w:val="bottom"/>
          </w:tcPr>
          <w:p w14:paraId="0BD0BA50" w14:textId="03F5E680" w:rsidR="002A7388" w:rsidRPr="00A97EAD" w:rsidRDefault="002A7388" w:rsidP="002A7388">
            <w:pPr>
              <w:jc w:val="center"/>
              <w:rPr>
                <w:rFonts w:eastAsia="Calibri"/>
                <w:color w:val="000000"/>
              </w:rPr>
            </w:pPr>
            <w:r>
              <w:rPr>
                <w:rFonts w:eastAsia="Calibri"/>
                <w:color w:val="000000"/>
              </w:rPr>
              <w:t>13.5</w:t>
            </w:r>
            <w:r w:rsidRPr="00A97EAD">
              <w:rPr>
                <w:rFonts w:eastAsia="Calibri"/>
                <w:color w:val="000000"/>
              </w:rPr>
              <w:t>%</w:t>
            </w:r>
          </w:p>
        </w:tc>
      </w:tr>
      <w:tr w:rsidR="002A7388" w:rsidRPr="00A97EAD" w14:paraId="6051E687" w14:textId="77777777" w:rsidTr="002772C4">
        <w:tc>
          <w:tcPr>
            <w:tcW w:w="8208" w:type="dxa"/>
            <w:shd w:val="clear" w:color="auto" w:fill="auto"/>
            <w:vAlign w:val="bottom"/>
          </w:tcPr>
          <w:p w14:paraId="421B139B" w14:textId="436CAC61" w:rsidR="002A7388" w:rsidRPr="00A97EAD" w:rsidRDefault="002A7388" w:rsidP="002A7388">
            <w:pPr>
              <w:rPr>
                <w:rFonts w:eastAsia="Calibri"/>
                <w:color w:val="000000"/>
              </w:rPr>
            </w:pPr>
            <w:r>
              <w:rPr>
                <w:rFonts w:eastAsia="Calibri"/>
                <w:bCs/>
                <w:color w:val="000000"/>
              </w:rPr>
              <w:t xml:space="preserve">   </w:t>
            </w:r>
            <w:r w:rsidR="002772C4">
              <w:rPr>
                <w:rFonts w:eastAsia="Calibri"/>
                <w:bCs/>
                <w:color w:val="000000"/>
              </w:rPr>
              <w:t xml:space="preserve">Heroin use and nonmedical </w:t>
            </w:r>
            <w:r w:rsidR="000D0216">
              <w:rPr>
                <w:rFonts w:eastAsia="Calibri"/>
                <w:bCs/>
                <w:color w:val="000000"/>
              </w:rPr>
              <w:t>misuse of prescription opioids</w:t>
            </w:r>
            <w:r w:rsidR="002772C4">
              <w:rPr>
                <w:rFonts w:eastAsia="Calibri"/>
                <w:bCs/>
                <w:color w:val="000000"/>
              </w:rPr>
              <w:t xml:space="preserve"> in</w:t>
            </w:r>
            <w:r>
              <w:rPr>
                <w:rFonts w:eastAsia="Calibri"/>
                <w:bCs/>
                <w:color w:val="000000"/>
              </w:rPr>
              <w:t xml:space="preserve"> the same year</w:t>
            </w:r>
          </w:p>
        </w:tc>
        <w:tc>
          <w:tcPr>
            <w:tcW w:w="2070" w:type="dxa"/>
            <w:shd w:val="clear" w:color="auto" w:fill="auto"/>
            <w:vAlign w:val="bottom"/>
          </w:tcPr>
          <w:p w14:paraId="23CBEA24" w14:textId="71E17D6E" w:rsidR="002A7388" w:rsidRPr="00A97EAD" w:rsidRDefault="002A7388" w:rsidP="002A7388">
            <w:pPr>
              <w:jc w:val="center"/>
              <w:rPr>
                <w:rFonts w:eastAsia="Calibri"/>
                <w:color w:val="000000"/>
              </w:rPr>
            </w:pPr>
            <w:r>
              <w:rPr>
                <w:rFonts w:eastAsia="Calibri"/>
                <w:color w:val="000000"/>
              </w:rPr>
              <w:t>38.9</w:t>
            </w:r>
            <w:r w:rsidRPr="00A97EAD">
              <w:rPr>
                <w:rFonts w:eastAsia="Calibri"/>
                <w:color w:val="000000"/>
              </w:rPr>
              <w:t>%</w:t>
            </w:r>
          </w:p>
        </w:tc>
      </w:tr>
      <w:tr w:rsidR="002A7388" w:rsidRPr="00A97EAD" w14:paraId="06250BE6" w14:textId="77777777" w:rsidTr="002772C4">
        <w:tc>
          <w:tcPr>
            <w:tcW w:w="8208" w:type="dxa"/>
            <w:shd w:val="clear" w:color="auto" w:fill="auto"/>
            <w:vAlign w:val="bottom"/>
          </w:tcPr>
          <w:p w14:paraId="4105B551" w14:textId="46620393" w:rsidR="002A7388" w:rsidRPr="00A97EAD" w:rsidRDefault="002A7388" w:rsidP="002A7388">
            <w:pPr>
              <w:rPr>
                <w:rFonts w:eastAsia="Calibri"/>
                <w:color w:val="000000"/>
              </w:rPr>
            </w:pPr>
            <w:r>
              <w:rPr>
                <w:rFonts w:eastAsia="Calibri"/>
                <w:bCs/>
                <w:color w:val="000000"/>
              </w:rPr>
              <w:t xml:space="preserve">   Nonmedical use </w:t>
            </w:r>
            <w:r w:rsidR="000D0216">
              <w:rPr>
                <w:rFonts w:eastAsia="Calibri"/>
                <w:bCs/>
                <w:color w:val="000000"/>
              </w:rPr>
              <w:t xml:space="preserve">of prescription opioids </w:t>
            </w:r>
            <w:r>
              <w:rPr>
                <w:rFonts w:eastAsia="Calibri"/>
                <w:bCs/>
                <w:color w:val="000000"/>
              </w:rPr>
              <w:t>followed by heroin use</w:t>
            </w:r>
          </w:p>
        </w:tc>
        <w:tc>
          <w:tcPr>
            <w:tcW w:w="2070" w:type="dxa"/>
            <w:shd w:val="clear" w:color="auto" w:fill="auto"/>
            <w:vAlign w:val="bottom"/>
          </w:tcPr>
          <w:p w14:paraId="1309A9F6" w14:textId="79380897" w:rsidR="002A7388" w:rsidRPr="00A97EAD" w:rsidRDefault="002A7388" w:rsidP="002A7388">
            <w:pPr>
              <w:jc w:val="center"/>
              <w:rPr>
                <w:rFonts w:eastAsia="Calibri"/>
                <w:color w:val="000000"/>
              </w:rPr>
            </w:pPr>
            <w:r>
              <w:rPr>
                <w:rFonts w:eastAsia="Calibri"/>
                <w:color w:val="000000"/>
              </w:rPr>
              <w:t>22.2%</w:t>
            </w:r>
          </w:p>
        </w:tc>
      </w:tr>
      <w:tr w:rsidR="002A7388" w:rsidRPr="00A97EAD" w14:paraId="66108525" w14:textId="77777777" w:rsidTr="002772C4">
        <w:tc>
          <w:tcPr>
            <w:tcW w:w="10278" w:type="dxa"/>
            <w:gridSpan w:val="2"/>
            <w:shd w:val="clear" w:color="auto" w:fill="auto"/>
            <w:vAlign w:val="bottom"/>
          </w:tcPr>
          <w:p w14:paraId="71EE827A" w14:textId="5789DAB4" w:rsidR="002A7388" w:rsidRPr="002A7388" w:rsidRDefault="002A7388" w:rsidP="002A7388">
            <w:pPr>
              <w:rPr>
                <w:rFonts w:eastAsia="Calibri"/>
                <w:color w:val="000000"/>
                <w:sz w:val="18"/>
                <w:szCs w:val="18"/>
              </w:rPr>
            </w:pPr>
          </w:p>
        </w:tc>
      </w:tr>
    </w:tbl>
    <w:p w14:paraId="63B29096" w14:textId="44A91F72" w:rsidR="00A97EAD" w:rsidRPr="00A97EAD" w:rsidRDefault="00A97EAD" w:rsidP="00A97EAD"/>
    <w:p w14:paraId="6A413C48" w14:textId="77777777" w:rsidR="00A97EAD" w:rsidRDefault="00A97EAD" w:rsidP="00C548E3"/>
    <w:sectPr w:rsidR="00A97EAD" w:rsidSect="00DA45D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CE41C9" w14:textId="77777777" w:rsidR="00F719A4" w:rsidRDefault="00F719A4" w:rsidP="00116BE5">
      <w:r>
        <w:separator/>
      </w:r>
    </w:p>
  </w:endnote>
  <w:endnote w:type="continuationSeparator" w:id="0">
    <w:p w14:paraId="13DDFB35" w14:textId="77777777" w:rsidR="00F719A4" w:rsidRDefault="00F719A4" w:rsidP="0011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F5488" w14:textId="77777777" w:rsidR="00F719A4" w:rsidRDefault="00F719A4" w:rsidP="00116BE5">
      <w:r>
        <w:separator/>
      </w:r>
    </w:p>
  </w:footnote>
  <w:footnote w:type="continuationSeparator" w:id="0">
    <w:p w14:paraId="79DAC5BE" w14:textId="77777777" w:rsidR="00F719A4" w:rsidRDefault="00F719A4" w:rsidP="00116B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D5"/>
    <w:rsid w:val="000D0216"/>
    <w:rsid w:val="00116BE5"/>
    <w:rsid w:val="001425E4"/>
    <w:rsid w:val="00155140"/>
    <w:rsid w:val="001D47CD"/>
    <w:rsid w:val="001E2429"/>
    <w:rsid w:val="002575FF"/>
    <w:rsid w:val="002772C4"/>
    <w:rsid w:val="002A01B9"/>
    <w:rsid w:val="002A4ECE"/>
    <w:rsid w:val="002A7388"/>
    <w:rsid w:val="002F2CAA"/>
    <w:rsid w:val="003E5B4D"/>
    <w:rsid w:val="00407048"/>
    <w:rsid w:val="004428E5"/>
    <w:rsid w:val="00581EA0"/>
    <w:rsid w:val="00705053"/>
    <w:rsid w:val="00720314"/>
    <w:rsid w:val="008F10D6"/>
    <w:rsid w:val="00932478"/>
    <w:rsid w:val="0097573A"/>
    <w:rsid w:val="00A97EAD"/>
    <w:rsid w:val="00AD4B0A"/>
    <w:rsid w:val="00B0169D"/>
    <w:rsid w:val="00BA02E7"/>
    <w:rsid w:val="00C27746"/>
    <w:rsid w:val="00C548E3"/>
    <w:rsid w:val="00CE2C42"/>
    <w:rsid w:val="00D1040E"/>
    <w:rsid w:val="00D26748"/>
    <w:rsid w:val="00D9540B"/>
    <w:rsid w:val="00DA45D5"/>
    <w:rsid w:val="00E807ED"/>
    <w:rsid w:val="00F71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7190FB"/>
  <w15:docId w15:val="{A9210DDA-0019-406C-9340-617D8554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5D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BE5"/>
    <w:rPr>
      <w:rFonts w:ascii="Segoe UI" w:eastAsia="Times New Roman" w:hAnsi="Segoe UI" w:cs="Segoe UI"/>
      <w:sz w:val="18"/>
      <w:szCs w:val="18"/>
    </w:rPr>
  </w:style>
  <w:style w:type="paragraph" w:styleId="Header">
    <w:name w:val="header"/>
    <w:basedOn w:val="Normal"/>
    <w:link w:val="HeaderChar"/>
    <w:uiPriority w:val="99"/>
    <w:unhideWhenUsed/>
    <w:rsid w:val="00116BE5"/>
    <w:pPr>
      <w:tabs>
        <w:tab w:val="center" w:pos="4680"/>
        <w:tab w:val="right" w:pos="9360"/>
      </w:tabs>
    </w:pPr>
  </w:style>
  <w:style w:type="character" w:customStyle="1" w:styleId="HeaderChar">
    <w:name w:val="Header Char"/>
    <w:basedOn w:val="DefaultParagraphFont"/>
    <w:link w:val="Header"/>
    <w:uiPriority w:val="99"/>
    <w:rsid w:val="00116BE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16BE5"/>
    <w:pPr>
      <w:tabs>
        <w:tab w:val="center" w:pos="4680"/>
        <w:tab w:val="right" w:pos="9360"/>
      </w:tabs>
    </w:pPr>
  </w:style>
  <w:style w:type="character" w:customStyle="1" w:styleId="FooterChar">
    <w:name w:val="Footer Char"/>
    <w:basedOn w:val="DefaultParagraphFont"/>
    <w:link w:val="Footer"/>
    <w:uiPriority w:val="99"/>
    <w:rsid w:val="00116BE5"/>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97573A"/>
    <w:rPr>
      <w:sz w:val="16"/>
      <w:szCs w:val="16"/>
    </w:rPr>
  </w:style>
  <w:style w:type="paragraph" w:styleId="CommentText">
    <w:name w:val="annotation text"/>
    <w:basedOn w:val="Normal"/>
    <w:link w:val="CommentTextChar"/>
    <w:uiPriority w:val="99"/>
    <w:semiHidden/>
    <w:unhideWhenUsed/>
    <w:rsid w:val="0097573A"/>
  </w:style>
  <w:style w:type="character" w:customStyle="1" w:styleId="CommentTextChar">
    <w:name w:val="Comment Text Char"/>
    <w:basedOn w:val="DefaultParagraphFont"/>
    <w:link w:val="CommentText"/>
    <w:uiPriority w:val="99"/>
    <w:semiHidden/>
    <w:rsid w:val="0097573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7573A"/>
    <w:rPr>
      <w:b/>
      <w:bCs/>
    </w:rPr>
  </w:style>
  <w:style w:type="character" w:customStyle="1" w:styleId="CommentSubjectChar">
    <w:name w:val="Comment Subject Char"/>
    <w:basedOn w:val="CommentTextChar"/>
    <w:link w:val="CommentSubject"/>
    <w:uiPriority w:val="99"/>
    <w:semiHidden/>
    <w:rsid w:val="0097573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Veliz, Philip</dc:creator>
  <cp:keywords/>
  <dc:description/>
  <cp:lastModifiedBy>McCabe, Sean</cp:lastModifiedBy>
  <cp:revision>4</cp:revision>
  <dcterms:created xsi:type="dcterms:W3CDTF">2020-05-07T19:10:00Z</dcterms:created>
  <dcterms:modified xsi:type="dcterms:W3CDTF">2020-05-07T22:42:00Z</dcterms:modified>
</cp:coreProperties>
</file>