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8D1F69" w:rsidRPr="00837FD1" w:rsidTr="00C149FD">
        <w:tc>
          <w:tcPr>
            <w:tcW w:w="9242" w:type="dxa"/>
            <w:tcBorders>
              <w:top w:val="nil"/>
              <w:left w:val="nil"/>
              <w:bottom w:val="single" w:sz="4" w:space="0" w:color="auto"/>
              <w:right w:val="nil"/>
            </w:tcBorders>
          </w:tcPr>
          <w:p w:rsidR="008D1F69" w:rsidRPr="00837FD1" w:rsidRDefault="008D1F69" w:rsidP="00C149FD">
            <w:pPr>
              <w:pStyle w:val="Heading1"/>
              <w:outlineLvl w:val="0"/>
            </w:pPr>
            <w:r w:rsidRPr="00837FD1">
              <w:t xml:space="preserve">Supplementary </w:t>
            </w:r>
            <w:r>
              <w:t>T</w:t>
            </w:r>
            <w:r w:rsidRPr="00837FD1">
              <w:t>able</w:t>
            </w:r>
          </w:p>
          <w:p w:rsidR="008D1F69" w:rsidRPr="00837FD1" w:rsidRDefault="008D1F69" w:rsidP="00C149FD"/>
          <w:p w:rsidR="008D1F69" w:rsidRPr="00837FD1" w:rsidRDefault="008D1F69" w:rsidP="00C149FD">
            <w:pPr>
              <w:pStyle w:val="Default"/>
              <w:spacing w:after="120"/>
              <w:rPr>
                <w:rFonts w:asciiTheme="minorHAnsi" w:hAnsiTheme="minorHAnsi"/>
                <w:b/>
                <w:bCs/>
                <w:lang w:val="en-GB"/>
              </w:rPr>
            </w:pPr>
            <w:r w:rsidRPr="00837FD1">
              <w:rPr>
                <w:rFonts w:asciiTheme="minorHAnsi" w:hAnsiTheme="minorHAnsi"/>
                <w:b/>
                <w:lang w:val="en-GB"/>
              </w:rPr>
              <w:t xml:space="preserve">Supplementary table </w:t>
            </w:r>
            <w:r w:rsidR="00B75464">
              <w:rPr>
                <w:rFonts w:asciiTheme="minorHAnsi" w:hAnsiTheme="minorHAnsi"/>
                <w:b/>
                <w:lang w:val="en-GB"/>
              </w:rPr>
              <w:t>S</w:t>
            </w:r>
            <w:r w:rsidRPr="00837FD1">
              <w:rPr>
                <w:rFonts w:asciiTheme="minorHAnsi" w:hAnsiTheme="minorHAnsi"/>
                <w:b/>
                <w:lang w:val="en-GB"/>
              </w:rPr>
              <w:t>1:</w:t>
            </w:r>
            <w:r w:rsidRPr="00837FD1">
              <w:rPr>
                <w:rFonts w:asciiTheme="minorHAnsi" w:hAnsiTheme="minorHAnsi"/>
                <w:b/>
                <w:bCs/>
                <w:lang w:val="en-GB"/>
              </w:rPr>
              <w:t xml:space="preserve"> Definitions of various variables included in the ETNA-AF-Europe registry</w:t>
            </w:r>
          </w:p>
        </w:tc>
      </w:tr>
      <w:tr w:rsidR="008D1F69" w:rsidRPr="00837FD1" w:rsidTr="00C149FD">
        <w:tc>
          <w:tcPr>
            <w:tcW w:w="9242" w:type="dxa"/>
            <w:tcBorders>
              <w:top w:val="single" w:sz="4" w:space="0" w:color="auto"/>
            </w:tcBorders>
          </w:tcPr>
          <w:p w:rsidR="008D1F69" w:rsidRPr="00837FD1" w:rsidRDefault="008D1F69" w:rsidP="00C149FD">
            <w:pPr>
              <w:pStyle w:val="Default"/>
              <w:spacing w:after="120"/>
              <w:rPr>
                <w:rFonts w:asciiTheme="minorHAnsi" w:hAnsiTheme="minorHAnsi"/>
                <w:b/>
                <w:lang w:val="en-GB"/>
              </w:rPr>
            </w:pPr>
            <w:r w:rsidRPr="00837FD1">
              <w:rPr>
                <w:rFonts w:asciiTheme="minorHAnsi" w:hAnsiTheme="minorHAnsi"/>
                <w:b/>
                <w:lang w:val="en-GB"/>
              </w:rPr>
              <w:t xml:space="preserve">Patients will be classified in the following categories of </w:t>
            </w:r>
            <w:proofErr w:type="spellStart"/>
            <w:r w:rsidRPr="00837FD1">
              <w:rPr>
                <w:rFonts w:asciiTheme="minorHAnsi" w:hAnsiTheme="minorHAnsi"/>
                <w:b/>
                <w:lang w:val="en-GB"/>
              </w:rPr>
              <w:t>edoxaban</w:t>
            </w:r>
            <w:proofErr w:type="spellEnd"/>
            <w:r w:rsidRPr="00837FD1">
              <w:rPr>
                <w:rFonts w:asciiTheme="minorHAnsi" w:hAnsiTheme="minorHAnsi"/>
                <w:b/>
                <w:lang w:val="en-GB"/>
              </w:rPr>
              <w:t xml:space="preserve"> exposure:</w:t>
            </w:r>
          </w:p>
          <w:p w:rsidR="008D1F69" w:rsidRPr="00837FD1" w:rsidRDefault="008D1F69" w:rsidP="008D1F69">
            <w:pPr>
              <w:pStyle w:val="Default"/>
              <w:numPr>
                <w:ilvl w:val="0"/>
                <w:numId w:val="1"/>
              </w:numPr>
              <w:spacing w:after="120"/>
              <w:rPr>
                <w:rFonts w:asciiTheme="minorHAnsi" w:hAnsiTheme="minorHAnsi"/>
                <w:lang w:val="en-GB"/>
              </w:rPr>
            </w:pPr>
            <w:r w:rsidRPr="00837FD1">
              <w:rPr>
                <w:rFonts w:asciiTheme="minorHAnsi" w:hAnsiTheme="minorHAnsi"/>
                <w:lang w:val="en-GB"/>
              </w:rPr>
              <w:t>Current use: Beginning the day of medication start through date of last use</w:t>
            </w:r>
          </w:p>
          <w:p w:rsidR="008D1F69" w:rsidRPr="00837FD1" w:rsidRDefault="008D1F69" w:rsidP="008D1F69">
            <w:pPr>
              <w:pStyle w:val="Default"/>
              <w:numPr>
                <w:ilvl w:val="0"/>
                <w:numId w:val="1"/>
              </w:numPr>
              <w:spacing w:after="120"/>
              <w:rPr>
                <w:rFonts w:asciiTheme="minorHAnsi" w:hAnsiTheme="minorHAnsi"/>
                <w:lang w:val="en-GB"/>
              </w:rPr>
            </w:pPr>
            <w:r w:rsidRPr="00837FD1">
              <w:rPr>
                <w:rFonts w:asciiTheme="minorHAnsi" w:hAnsiTheme="minorHAnsi"/>
                <w:lang w:val="en-GB"/>
              </w:rPr>
              <w:t>Recent use: Beginning after the last date of current use continuing for 3 days</w:t>
            </w:r>
          </w:p>
          <w:p w:rsidR="008D1F69" w:rsidRPr="00837FD1" w:rsidRDefault="008D1F69" w:rsidP="008D1F69">
            <w:pPr>
              <w:pStyle w:val="Default"/>
              <w:numPr>
                <w:ilvl w:val="0"/>
                <w:numId w:val="1"/>
              </w:numPr>
              <w:spacing w:after="120"/>
              <w:rPr>
                <w:rFonts w:asciiTheme="minorHAnsi" w:hAnsiTheme="minorHAnsi"/>
                <w:lang w:val="en-GB"/>
              </w:rPr>
            </w:pPr>
            <w:r w:rsidRPr="00837FD1">
              <w:rPr>
                <w:rFonts w:asciiTheme="minorHAnsi" w:hAnsiTheme="minorHAnsi"/>
                <w:lang w:val="en-GB"/>
              </w:rPr>
              <w:t>Past use: Beginning after 3 days of the last date of current use and continuing through end of study follow-up</w:t>
            </w:r>
          </w:p>
          <w:p w:rsidR="008D1F69" w:rsidRPr="00837FD1" w:rsidRDefault="008D1F69" w:rsidP="008D1F69">
            <w:pPr>
              <w:pStyle w:val="Default"/>
              <w:numPr>
                <w:ilvl w:val="0"/>
                <w:numId w:val="1"/>
              </w:numPr>
              <w:spacing w:after="120"/>
              <w:rPr>
                <w:rFonts w:asciiTheme="minorHAnsi" w:hAnsiTheme="minorHAnsi"/>
                <w:lang w:val="en-GB"/>
              </w:rPr>
            </w:pPr>
            <w:r w:rsidRPr="00837FD1">
              <w:rPr>
                <w:rFonts w:asciiTheme="minorHAnsi" w:hAnsiTheme="minorHAnsi"/>
                <w:lang w:val="en-GB"/>
              </w:rPr>
              <w:t>Extended-recent use: Beginning after the last date of current use continuing for 30 days*</w:t>
            </w:r>
          </w:p>
        </w:tc>
      </w:tr>
      <w:tr w:rsidR="008D1F69" w:rsidRPr="00837FD1" w:rsidTr="00C149FD">
        <w:tc>
          <w:tcPr>
            <w:tcW w:w="9242" w:type="dxa"/>
          </w:tcPr>
          <w:p w:rsidR="008D1F69" w:rsidRPr="00837FD1" w:rsidRDefault="008D1F69" w:rsidP="00C149FD">
            <w:pPr>
              <w:pStyle w:val="Default"/>
              <w:spacing w:after="120"/>
              <w:rPr>
                <w:rFonts w:asciiTheme="minorHAnsi" w:hAnsiTheme="minorHAnsi"/>
                <w:b/>
                <w:lang w:val="en-GB"/>
              </w:rPr>
            </w:pPr>
            <w:r w:rsidRPr="00837FD1">
              <w:rPr>
                <w:rFonts w:asciiTheme="minorHAnsi" w:hAnsiTheme="minorHAnsi"/>
                <w:b/>
                <w:lang w:val="en-GB"/>
              </w:rPr>
              <w:t>Endpoint definition for bleeding events</w:t>
            </w:r>
          </w:p>
          <w:p w:rsidR="008D1F69" w:rsidRPr="00837FD1" w:rsidRDefault="008D1F69" w:rsidP="00C149FD">
            <w:pPr>
              <w:pStyle w:val="Default"/>
              <w:spacing w:after="120"/>
              <w:rPr>
                <w:rFonts w:asciiTheme="minorHAnsi" w:hAnsiTheme="minorHAnsi"/>
                <w:b/>
                <w:lang w:val="en-GB"/>
              </w:rPr>
            </w:pPr>
            <w:r w:rsidRPr="00837FD1">
              <w:rPr>
                <w:rFonts w:asciiTheme="minorHAnsi" w:hAnsiTheme="minorHAnsi"/>
                <w:b/>
                <w:lang w:val="en-GB"/>
              </w:rPr>
              <w:t>Major bleeding</w:t>
            </w:r>
          </w:p>
          <w:p w:rsidR="008D1F69" w:rsidRPr="00837FD1" w:rsidRDefault="008D1F69" w:rsidP="00C149FD">
            <w:pPr>
              <w:pStyle w:val="Default"/>
              <w:spacing w:after="120"/>
              <w:rPr>
                <w:rFonts w:asciiTheme="minorHAnsi" w:hAnsiTheme="minorHAnsi"/>
                <w:lang w:val="en-GB"/>
              </w:rPr>
            </w:pPr>
            <w:r w:rsidRPr="00837FD1">
              <w:rPr>
                <w:rFonts w:asciiTheme="minorHAnsi" w:hAnsiTheme="minorHAnsi"/>
                <w:lang w:val="en-GB"/>
              </w:rPr>
              <w:t>A clinically overt bleeding event (i.e. bleeding that is visualised by examination or radiologic imaging) that meets at least one of the following:</w:t>
            </w:r>
          </w:p>
          <w:p w:rsidR="008D1F69" w:rsidRPr="00837FD1" w:rsidRDefault="008D1F69" w:rsidP="008D1F69">
            <w:pPr>
              <w:pStyle w:val="Default"/>
              <w:numPr>
                <w:ilvl w:val="0"/>
                <w:numId w:val="4"/>
              </w:numPr>
              <w:spacing w:after="120"/>
              <w:rPr>
                <w:rFonts w:asciiTheme="minorHAnsi" w:hAnsiTheme="minorHAnsi"/>
                <w:lang w:val="en-GB"/>
              </w:rPr>
            </w:pPr>
            <w:r w:rsidRPr="00837FD1">
              <w:rPr>
                <w:rFonts w:asciiTheme="minorHAnsi" w:hAnsiTheme="minorHAnsi"/>
                <w:lang w:val="en-GB"/>
              </w:rPr>
              <w:t>Fatal bleeding</w:t>
            </w:r>
          </w:p>
          <w:p w:rsidR="008D1F69" w:rsidRPr="00837FD1" w:rsidRDefault="008D1F69" w:rsidP="008D1F69">
            <w:pPr>
              <w:pStyle w:val="Default"/>
              <w:numPr>
                <w:ilvl w:val="0"/>
                <w:numId w:val="4"/>
              </w:numPr>
              <w:spacing w:after="120"/>
              <w:rPr>
                <w:rFonts w:asciiTheme="minorHAnsi" w:hAnsiTheme="minorHAnsi"/>
                <w:lang w:val="en-GB"/>
              </w:rPr>
            </w:pPr>
            <w:r w:rsidRPr="00837FD1">
              <w:rPr>
                <w:rFonts w:asciiTheme="minorHAnsi" w:hAnsiTheme="minorHAnsi"/>
                <w:lang w:val="en-GB"/>
              </w:rPr>
              <w:t>Symptomatic bleeding in a critical area or organ such as:</w:t>
            </w:r>
          </w:p>
          <w:p w:rsidR="008D1F69" w:rsidRPr="00837FD1" w:rsidRDefault="008D1F69" w:rsidP="008D1F69">
            <w:pPr>
              <w:pStyle w:val="Default"/>
              <w:numPr>
                <w:ilvl w:val="0"/>
                <w:numId w:val="2"/>
              </w:numPr>
              <w:spacing w:after="120"/>
              <w:ind w:hanging="371"/>
              <w:rPr>
                <w:rFonts w:asciiTheme="minorHAnsi" w:hAnsiTheme="minorHAnsi"/>
                <w:lang w:val="en-GB"/>
              </w:rPr>
            </w:pPr>
            <w:r w:rsidRPr="00837FD1">
              <w:rPr>
                <w:rFonts w:asciiTheme="minorHAnsi" w:hAnsiTheme="minorHAnsi"/>
                <w:lang w:val="en-GB"/>
              </w:rPr>
              <w:t>Retroperitoneal</w:t>
            </w:r>
            <w:r w:rsidRPr="00837FD1">
              <w:rPr>
                <w:rFonts w:asciiTheme="minorHAnsi" w:hAnsiTheme="minorHAnsi"/>
                <w:lang w:val="en-GB"/>
              </w:rPr>
              <w:tab/>
            </w:r>
          </w:p>
          <w:p w:rsidR="008D1F69" w:rsidRPr="00837FD1" w:rsidRDefault="008D1F69" w:rsidP="008D1F69">
            <w:pPr>
              <w:pStyle w:val="Default"/>
              <w:numPr>
                <w:ilvl w:val="0"/>
                <w:numId w:val="2"/>
              </w:numPr>
              <w:spacing w:after="120"/>
              <w:ind w:hanging="371"/>
              <w:rPr>
                <w:rFonts w:asciiTheme="minorHAnsi" w:hAnsiTheme="minorHAnsi"/>
                <w:lang w:val="en-GB"/>
              </w:rPr>
            </w:pPr>
            <w:r w:rsidRPr="00837FD1">
              <w:rPr>
                <w:rFonts w:asciiTheme="minorHAnsi" w:hAnsiTheme="minorHAnsi"/>
                <w:lang w:val="en-GB"/>
              </w:rPr>
              <w:t>Intracranial</w:t>
            </w:r>
          </w:p>
          <w:p w:rsidR="008D1F69" w:rsidRPr="00837FD1" w:rsidRDefault="008D1F69" w:rsidP="008D1F69">
            <w:pPr>
              <w:pStyle w:val="Default"/>
              <w:numPr>
                <w:ilvl w:val="0"/>
                <w:numId w:val="2"/>
              </w:numPr>
              <w:spacing w:after="120"/>
              <w:ind w:hanging="371"/>
              <w:rPr>
                <w:rFonts w:asciiTheme="minorHAnsi" w:hAnsiTheme="minorHAnsi"/>
                <w:lang w:val="en-GB"/>
              </w:rPr>
            </w:pPr>
            <w:r w:rsidRPr="00837FD1">
              <w:rPr>
                <w:rFonts w:asciiTheme="minorHAnsi" w:hAnsiTheme="minorHAnsi"/>
                <w:lang w:val="en-GB"/>
              </w:rPr>
              <w:t xml:space="preserve">Intraocular </w:t>
            </w:r>
            <w:r w:rsidRPr="00837FD1">
              <w:rPr>
                <w:rFonts w:asciiTheme="minorHAnsi" w:hAnsiTheme="minorHAnsi"/>
                <w:lang w:val="en-GB"/>
              </w:rPr>
              <w:tab/>
            </w:r>
            <w:r w:rsidRPr="00837FD1">
              <w:rPr>
                <w:rFonts w:asciiTheme="minorHAnsi" w:hAnsiTheme="minorHAnsi"/>
                <w:lang w:val="en-GB"/>
              </w:rPr>
              <w:tab/>
            </w:r>
          </w:p>
          <w:p w:rsidR="008D1F69" w:rsidRPr="00837FD1" w:rsidRDefault="008D1F69" w:rsidP="008D1F69">
            <w:pPr>
              <w:pStyle w:val="Default"/>
              <w:numPr>
                <w:ilvl w:val="0"/>
                <w:numId w:val="2"/>
              </w:numPr>
              <w:spacing w:after="120"/>
              <w:ind w:hanging="371"/>
              <w:rPr>
                <w:rFonts w:asciiTheme="minorHAnsi" w:hAnsiTheme="minorHAnsi"/>
                <w:lang w:val="en-GB"/>
              </w:rPr>
            </w:pPr>
            <w:proofErr w:type="spellStart"/>
            <w:r w:rsidRPr="00837FD1">
              <w:rPr>
                <w:rFonts w:asciiTheme="minorHAnsi" w:hAnsiTheme="minorHAnsi"/>
                <w:lang w:val="en-GB"/>
              </w:rPr>
              <w:t>Intraspinal</w:t>
            </w:r>
            <w:proofErr w:type="spellEnd"/>
          </w:p>
          <w:p w:rsidR="008D1F69" w:rsidRPr="00837FD1" w:rsidRDefault="008D1F69" w:rsidP="008D1F69">
            <w:pPr>
              <w:pStyle w:val="Default"/>
              <w:numPr>
                <w:ilvl w:val="0"/>
                <w:numId w:val="2"/>
              </w:numPr>
              <w:spacing w:after="120"/>
              <w:ind w:hanging="371"/>
              <w:rPr>
                <w:rFonts w:asciiTheme="minorHAnsi" w:hAnsiTheme="minorHAnsi"/>
                <w:lang w:val="en-GB"/>
              </w:rPr>
            </w:pPr>
            <w:r w:rsidRPr="00837FD1">
              <w:rPr>
                <w:rFonts w:asciiTheme="minorHAnsi" w:hAnsiTheme="minorHAnsi"/>
                <w:lang w:val="en-GB"/>
              </w:rPr>
              <w:t xml:space="preserve">Intra-articular </w:t>
            </w:r>
            <w:r w:rsidRPr="00837FD1">
              <w:rPr>
                <w:rFonts w:asciiTheme="minorHAnsi" w:hAnsiTheme="minorHAnsi"/>
                <w:lang w:val="en-GB"/>
              </w:rPr>
              <w:tab/>
            </w:r>
            <w:r w:rsidRPr="00837FD1">
              <w:rPr>
                <w:rFonts w:asciiTheme="minorHAnsi" w:hAnsiTheme="minorHAnsi"/>
                <w:lang w:val="en-GB"/>
              </w:rPr>
              <w:tab/>
            </w:r>
            <w:r w:rsidRPr="00837FD1">
              <w:rPr>
                <w:rFonts w:asciiTheme="minorHAnsi" w:hAnsiTheme="minorHAnsi"/>
                <w:lang w:val="en-GB"/>
              </w:rPr>
              <w:tab/>
            </w:r>
          </w:p>
          <w:p w:rsidR="008D1F69" w:rsidRPr="00837FD1" w:rsidRDefault="008D1F69" w:rsidP="008D1F69">
            <w:pPr>
              <w:pStyle w:val="Default"/>
              <w:numPr>
                <w:ilvl w:val="0"/>
                <w:numId w:val="2"/>
              </w:numPr>
              <w:spacing w:after="120"/>
              <w:ind w:hanging="371"/>
              <w:rPr>
                <w:rFonts w:asciiTheme="minorHAnsi" w:hAnsiTheme="minorHAnsi"/>
                <w:lang w:val="en-GB"/>
              </w:rPr>
            </w:pPr>
            <w:r w:rsidRPr="00837FD1">
              <w:rPr>
                <w:rFonts w:asciiTheme="minorHAnsi" w:hAnsiTheme="minorHAnsi"/>
                <w:lang w:val="en-GB"/>
              </w:rPr>
              <w:t>Pericardial</w:t>
            </w:r>
          </w:p>
          <w:p w:rsidR="008D1F69" w:rsidRPr="00837FD1" w:rsidRDefault="008D1F69" w:rsidP="008D1F69">
            <w:pPr>
              <w:pStyle w:val="Default"/>
              <w:numPr>
                <w:ilvl w:val="0"/>
                <w:numId w:val="2"/>
              </w:numPr>
              <w:spacing w:after="120"/>
              <w:ind w:hanging="371"/>
              <w:rPr>
                <w:rFonts w:asciiTheme="minorHAnsi" w:hAnsiTheme="minorHAnsi"/>
                <w:lang w:val="en-GB"/>
              </w:rPr>
            </w:pPr>
            <w:r w:rsidRPr="00837FD1">
              <w:rPr>
                <w:rFonts w:asciiTheme="minorHAnsi" w:hAnsiTheme="minorHAnsi"/>
                <w:lang w:val="en-GB"/>
              </w:rPr>
              <w:t>Intramuscular with compartment syndrome</w:t>
            </w:r>
          </w:p>
          <w:p w:rsidR="008D1F69" w:rsidRPr="00837FD1" w:rsidRDefault="008D1F69" w:rsidP="008D1F69">
            <w:pPr>
              <w:pStyle w:val="Default"/>
              <w:numPr>
                <w:ilvl w:val="0"/>
                <w:numId w:val="4"/>
              </w:numPr>
              <w:spacing w:after="120"/>
              <w:rPr>
                <w:rFonts w:asciiTheme="minorHAnsi" w:hAnsiTheme="minorHAnsi"/>
                <w:lang w:val="en-GB"/>
              </w:rPr>
            </w:pPr>
            <w:r w:rsidRPr="00837FD1">
              <w:rPr>
                <w:rFonts w:asciiTheme="minorHAnsi" w:hAnsiTheme="minorHAnsi"/>
                <w:lang w:val="en-GB"/>
              </w:rPr>
              <w:t>A clinically overt bleeding event that causes a fall in haemoglobin level of 2.0 g/</w:t>
            </w:r>
            <w:proofErr w:type="spellStart"/>
            <w:r w:rsidRPr="00837FD1">
              <w:rPr>
                <w:rFonts w:asciiTheme="minorHAnsi" w:hAnsiTheme="minorHAnsi"/>
                <w:lang w:val="en-GB"/>
              </w:rPr>
              <w:t>dL</w:t>
            </w:r>
            <w:proofErr w:type="spellEnd"/>
            <w:r w:rsidRPr="00837FD1">
              <w:rPr>
                <w:rFonts w:asciiTheme="minorHAnsi" w:hAnsiTheme="minorHAnsi"/>
                <w:lang w:val="en-GB"/>
              </w:rPr>
              <w:t xml:space="preserve"> (&gt; 1.24 </w:t>
            </w:r>
            <w:proofErr w:type="spellStart"/>
            <w:r w:rsidRPr="00837FD1">
              <w:rPr>
                <w:rFonts w:asciiTheme="minorHAnsi" w:hAnsiTheme="minorHAnsi"/>
                <w:lang w:val="en-GB"/>
              </w:rPr>
              <w:t>mMol</w:t>
            </w:r>
            <w:proofErr w:type="spellEnd"/>
            <w:r w:rsidRPr="00837FD1">
              <w:rPr>
                <w:rFonts w:asciiTheme="minorHAnsi" w:hAnsiTheme="minorHAnsi"/>
                <w:lang w:val="en-GB"/>
              </w:rPr>
              <w:t>/L) or more</w:t>
            </w:r>
            <w:r w:rsidR="00D558F4" w:rsidRPr="00D558F4">
              <w:rPr>
                <w:rFonts w:asciiTheme="minorHAnsi" w:hAnsiTheme="minorHAnsi"/>
                <w:color w:val="C00000"/>
                <w:lang w:val="en-GB"/>
              </w:rPr>
              <w:t>†</w:t>
            </w:r>
            <w:r w:rsidRPr="00837FD1">
              <w:rPr>
                <w:rFonts w:asciiTheme="minorHAnsi" w:hAnsiTheme="minorHAnsi"/>
                <w:lang w:val="en-GB"/>
              </w:rPr>
              <w:t xml:space="preserve">; or a fall of haematocrit of 6.0% or more, adjusted for </w:t>
            </w:r>
            <w:proofErr w:type="spellStart"/>
            <w:r w:rsidRPr="00837FD1">
              <w:rPr>
                <w:rFonts w:asciiTheme="minorHAnsi" w:hAnsiTheme="minorHAnsi"/>
                <w:lang w:val="en-GB"/>
              </w:rPr>
              <w:t>transfusión</w:t>
            </w:r>
            <w:proofErr w:type="spellEnd"/>
          </w:p>
          <w:p w:rsidR="008D1F69" w:rsidRPr="00837FD1" w:rsidRDefault="008D1F69" w:rsidP="00C149FD">
            <w:pPr>
              <w:pStyle w:val="Default"/>
              <w:spacing w:after="120"/>
              <w:rPr>
                <w:rFonts w:asciiTheme="minorHAnsi" w:hAnsiTheme="minorHAnsi"/>
                <w:b/>
                <w:lang w:val="en-GB"/>
              </w:rPr>
            </w:pPr>
            <w:r w:rsidRPr="00837FD1">
              <w:rPr>
                <w:rFonts w:asciiTheme="minorHAnsi" w:hAnsiTheme="minorHAnsi"/>
                <w:b/>
                <w:lang w:val="en-GB"/>
              </w:rPr>
              <w:t xml:space="preserve">Major bleeding events will also be further </w:t>
            </w:r>
            <w:proofErr w:type="spellStart"/>
            <w:r w:rsidRPr="00837FD1">
              <w:rPr>
                <w:rFonts w:asciiTheme="minorHAnsi" w:hAnsiTheme="minorHAnsi"/>
                <w:b/>
                <w:lang w:val="en-GB"/>
              </w:rPr>
              <w:t>subclassified</w:t>
            </w:r>
            <w:proofErr w:type="spellEnd"/>
            <w:r w:rsidRPr="00837FD1">
              <w:rPr>
                <w:rFonts w:asciiTheme="minorHAnsi" w:hAnsiTheme="minorHAnsi"/>
                <w:b/>
                <w:lang w:val="en-GB"/>
              </w:rPr>
              <w:t xml:space="preserve"> as:</w:t>
            </w:r>
          </w:p>
          <w:p w:rsidR="008D1F69" w:rsidRPr="00837FD1" w:rsidRDefault="008D1F69" w:rsidP="008D1F69">
            <w:pPr>
              <w:pStyle w:val="Default"/>
              <w:numPr>
                <w:ilvl w:val="0"/>
                <w:numId w:val="3"/>
              </w:numPr>
              <w:spacing w:after="120"/>
              <w:rPr>
                <w:rFonts w:asciiTheme="minorHAnsi" w:hAnsiTheme="minorHAnsi"/>
                <w:lang w:val="en-GB"/>
              </w:rPr>
            </w:pPr>
            <w:r w:rsidRPr="00837FD1">
              <w:rPr>
                <w:rFonts w:asciiTheme="minorHAnsi" w:hAnsiTheme="minorHAnsi"/>
                <w:b/>
                <w:lang w:val="en-GB"/>
              </w:rPr>
              <w:t xml:space="preserve">Life-threatening </w:t>
            </w:r>
            <w:r w:rsidRPr="00837FD1">
              <w:rPr>
                <w:rFonts w:asciiTheme="minorHAnsi" w:hAnsiTheme="minorHAnsi"/>
                <w:lang w:val="en-GB"/>
              </w:rPr>
              <w:t>- a life-threatening major bleed is defined as a bleeding event that is either intracranial or is associated with haemodynamic compromise requiring intervention</w:t>
            </w:r>
          </w:p>
          <w:p w:rsidR="008D1F69" w:rsidRPr="00837FD1" w:rsidRDefault="008D1F69" w:rsidP="008D1F69">
            <w:pPr>
              <w:pStyle w:val="Default"/>
              <w:numPr>
                <w:ilvl w:val="0"/>
                <w:numId w:val="3"/>
              </w:numPr>
              <w:spacing w:after="120"/>
              <w:rPr>
                <w:rFonts w:asciiTheme="minorHAnsi" w:hAnsiTheme="minorHAnsi"/>
                <w:b/>
                <w:lang w:val="en-GB"/>
              </w:rPr>
            </w:pPr>
            <w:r w:rsidRPr="00837FD1">
              <w:rPr>
                <w:rFonts w:asciiTheme="minorHAnsi" w:hAnsiTheme="minorHAnsi"/>
                <w:b/>
                <w:lang w:val="en-GB"/>
              </w:rPr>
              <w:t>Non-life threatening</w:t>
            </w:r>
          </w:p>
          <w:p w:rsidR="008D1F69" w:rsidRPr="00837FD1" w:rsidRDefault="008D1F69" w:rsidP="00C149FD">
            <w:pPr>
              <w:pStyle w:val="Default"/>
              <w:spacing w:after="120"/>
              <w:rPr>
                <w:rFonts w:asciiTheme="minorHAnsi" w:hAnsiTheme="minorHAnsi"/>
                <w:b/>
                <w:lang w:val="en-GB"/>
              </w:rPr>
            </w:pPr>
            <w:r w:rsidRPr="00837FD1">
              <w:rPr>
                <w:rFonts w:asciiTheme="minorHAnsi" w:hAnsiTheme="minorHAnsi"/>
                <w:b/>
                <w:lang w:val="en-GB"/>
              </w:rPr>
              <w:t>Clinically relevant non-major bleeding events:</w:t>
            </w:r>
          </w:p>
          <w:p w:rsidR="008D1F69" w:rsidRPr="00837FD1" w:rsidRDefault="008D1F69" w:rsidP="00C149FD">
            <w:pPr>
              <w:pStyle w:val="Default"/>
              <w:spacing w:after="120"/>
              <w:rPr>
                <w:rFonts w:asciiTheme="minorHAnsi" w:hAnsiTheme="minorHAnsi"/>
                <w:lang w:val="en-GB"/>
              </w:rPr>
            </w:pPr>
            <w:r w:rsidRPr="00837FD1">
              <w:rPr>
                <w:rFonts w:asciiTheme="minorHAnsi" w:hAnsiTheme="minorHAnsi"/>
                <w:lang w:val="en-GB"/>
              </w:rPr>
              <w:t xml:space="preserve">A clinically overt bleeding event that requires medical attention that does not fulfil the criteria for a major bleeding event i.e. bleeding requiring medical attention include, but are not limited to, bleeding events that result in the following diagnostic or therapeutic </w:t>
            </w:r>
            <w:r w:rsidRPr="00837FD1">
              <w:rPr>
                <w:rFonts w:asciiTheme="minorHAnsi" w:hAnsiTheme="minorHAnsi"/>
                <w:lang w:val="en-GB"/>
              </w:rPr>
              <w:lastRenderedPageBreak/>
              <w:t>measures:</w:t>
            </w:r>
          </w:p>
          <w:p w:rsidR="008D1F69" w:rsidRPr="00837FD1" w:rsidRDefault="008D1F69" w:rsidP="00C149FD">
            <w:pPr>
              <w:pStyle w:val="Default"/>
              <w:spacing w:after="120"/>
              <w:ind w:left="709" w:hanging="283"/>
              <w:rPr>
                <w:rFonts w:asciiTheme="minorHAnsi" w:hAnsiTheme="minorHAnsi"/>
                <w:lang w:val="en-GB"/>
              </w:rPr>
            </w:pPr>
            <w:r w:rsidRPr="00837FD1">
              <w:rPr>
                <w:rFonts w:asciiTheme="minorHAnsi" w:hAnsiTheme="minorHAnsi"/>
                <w:lang w:val="en-GB"/>
              </w:rPr>
              <w:t>•</w:t>
            </w:r>
            <w:r w:rsidRPr="00837FD1">
              <w:rPr>
                <w:rFonts w:asciiTheme="minorHAnsi" w:hAnsiTheme="minorHAnsi"/>
                <w:lang w:val="en-GB"/>
              </w:rPr>
              <w:tab/>
              <w:t>Requires or prolongs hospitalisation</w:t>
            </w:r>
          </w:p>
          <w:p w:rsidR="008D1F69" w:rsidRPr="00837FD1" w:rsidRDefault="008D1F69" w:rsidP="00C149FD">
            <w:pPr>
              <w:pStyle w:val="Default"/>
              <w:spacing w:after="120"/>
              <w:ind w:left="709" w:hanging="283"/>
              <w:rPr>
                <w:rFonts w:asciiTheme="minorHAnsi" w:hAnsiTheme="minorHAnsi"/>
                <w:lang w:val="en-GB"/>
              </w:rPr>
            </w:pPr>
            <w:r w:rsidRPr="00837FD1">
              <w:rPr>
                <w:rFonts w:asciiTheme="minorHAnsi" w:hAnsiTheme="minorHAnsi"/>
                <w:lang w:val="en-GB"/>
              </w:rPr>
              <w:t>•</w:t>
            </w:r>
            <w:r w:rsidRPr="00837FD1">
              <w:rPr>
                <w:rFonts w:asciiTheme="minorHAnsi" w:hAnsiTheme="minorHAnsi"/>
                <w:lang w:val="en-GB"/>
              </w:rPr>
              <w:tab/>
              <w:t>Laboratory evaluation</w:t>
            </w:r>
          </w:p>
          <w:p w:rsidR="008D1F69" w:rsidRPr="00837FD1" w:rsidRDefault="008D1F69" w:rsidP="00C149FD">
            <w:pPr>
              <w:pStyle w:val="Default"/>
              <w:spacing w:after="120"/>
              <w:ind w:left="709" w:hanging="283"/>
              <w:rPr>
                <w:rFonts w:asciiTheme="minorHAnsi" w:hAnsiTheme="minorHAnsi"/>
                <w:lang w:val="en-GB"/>
              </w:rPr>
            </w:pPr>
            <w:r w:rsidRPr="00837FD1">
              <w:rPr>
                <w:rFonts w:asciiTheme="minorHAnsi" w:hAnsiTheme="minorHAnsi"/>
                <w:lang w:val="en-GB"/>
              </w:rPr>
              <w:t>•</w:t>
            </w:r>
            <w:r w:rsidRPr="00837FD1">
              <w:rPr>
                <w:rFonts w:asciiTheme="minorHAnsi" w:hAnsiTheme="minorHAnsi"/>
                <w:lang w:val="en-GB"/>
              </w:rPr>
              <w:tab/>
              <w:t>Imaging studies</w:t>
            </w:r>
          </w:p>
          <w:p w:rsidR="008D1F69" w:rsidRPr="00837FD1" w:rsidRDefault="008D1F69" w:rsidP="00C149FD">
            <w:pPr>
              <w:pStyle w:val="Default"/>
              <w:spacing w:after="120"/>
              <w:ind w:left="709" w:hanging="283"/>
              <w:rPr>
                <w:rFonts w:asciiTheme="minorHAnsi" w:hAnsiTheme="minorHAnsi"/>
                <w:lang w:val="en-GB"/>
              </w:rPr>
            </w:pPr>
            <w:r w:rsidRPr="00837FD1">
              <w:rPr>
                <w:rFonts w:asciiTheme="minorHAnsi" w:hAnsiTheme="minorHAnsi"/>
                <w:lang w:val="en-GB"/>
              </w:rPr>
              <w:t>•</w:t>
            </w:r>
            <w:r w:rsidRPr="00837FD1">
              <w:rPr>
                <w:rFonts w:asciiTheme="minorHAnsi" w:hAnsiTheme="minorHAnsi"/>
                <w:lang w:val="en-GB"/>
              </w:rPr>
              <w:tab/>
              <w:t>Endoscopy, colonoscopy, cystoscopy, or bronchoscopy</w:t>
            </w:r>
          </w:p>
          <w:p w:rsidR="008D1F69" w:rsidRPr="00837FD1" w:rsidRDefault="008D1F69" w:rsidP="00C149FD">
            <w:pPr>
              <w:pStyle w:val="Default"/>
              <w:spacing w:after="120"/>
              <w:ind w:left="709" w:hanging="283"/>
              <w:rPr>
                <w:rFonts w:asciiTheme="minorHAnsi" w:hAnsiTheme="minorHAnsi"/>
                <w:lang w:val="en-GB"/>
              </w:rPr>
            </w:pPr>
            <w:r w:rsidRPr="00837FD1">
              <w:rPr>
                <w:rFonts w:asciiTheme="minorHAnsi" w:hAnsiTheme="minorHAnsi"/>
                <w:lang w:val="en-GB"/>
              </w:rPr>
              <w:t>•</w:t>
            </w:r>
            <w:r w:rsidRPr="00837FD1">
              <w:rPr>
                <w:rFonts w:asciiTheme="minorHAnsi" w:hAnsiTheme="minorHAnsi"/>
                <w:lang w:val="en-GB"/>
              </w:rPr>
              <w:tab/>
              <w:t>Nasal packing</w:t>
            </w:r>
          </w:p>
          <w:p w:rsidR="008D1F69" w:rsidRPr="00837FD1" w:rsidRDefault="008D1F69" w:rsidP="00C149FD">
            <w:pPr>
              <w:pStyle w:val="Default"/>
              <w:spacing w:after="120"/>
              <w:ind w:left="709" w:hanging="283"/>
              <w:rPr>
                <w:rFonts w:asciiTheme="minorHAnsi" w:hAnsiTheme="minorHAnsi"/>
                <w:lang w:val="en-GB"/>
              </w:rPr>
            </w:pPr>
            <w:r w:rsidRPr="00837FD1">
              <w:rPr>
                <w:rFonts w:asciiTheme="minorHAnsi" w:hAnsiTheme="minorHAnsi"/>
                <w:lang w:val="en-GB"/>
              </w:rPr>
              <w:t>•</w:t>
            </w:r>
            <w:r w:rsidRPr="00837FD1">
              <w:rPr>
                <w:rFonts w:asciiTheme="minorHAnsi" w:hAnsiTheme="minorHAnsi"/>
                <w:lang w:val="en-GB"/>
              </w:rPr>
              <w:tab/>
              <w:t>Compression</w:t>
            </w:r>
          </w:p>
          <w:p w:rsidR="008D1F69" w:rsidRPr="00837FD1" w:rsidRDefault="008D1F69" w:rsidP="00C149FD">
            <w:pPr>
              <w:pStyle w:val="Default"/>
              <w:spacing w:after="120"/>
              <w:ind w:left="709" w:hanging="283"/>
              <w:rPr>
                <w:rFonts w:asciiTheme="minorHAnsi" w:hAnsiTheme="minorHAnsi"/>
                <w:lang w:val="en-GB"/>
              </w:rPr>
            </w:pPr>
            <w:r w:rsidRPr="00837FD1">
              <w:rPr>
                <w:rFonts w:asciiTheme="minorHAnsi" w:hAnsiTheme="minorHAnsi"/>
                <w:lang w:val="en-GB"/>
              </w:rPr>
              <w:t>•</w:t>
            </w:r>
            <w:r w:rsidRPr="00837FD1">
              <w:rPr>
                <w:rFonts w:asciiTheme="minorHAnsi" w:hAnsiTheme="minorHAnsi"/>
                <w:lang w:val="en-GB"/>
              </w:rPr>
              <w:tab/>
              <w:t>Ultrasound guided closure of an aneurysm</w:t>
            </w:r>
          </w:p>
          <w:p w:rsidR="008D1F69" w:rsidRPr="00837FD1" w:rsidRDefault="008D1F69" w:rsidP="00C149FD">
            <w:pPr>
              <w:pStyle w:val="Default"/>
              <w:spacing w:after="120"/>
              <w:ind w:left="709" w:hanging="283"/>
              <w:rPr>
                <w:rFonts w:asciiTheme="minorHAnsi" w:hAnsiTheme="minorHAnsi"/>
                <w:lang w:val="en-GB"/>
              </w:rPr>
            </w:pPr>
            <w:r w:rsidRPr="00837FD1">
              <w:rPr>
                <w:rFonts w:asciiTheme="minorHAnsi" w:hAnsiTheme="minorHAnsi"/>
                <w:lang w:val="en-GB"/>
              </w:rPr>
              <w:t>•</w:t>
            </w:r>
            <w:r w:rsidRPr="00837FD1">
              <w:rPr>
                <w:rFonts w:asciiTheme="minorHAnsi" w:hAnsiTheme="minorHAnsi"/>
                <w:lang w:val="en-GB"/>
              </w:rPr>
              <w:tab/>
              <w:t xml:space="preserve">Coil </w:t>
            </w:r>
            <w:proofErr w:type="spellStart"/>
            <w:r w:rsidRPr="00837FD1">
              <w:rPr>
                <w:rFonts w:asciiTheme="minorHAnsi" w:hAnsiTheme="minorHAnsi"/>
                <w:lang w:val="en-GB"/>
              </w:rPr>
              <w:t>embolisation</w:t>
            </w:r>
            <w:proofErr w:type="spellEnd"/>
          </w:p>
          <w:p w:rsidR="008D1F69" w:rsidRPr="00837FD1" w:rsidRDefault="008D1F69" w:rsidP="00C149FD">
            <w:pPr>
              <w:pStyle w:val="Default"/>
              <w:spacing w:after="120"/>
              <w:ind w:left="709" w:hanging="283"/>
              <w:rPr>
                <w:rFonts w:asciiTheme="minorHAnsi" w:hAnsiTheme="minorHAnsi"/>
                <w:lang w:val="en-GB"/>
              </w:rPr>
            </w:pPr>
            <w:r w:rsidRPr="00837FD1">
              <w:rPr>
                <w:rFonts w:asciiTheme="minorHAnsi" w:hAnsiTheme="minorHAnsi"/>
                <w:lang w:val="en-GB"/>
              </w:rPr>
              <w:t>•</w:t>
            </w:r>
            <w:r w:rsidRPr="00837FD1">
              <w:rPr>
                <w:rFonts w:asciiTheme="minorHAnsi" w:hAnsiTheme="minorHAnsi"/>
                <w:lang w:val="en-GB"/>
              </w:rPr>
              <w:tab/>
              <w:t>Inotropic support</w:t>
            </w:r>
          </w:p>
          <w:p w:rsidR="008D1F69" w:rsidRPr="00837FD1" w:rsidRDefault="008D1F69" w:rsidP="00C149FD">
            <w:pPr>
              <w:pStyle w:val="Default"/>
              <w:spacing w:after="120"/>
              <w:ind w:left="709" w:hanging="283"/>
              <w:rPr>
                <w:rFonts w:asciiTheme="minorHAnsi" w:hAnsiTheme="minorHAnsi"/>
                <w:lang w:val="en-GB"/>
              </w:rPr>
            </w:pPr>
            <w:r w:rsidRPr="00837FD1">
              <w:rPr>
                <w:rFonts w:asciiTheme="minorHAnsi" w:hAnsiTheme="minorHAnsi"/>
                <w:lang w:val="en-GB"/>
              </w:rPr>
              <w:t>•</w:t>
            </w:r>
            <w:r w:rsidRPr="00837FD1">
              <w:rPr>
                <w:rFonts w:asciiTheme="minorHAnsi" w:hAnsiTheme="minorHAnsi"/>
                <w:lang w:val="en-GB"/>
              </w:rPr>
              <w:tab/>
              <w:t>Surgery</w:t>
            </w:r>
          </w:p>
          <w:p w:rsidR="008D1F69" w:rsidRPr="00837FD1" w:rsidRDefault="008D1F69" w:rsidP="00C149FD">
            <w:pPr>
              <w:pStyle w:val="Default"/>
              <w:spacing w:after="120"/>
              <w:ind w:left="709" w:hanging="283"/>
              <w:rPr>
                <w:rFonts w:asciiTheme="minorHAnsi" w:hAnsiTheme="minorHAnsi"/>
                <w:lang w:val="en-GB"/>
              </w:rPr>
            </w:pPr>
            <w:r w:rsidRPr="00837FD1">
              <w:rPr>
                <w:rFonts w:asciiTheme="minorHAnsi" w:hAnsiTheme="minorHAnsi"/>
                <w:lang w:val="en-GB"/>
              </w:rPr>
              <w:t>•</w:t>
            </w:r>
            <w:r w:rsidRPr="00837FD1">
              <w:rPr>
                <w:rFonts w:asciiTheme="minorHAnsi" w:hAnsiTheme="minorHAnsi"/>
                <w:lang w:val="en-GB"/>
              </w:rPr>
              <w:tab/>
              <w:t>Interruption or stopping anticoagulation at the advice of a physician</w:t>
            </w:r>
          </w:p>
          <w:p w:rsidR="008D1F69" w:rsidRPr="00837FD1" w:rsidRDefault="008D1F69" w:rsidP="00C149FD">
            <w:pPr>
              <w:pStyle w:val="Default"/>
              <w:spacing w:after="120"/>
              <w:ind w:left="709" w:hanging="283"/>
              <w:rPr>
                <w:rFonts w:asciiTheme="minorHAnsi" w:hAnsiTheme="minorHAnsi"/>
                <w:lang w:val="en-GB"/>
              </w:rPr>
            </w:pPr>
            <w:r w:rsidRPr="00837FD1">
              <w:rPr>
                <w:rFonts w:asciiTheme="minorHAnsi" w:hAnsiTheme="minorHAnsi"/>
                <w:lang w:val="en-GB"/>
              </w:rPr>
              <w:t>•</w:t>
            </w:r>
            <w:r w:rsidRPr="00837FD1">
              <w:rPr>
                <w:rFonts w:asciiTheme="minorHAnsi" w:hAnsiTheme="minorHAnsi"/>
                <w:lang w:val="en-GB"/>
              </w:rPr>
              <w:tab/>
              <w:t>Changing concomitant therapies (e.g. reducing the dose of or discontinuing aspirin) at the advice of a physician</w:t>
            </w:r>
          </w:p>
          <w:p w:rsidR="008D1F69" w:rsidRPr="00837FD1" w:rsidRDefault="008D1F69" w:rsidP="00C149FD">
            <w:pPr>
              <w:pStyle w:val="Default"/>
              <w:spacing w:after="120"/>
              <w:rPr>
                <w:rFonts w:asciiTheme="minorHAnsi" w:hAnsiTheme="minorHAnsi"/>
                <w:b/>
                <w:lang w:val="en-GB"/>
              </w:rPr>
            </w:pPr>
            <w:r w:rsidRPr="00837FD1">
              <w:rPr>
                <w:rFonts w:asciiTheme="minorHAnsi" w:hAnsiTheme="minorHAnsi"/>
                <w:b/>
                <w:lang w:val="en-GB"/>
              </w:rPr>
              <w:t>Minor bleeding event</w:t>
            </w:r>
          </w:p>
          <w:p w:rsidR="008D1F69" w:rsidRPr="00837FD1" w:rsidRDefault="008D1F69" w:rsidP="00C149FD">
            <w:pPr>
              <w:pStyle w:val="Default"/>
              <w:spacing w:after="120"/>
              <w:rPr>
                <w:rFonts w:asciiTheme="minorHAnsi" w:hAnsiTheme="minorHAnsi"/>
                <w:lang w:val="en-GB"/>
              </w:rPr>
            </w:pPr>
            <w:r w:rsidRPr="00837FD1">
              <w:rPr>
                <w:rFonts w:asciiTheme="minorHAnsi" w:hAnsiTheme="minorHAnsi"/>
                <w:lang w:val="en-GB"/>
              </w:rPr>
              <w:t>Other overt bleeding events that do not fulfil the criteria of a major bleeding event or a clinically relevant non-major bleeding event (e.g. epistaxis that does not require medical attention) will be classified as a minor bleeding event</w:t>
            </w:r>
          </w:p>
          <w:p w:rsidR="008D1F69" w:rsidRPr="00837FD1" w:rsidRDefault="008D1F69" w:rsidP="00C149FD">
            <w:pPr>
              <w:pStyle w:val="Default"/>
              <w:spacing w:after="120"/>
              <w:rPr>
                <w:rFonts w:asciiTheme="minorHAnsi" w:hAnsiTheme="minorHAnsi"/>
                <w:lang w:val="en-GB"/>
              </w:rPr>
            </w:pPr>
          </w:p>
        </w:tc>
      </w:tr>
      <w:tr w:rsidR="008D1F69" w:rsidRPr="00837FD1" w:rsidTr="00C149FD">
        <w:tc>
          <w:tcPr>
            <w:tcW w:w="9242" w:type="dxa"/>
          </w:tcPr>
          <w:p w:rsidR="008D1F69" w:rsidRPr="00837FD1" w:rsidRDefault="008D1F69" w:rsidP="00C149FD">
            <w:pPr>
              <w:pStyle w:val="Default"/>
              <w:spacing w:after="120"/>
              <w:rPr>
                <w:rFonts w:asciiTheme="minorHAnsi" w:hAnsiTheme="minorHAnsi"/>
                <w:b/>
                <w:lang w:val="en-GB"/>
              </w:rPr>
            </w:pPr>
            <w:r w:rsidRPr="00837FD1">
              <w:rPr>
                <w:rFonts w:asciiTheme="minorHAnsi" w:hAnsiTheme="minorHAnsi"/>
                <w:b/>
                <w:lang w:val="en-GB"/>
              </w:rPr>
              <w:lastRenderedPageBreak/>
              <w:t>Adverse drug reaction</w:t>
            </w:r>
          </w:p>
          <w:p w:rsidR="008D1F69" w:rsidRPr="00837FD1" w:rsidRDefault="008D1F69" w:rsidP="00C149FD">
            <w:pPr>
              <w:pStyle w:val="Default"/>
              <w:spacing w:after="120"/>
              <w:rPr>
                <w:rFonts w:asciiTheme="minorHAnsi" w:hAnsiTheme="minorHAnsi"/>
                <w:b/>
                <w:lang w:val="en-GB"/>
              </w:rPr>
            </w:pPr>
            <w:r w:rsidRPr="00837FD1">
              <w:rPr>
                <w:rFonts w:asciiTheme="minorHAnsi" w:hAnsiTheme="minorHAnsi"/>
                <w:lang w:val="en-GB"/>
              </w:rPr>
              <w:t>A response to a medicinal product which is noxious and unintended and which occurs at doses normally used in man for the prophylaxis, diagnosis or therapy of disease or for the restoration, correction or modification of physiological function</w:t>
            </w:r>
          </w:p>
          <w:p w:rsidR="008D1F69" w:rsidRPr="00837FD1" w:rsidRDefault="008D1F69" w:rsidP="00C149FD">
            <w:pPr>
              <w:pStyle w:val="Default"/>
              <w:spacing w:after="120"/>
              <w:rPr>
                <w:rFonts w:asciiTheme="minorHAnsi" w:hAnsiTheme="minorHAnsi"/>
                <w:b/>
                <w:lang w:val="en-GB"/>
              </w:rPr>
            </w:pPr>
            <w:r w:rsidRPr="00837FD1">
              <w:rPr>
                <w:rFonts w:asciiTheme="minorHAnsi" w:hAnsiTheme="minorHAnsi"/>
                <w:lang w:val="en-GB"/>
              </w:rPr>
              <w:t>It also includes adverse clinical consequences associated with use of the product outside the terms of the Summary of Product Characteristics or other conditions including prescribed doses higher than those recommended, overdoses or abuse</w:t>
            </w:r>
          </w:p>
          <w:p w:rsidR="008D1F69" w:rsidRPr="00837FD1" w:rsidRDefault="008D1F69" w:rsidP="00C149FD">
            <w:pPr>
              <w:pStyle w:val="Default"/>
              <w:spacing w:after="120"/>
              <w:rPr>
                <w:rFonts w:asciiTheme="minorHAnsi" w:hAnsiTheme="minorHAnsi"/>
                <w:b/>
                <w:lang w:val="en-GB"/>
              </w:rPr>
            </w:pPr>
            <w:r w:rsidRPr="00837FD1">
              <w:rPr>
                <w:rFonts w:asciiTheme="minorHAnsi" w:hAnsiTheme="minorHAnsi"/>
                <w:b/>
                <w:lang w:val="en-GB"/>
              </w:rPr>
              <w:t xml:space="preserve">Serious adverse drug reaction </w:t>
            </w:r>
          </w:p>
          <w:p w:rsidR="008D1F69" w:rsidRPr="00837FD1" w:rsidRDefault="008D1F69" w:rsidP="00C149FD">
            <w:pPr>
              <w:pStyle w:val="Default"/>
              <w:spacing w:after="120"/>
              <w:rPr>
                <w:rFonts w:asciiTheme="minorHAnsi" w:hAnsiTheme="minorHAnsi"/>
                <w:lang w:val="en-GB"/>
              </w:rPr>
            </w:pPr>
            <w:r w:rsidRPr="00837FD1">
              <w:rPr>
                <w:rFonts w:asciiTheme="minorHAnsi" w:hAnsiTheme="minorHAnsi"/>
                <w:lang w:val="en-GB"/>
              </w:rPr>
              <w:t xml:space="preserve">Serious adverse reaction is an adverse reaction which: </w:t>
            </w:r>
          </w:p>
          <w:p w:rsidR="008D1F69" w:rsidRPr="00837FD1" w:rsidRDefault="008D1F69" w:rsidP="008D1F69">
            <w:pPr>
              <w:pStyle w:val="Default"/>
              <w:numPr>
                <w:ilvl w:val="0"/>
                <w:numId w:val="3"/>
              </w:numPr>
              <w:spacing w:after="120"/>
              <w:rPr>
                <w:rFonts w:asciiTheme="minorHAnsi" w:hAnsiTheme="minorHAnsi"/>
                <w:lang w:val="en-GB"/>
              </w:rPr>
            </w:pPr>
            <w:r w:rsidRPr="00837FD1">
              <w:rPr>
                <w:rFonts w:asciiTheme="minorHAnsi" w:hAnsiTheme="minorHAnsi"/>
                <w:lang w:val="en-GB"/>
              </w:rPr>
              <w:t>Results in death</w:t>
            </w:r>
          </w:p>
          <w:p w:rsidR="008D1F69" w:rsidRPr="00837FD1" w:rsidRDefault="008D1F69" w:rsidP="008D1F69">
            <w:pPr>
              <w:pStyle w:val="Default"/>
              <w:numPr>
                <w:ilvl w:val="0"/>
                <w:numId w:val="3"/>
              </w:numPr>
              <w:spacing w:after="120"/>
              <w:rPr>
                <w:rFonts w:asciiTheme="minorHAnsi" w:hAnsiTheme="minorHAnsi"/>
                <w:lang w:val="en-GB"/>
              </w:rPr>
            </w:pPr>
            <w:r w:rsidRPr="00837FD1">
              <w:rPr>
                <w:rFonts w:asciiTheme="minorHAnsi" w:hAnsiTheme="minorHAnsi"/>
                <w:lang w:val="en-GB"/>
              </w:rPr>
              <w:t>Is life-threatening</w:t>
            </w:r>
          </w:p>
          <w:p w:rsidR="008D1F69" w:rsidRPr="00837FD1" w:rsidRDefault="008D1F69" w:rsidP="008D1F69">
            <w:pPr>
              <w:pStyle w:val="Default"/>
              <w:numPr>
                <w:ilvl w:val="0"/>
                <w:numId w:val="3"/>
              </w:numPr>
              <w:spacing w:after="120"/>
              <w:rPr>
                <w:rFonts w:asciiTheme="minorHAnsi" w:hAnsiTheme="minorHAnsi"/>
                <w:lang w:val="en-GB"/>
              </w:rPr>
            </w:pPr>
            <w:r w:rsidRPr="00837FD1">
              <w:rPr>
                <w:rFonts w:asciiTheme="minorHAnsi" w:hAnsiTheme="minorHAnsi"/>
                <w:lang w:val="en-GB"/>
              </w:rPr>
              <w:t xml:space="preserve">Requires inpatient hospitalisation or prolongation of existing hospitalisation </w:t>
            </w:r>
          </w:p>
          <w:p w:rsidR="008D1F69" w:rsidRPr="00837FD1" w:rsidRDefault="008D1F69" w:rsidP="008D1F69">
            <w:pPr>
              <w:pStyle w:val="Default"/>
              <w:numPr>
                <w:ilvl w:val="0"/>
                <w:numId w:val="3"/>
              </w:numPr>
              <w:spacing w:after="120"/>
              <w:rPr>
                <w:rFonts w:asciiTheme="minorHAnsi" w:hAnsiTheme="minorHAnsi"/>
                <w:lang w:val="en-GB"/>
              </w:rPr>
            </w:pPr>
            <w:r w:rsidRPr="00837FD1">
              <w:rPr>
                <w:rFonts w:asciiTheme="minorHAnsi" w:hAnsiTheme="minorHAnsi"/>
                <w:lang w:val="en-GB"/>
              </w:rPr>
              <w:t xml:space="preserve">Results in persistent or significant disability or incapacity </w:t>
            </w:r>
          </w:p>
          <w:p w:rsidR="008D1F69" w:rsidRPr="00837FD1" w:rsidRDefault="008D1F69" w:rsidP="008D1F69">
            <w:pPr>
              <w:pStyle w:val="Default"/>
              <w:numPr>
                <w:ilvl w:val="0"/>
                <w:numId w:val="3"/>
              </w:numPr>
              <w:spacing w:after="120"/>
              <w:rPr>
                <w:rFonts w:asciiTheme="minorHAnsi" w:hAnsiTheme="minorHAnsi"/>
                <w:lang w:val="en-GB"/>
              </w:rPr>
            </w:pPr>
            <w:r w:rsidRPr="00837FD1">
              <w:rPr>
                <w:rFonts w:asciiTheme="minorHAnsi" w:hAnsiTheme="minorHAnsi"/>
                <w:lang w:val="en-GB"/>
              </w:rPr>
              <w:t>Is a congenital anomaly/birth defect</w:t>
            </w:r>
          </w:p>
        </w:tc>
      </w:tr>
      <w:tr w:rsidR="008D1F69" w:rsidRPr="00837FD1" w:rsidTr="00C149FD">
        <w:tc>
          <w:tcPr>
            <w:tcW w:w="9242" w:type="dxa"/>
          </w:tcPr>
          <w:p w:rsidR="008D1F69" w:rsidRPr="00837FD1" w:rsidRDefault="008D1F69" w:rsidP="00C149FD">
            <w:pPr>
              <w:pStyle w:val="Default"/>
              <w:spacing w:after="120"/>
              <w:rPr>
                <w:rFonts w:asciiTheme="minorHAnsi" w:hAnsiTheme="minorHAnsi"/>
                <w:b/>
                <w:lang w:val="en-GB"/>
              </w:rPr>
            </w:pPr>
            <w:r w:rsidRPr="00837FD1">
              <w:rPr>
                <w:rFonts w:asciiTheme="minorHAnsi" w:hAnsiTheme="minorHAnsi"/>
                <w:b/>
                <w:lang w:val="en-GB"/>
              </w:rPr>
              <w:t>Effectiveness measures</w:t>
            </w:r>
          </w:p>
          <w:p w:rsidR="008D1F69" w:rsidRPr="00837FD1" w:rsidRDefault="008D1F69" w:rsidP="00C149FD">
            <w:pPr>
              <w:pStyle w:val="Default"/>
              <w:spacing w:after="120"/>
              <w:rPr>
                <w:rFonts w:asciiTheme="minorHAnsi" w:hAnsiTheme="minorHAnsi"/>
                <w:lang w:val="en-GB"/>
              </w:rPr>
            </w:pPr>
            <w:r w:rsidRPr="00837FD1">
              <w:rPr>
                <w:rFonts w:asciiTheme="minorHAnsi" w:hAnsiTheme="minorHAnsi"/>
                <w:lang w:val="en-GB"/>
              </w:rPr>
              <w:t>Effectiveness will be assessed by the following outcomes:</w:t>
            </w:r>
          </w:p>
          <w:p w:rsidR="008D1F69" w:rsidRPr="00837FD1" w:rsidRDefault="008D1F69" w:rsidP="00C149FD">
            <w:pPr>
              <w:pStyle w:val="Default"/>
              <w:spacing w:after="120"/>
              <w:ind w:left="709" w:hanging="283"/>
              <w:rPr>
                <w:rFonts w:asciiTheme="minorHAnsi" w:hAnsiTheme="minorHAnsi"/>
                <w:lang w:val="en-GB"/>
              </w:rPr>
            </w:pPr>
            <w:r w:rsidRPr="00837FD1">
              <w:rPr>
                <w:rFonts w:asciiTheme="minorHAnsi" w:hAnsiTheme="minorHAnsi"/>
                <w:lang w:val="en-GB"/>
              </w:rPr>
              <w:lastRenderedPageBreak/>
              <w:t>•</w:t>
            </w:r>
            <w:r w:rsidRPr="00837FD1">
              <w:rPr>
                <w:rFonts w:asciiTheme="minorHAnsi" w:hAnsiTheme="minorHAnsi"/>
                <w:lang w:val="en-GB"/>
              </w:rPr>
              <w:tab/>
              <w:t xml:space="preserve">Strokes (ischaemic and haemorrhagic) </w:t>
            </w:r>
          </w:p>
          <w:p w:rsidR="008D1F69" w:rsidRPr="00837FD1" w:rsidRDefault="008D1F69" w:rsidP="00C149FD">
            <w:pPr>
              <w:pStyle w:val="Default"/>
              <w:spacing w:after="120"/>
              <w:ind w:left="709" w:hanging="283"/>
              <w:rPr>
                <w:rFonts w:asciiTheme="minorHAnsi" w:hAnsiTheme="minorHAnsi"/>
                <w:lang w:val="en-GB"/>
              </w:rPr>
            </w:pPr>
            <w:r w:rsidRPr="00837FD1">
              <w:rPr>
                <w:rFonts w:asciiTheme="minorHAnsi" w:hAnsiTheme="minorHAnsi"/>
                <w:lang w:val="en-GB"/>
              </w:rPr>
              <w:t>•</w:t>
            </w:r>
            <w:r w:rsidRPr="00837FD1">
              <w:rPr>
                <w:rFonts w:asciiTheme="minorHAnsi" w:hAnsiTheme="minorHAnsi"/>
                <w:lang w:val="en-GB"/>
              </w:rPr>
              <w:tab/>
              <w:t xml:space="preserve">Systemic embolic events </w:t>
            </w:r>
          </w:p>
          <w:p w:rsidR="008D1F69" w:rsidRPr="00837FD1" w:rsidRDefault="008D1F69" w:rsidP="00C149FD">
            <w:pPr>
              <w:pStyle w:val="Default"/>
              <w:spacing w:after="120"/>
              <w:ind w:left="709" w:hanging="283"/>
              <w:rPr>
                <w:rFonts w:asciiTheme="minorHAnsi" w:hAnsiTheme="minorHAnsi"/>
                <w:lang w:val="en-GB"/>
              </w:rPr>
            </w:pPr>
            <w:r w:rsidRPr="00837FD1">
              <w:rPr>
                <w:rFonts w:asciiTheme="minorHAnsi" w:hAnsiTheme="minorHAnsi"/>
                <w:lang w:val="en-GB"/>
              </w:rPr>
              <w:t>•</w:t>
            </w:r>
            <w:r w:rsidRPr="00837FD1">
              <w:rPr>
                <w:rFonts w:asciiTheme="minorHAnsi" w:hAnsiTheme="minorHAnsi"/>
                <w:lang w:val="en-GB"/>
              </w:rPr>
              <w:tab/>
              <w:t xml:space="preserve">Transient ischaemic attack </w:t>
            </w:r>
          </w:p>
          <w:p w:rsidR="008D1F69" w:rsidRPr="00837FD1" w:rsidRDefault="008D1F69" w:rsidP="00C149FD">
            <w:pPr>
              <w:pStyle w:val="Default"/>
              <w:spacing w:after="120"/>
              <w:ind w:left="709" w:hanging="283"/>
              <w:rPr>
                <w:rFonts w:asciiTheme="minorHAnsi" w:hAnsiTheme="minorHAnsi"/>
                <w:lang w:val="en-GB"/>
              </w:rPr>
            </w:pPr>
            <w:r w:rsidRPr="00837FD1">
              <w:rPr>
                <w:rFonts w:asciiTheme="minorHAnsi" w:hAnsiTheme="minorHAnsi"/>
                <w:lang w:val="en-GB"/>
              </w:rPr>
              <w:t>•</w:t>
            </w:r>
            <w:r w:rsidRPr="00837FD1">
              <w:rPr>
                <w:rFonts w:asciiTheme="minorHAnsi" w:hAnsiTheme="minorHAnsi"/>
                <w:lang w:val="en-GB"/>
              </w:rPr>
              <w:tab/>
              <w:t>MACE (major adverse cardiovascular events, composite endpoint of non-fatal MI, non-fatal stroke, non-fatal SEE and death due to CV cause or bleeding)</w:t>
            </w:r>
          </w:p>
          <w:p w:rsidR="008D1F69" w:rsidRPr="00837FD1" w:rsidRDefault="008D1F69" w:rsidP="00C149FD">
            <w:pPr>
              <w:pStyle w:val="Default"/>
              <w:spacing w:after="120"/>
              <w:ind w:left="709" w:hanging="283"/>
              <w:rPr>
                <w:rFonts w:asciiTheme="minorHAnsi" w:hAnsiTheme="minorHAnsi"/>
                <w:lang w:val="en-GB"/>
              </w:rPr>
            </w:pPr>
            <w:r w:rsidRPr="00837FD1">
              <w:rPr>
                <w:rFonts w:asciiTheme="minorHAnsi" w:hAnsiTheme="minorHAnsi"/>
                <w:lang w:val="en-GB"/>
              </w:rPr>
              <w:t>•</w:t>
            </w:r>
            <w:r w:rsidRPr="00837FD1">
              <w:rPr>
                <w:rFonts w:asciiTheme="minorHAnsi" w:hAnsiTheme="minorHAnsi"/>
                <w:lang w:val="en-GB"/>
              </w:rPr>
              <w:tab/>
              <w:t xml:space="preserve">Venous thromboembolism </w:t>
            </w:r>
          </w:p>
          <w:p w:rsidR="008D1F69" w:rsidRPr="00837FD1" w:rsidRDefault="008D1F69" w:rsidP="00C149FD">
            <w:pPr>
              <w:pStyle w:val="Default"/>
              <w:spacing w:after="120"/>
              <w:ind w:left="709" w:hanging="283"/>
              <w:rPr>
                <w:rFonts w:asciiTheme="minorHAnsi" w:hAnsiTheme="minorHAnsi"/>
                <w:lang w:val="en-GB"/>
              </w:rPr>
            </w:pPr>
            <w:r w:rsidRPr="00837FD1">
              <w:rPr>
                <w:rFonts w:asciiTheme="minorHAnsi" w:hAnsiTheme="minorHAnsi"/>
                <w:lang w:val="en-GB"/>
              </w:rPr>
              <w:t>•</w:t>
            </w:r>
            <w:r w:rsidRPr="00837FD1">
              <w:rPr>
                <w:rFonts w:asciiTheme="minorHAnsi" w:hAnsiTheme="minorHAnsi"/>
                <w:lang w:val="en-GB"/>
              </w:rPr>
              <w:tab/>
              <w:t xml:space="preserve">Acute coronary syndrome </w:t>
            </w:r>
          </w:p>
          <w:p w:rsidR="008D1F69" w:rsidRPr="00837FD1" w:rsidRDefault="008D1F69" w:rsidP="00C149FD">
            <w:pPr>
              <w:pStyle w:val="Default"/>
              <w:spacing w:after="120"/>
              <w:ind w:left="709" w:hanging="283"/>
              <w:rPr>
                <w:rFonts w:asciiTheme="minorHAnsi" w:hAnsiTheme="minorHAnsi"/>
                <w:b/>
                <w:lang w:val="en-GB"/>
              </w:rPr>
            </w:pPr>
            <w:r w:rsidRPr="00837FD1">
              <w:rPr>
                <w:rFonts w:asciiTheme="minorHAnsi" w:hAnsiTheme="minorHAnsi"/>
                <w:lang w:val="en-GB"/>
              </w:rPr>
              <w:t>•</w:t>
            </w:r>
            <w:r w:rsidRPr="00837FD1">
              <w:rPr>
                <w:rFonts w:asciiTheme="minorHAnsi" w:hAnsiTheme="minorHAnsi"/>
                <w:lang w:val="en-GB"/>
              </w:rPr>
              <w:tab/>
              <w:t>Hospitalisations related to CV condition</w:t>
            </w:r>
          </w:p>
        </w:tc>
      </w:tr>
    </w:tbl>
    <w:p w:rsidR="008D1F69" w:rsidRPr="00837FD1" w:rsidRDefault="008D1F69" w:rsidP="008D1F69">
      <w:pPr>
        <w:pStyle w:val="Default"/>
        <w:spacing w:after="120" w:line="360" w:lineRule="auto"/>
        <w:rPr>
          <w:rFonts w:asciiTheme="minorHAnsi" w:hAnsiTheme="minorHAnsi"/>
          <w:bCs/>
          <w:lang w:val="en-GB"/>
        </w:rPr>
      </w:pPr>
      <w:r w:rsidRPr="00837FD1">
        <w:rPr>
          <w:rFonts w:asciiTheme="minorHAnsi" w:hAnsiTheme="minorHAnsi"/>
          <w:bCs/>
          <w:lang w:val="en-GB"/>
        </w:rPr>
        <w:lastRenderedPageBreak/>
        <w:t>*</w:t>
      </w:r>
      <w:r w:rsidRPr="00415BD3">
        <w:rPr>
          <w:lang w:val="en-GB"/>
        </w:rPr>
        <w:t xml:space="preserve"> </w:t>
      </w:r>
      <w:r w:rsidRPr="00837FD1">
        <w:rPr>
          <w:rFonts w:asciiTheme="minorHAnsi" w:hAnsiTheme="minorHAnsi"/>
          <w:bCs/>
          <w:lang w:val="en-GB"/>
        </w:rPr>
        <w:t>A sensitivity analysis will be performed based on the fourth exposure category.</w:t>
      </w:r>
      <w:r w:rsidR="00D558F4">
        <w:rPr>
          <w:rFonts w:asciiTheme="minorHAnsi" w:hAnsiTheme="minorHAnsi"/>
          <w:bCs/>
          <w:lang w:val="en-GB"/>
        </w:rPr>
        <w:t xml:space="preserve"> </w:t>
      </w:r>
      <w:r w:rsidR="00D558F4" w:rsidRPr="00D558F4">
        <w:rPr>
          <w:rFonts w:asciiTheme="minorHAnsi" w:hAnsiTheme="minorHAnsi"/>
          <w:bCs/>
          <w:color w:val="C00000"/>
          <w:lang w:val="en-GB"/>
        </w:rPr>
        <w:t>†No time interval was specified, interval is specified on the discretion of the treating physician.</w:t>
      </w:r>
    </w:p>
    <w:p w:rsidR="0015457A" w:rsidRPr="008D1F69" w:rsidRDefault="008D1F69" w:rsidP="008D1F69">
      <w:pPr>
        <w:pStyle w:val="Default"/>
        <w:spacing w:after="120" w:line="360" w:lineRule="auto"/>
        <w:rPr>
          <w:rFonts w:asciiTheme="minorHAnsi" w:hAnsiTheme="minorHAnsi"/>
          <w:bCs/>
          <w:lang w:val="en-GB"/>
        </w:rPr>
      </w:pPr>
      <w:proofErr w:type="gramStart"/>
      <w:r w:rsidRPr="00837FD1">
        <w:rPr>
          <w:rFonts w:asciiTheme="minorHAnsi" w:hAnsiTheme="minorHAnsi"/>
          <w:bCs/>
          <w:lang w:val="en-GB"/>
        </w:rPr>
        <w:t>CV, cardiovascular; MACE, major adverse cardiac events; MI, myocardial infarctio</w:t>
      </w:r>
      <w:r>
        <w:rPr>
          <w:rFonts w:asciiTheme="minorHAnsi" w:hAnsiTheme="minorHAnsi"/>
          <w:bCs/>
          <w:lang w:val="en-GB"/>
        </w:rPr>
        <w:t>n; SEE, systemic embolic events.</w:t>
      </w:r>
      <w:bookmarkStart w:id="0" w:name="_GoBack"/>
      <w:bookmarkEnd w:id="0"/>
      <w:proofErr w:type="gramEnd"/>
    </w:p>
    <w:sectPr w:rsidR="0015457A" w:rsidRPr="008D1F69" w:rsidSect="003F3CC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A27"/>
    <w:multiLevelType w:val="hybridMultilevel"/>
    <w:tmpl w:val="32DA4866"/>
    <w:lvl w:ilvl="0" w:tplc="21C6F070">
      <w:numFmt w:val="bullet"/>
      <w:lvlText w:val="•"/>
      <w:lvlJc w:val="left"/>
      <w:pPr>
        <w:ind w:left="720" w:hanging="360"/>
      </w:pPr>
      <w:rPr>
        <w:rFonts w:ascii="Calibri" w:eastAsiaTheme="minorHAnsi" w:hAnsi="Calibri"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AB7527"/>
    <w:multiLevelType w:val="hybridMultilevel"/>
    <w:tmpl w:val="7848F00E"/>
    <w:lvl w:ilvl="0" w:tplc="9180814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1202CF"/>
    <w:multiLevelType w:val="hybridMultilevel"/>
    <w:tmpl w:val="BA8AD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226222"/>
    <w:multiLevelType w:val="hybridMultilevel"/>
    <w:tmpl w:val="B3CE7EF0"/>
    <w:lvl w:ilvl="0" w:tplc="21C6F070">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69"/>
    <w:rsid w:val="003A4A34"/>
    <w:rsid w:val="0070165C"/>
    <w:rsid w:val="008D1F69"/>
    <w:rsid w:val="00A22EFC"/>
    <w:rsid w:val="00B75464"/>
    <w:rsid w:val="00D55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69"/>
  </w:style>
  <w:style w:type="paragraph" w:styleId="Heading1">
    <w:name w:val="heading 1"/>
    <w:basedOn w:val="Normal"/>
    <w:next w:val="Normal"/>
    <w:link w:val="Heading1Char"/>
    <w:uiPriority w:val="9"/>
    <w:qFormat/>
    <w:rsid w:val="00A22EFC"/>
    <w:pPr>
      <w:keepNext/>
      <w:keepLines/>
      <w:spacing w:before="480" w:after="0"/>
      <w:outlineLvl w:val="0"/>
    </w:pPr>
    <w:rPr>
      <w:rFonts w:ascii="Arial" w:eastAsiaTheme="majorEastAsia" w:hAnsi="Arial"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2EFC"/>
    <w:pPr>
      <w:framePr w:wrap="around" w:vAnchor="text" w:hAnchor="text" w:y="1"/>
      <w:spacing w:after="300" w:line="240" w:lineRule="auto"/>
      <w:contextualSpacing/>
      <w:jc w:val="center"/>
    </w:pPr>
    <w:rPr>
      <w:rFonts w:ascii="Arial" w:eastAsiaTheme="majorEastAsia" w:hAnsi="Arial" w:cs="Arial"/>
      <w:spacing w:val="5"/>
      <w:kern w:val="28"/>
      <w:sz w:val="52"/>
      <w:szCs w:val="52"/>
    </w:rPr>
  </w:style>
  <w:style w:type="character" w:customStyle="1" w:styleId="TitleChar">
    <w:name w:val="Title Char"/>
    <w:basedOn w:val="DefaultParagraphFont"/>
    <w:link w:val="Title"/>
    <w:uiPriority w:val="10"/>
    <w:rsid w:val="00A22EFC"/>
    <w:rPr>
      <w:rFonts w:ascii="Arial" w:eastAsiaTheme="majorEastAsia" w:hAnsi="Arial" w:cs="Arial"/>
      <w:spacing w:val="5"/>
      <w:kern w:val="28"/>
      <w:sz w:val="52"/>
      <w:szCs w:val="52"/>
    </w:rPr>
  </w:style>
  <w:style w:type="character" w:customStyle="1" w:styleId="Heading1Char">
    <w:name w:val="Heading 1 Char"/>
    <w:basedOn w:val="DefaultParagraphFont"/>
    <w:link w:val="Heading1"/>
    <w:uiPriority w:val="9"/>
    <w:rsid w:val="00A22EFC"/>
    <w:rPr>
      <w:rFonts w:ascii="Arial" w:eastAsiaTheme="majorEastAsia" w:hAnsi="Arial" w:cstheme="majorBidi"/>
      <w:b/>
      <w:bCs/>
      <w:color w:val="000000" w:themeColor="text1"/>
      <w:sz w:val="28"/>
      <w:szCs w:val="28"/>
    </w:rPr>
  </w:style>
  <w:style w:type="paragraph" w:customStyle="1" w:styleId="Default">
    <w:name w:val="Default"/>
    <w:rsid w:val="008D1F69"/>
    <w:pPr>
      <w:autoSpaceDE w:val="0"/>
      <w:autoSpaceDN w:val="0"/>
      <w:adjustRightInd w:val="0"/>
      <w:spacing w:after="0" w:line="240" w:lineRule="auto"/>
    </w:pPr>
    <w:rPr>
      <w:rFonts w:ascii="Times New Roman" w:hAnsi="Times New Roman" w:cs="Times New Roman"/>
      <w:color w:val="000000"/>
      <w:sz w:val="24"/>
      <w:szCs w:val="24"/>
      <w:lang w:val="es-ES"/>
    </w:rPr>
  </w:style>
  <w:style w:type="table" w:styleId="TableGrid">
    <w:name w:val="Table Grid"/>
    <w:basedOn w:val="TableNormal"/>
    <w:uiPriority w:val="39"/>
    <w:rsid w:val="008D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69"/>
  </w:style>
  <w:style w:type="paragraph" w:styleId="Heading1">
    <w:name w:val="heading 1"/>
    <w:basedOn w:val="Normal"/>
    <w:next w:val="Normal"/>
    <w:link w:val="Heading1Char"/>
    <w:uiPriority w:val="9"/>
    <w:qFormat/>
    <w:rsid w:val="00A22EFC"/>
    <w:pPr>
      <w:keepNext/>
      <w:keepLines/>
      <w:spacing w:before="480" w:after="0"/>
      <w:outlineLvl w:val="0"/>
    </w:pPr>
    <w:rPr>
      <w:rFonts w:ascii="Arial" w:eastAsiaTheme="majorEastAsia" w:hAnsi="Arial"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2EFC"/>
    <w:pPr>
      <w:framePr w:wrap="around" w:vAnchor="text" w:hAnchor="text" w:y="1"/>
      <w:spacing w:after="300" w:line="240" w:lineRule="auto"/>
      <w:contextualSpacing/>
      <w:jc w:val="center"/>
    </w:pPr>
    <w:rPr>
      <w:rFonts w:ascii="Arial" w:eastAsiaTheme="majorEastAsia" w:hAnsi="Arial" w:cs="Arial"/>
      <w:spacing w:val="5"/>
      <w:kern w:val="28"/>
      <w:sz w:val="52"/>
      <w:szCs w:val="52"/>
    </w:rPr>
  </w:style>
  <w:style w:type="character" w:customStyle="1" w:styleId="TitleChar">
    <w:name w:val="Title Char"/>
    <w:basedOn w:val="DefaultParagraphFont"/>
    <w:link w:val="Title"/>
    <w:uiPriority w:val="10"/>
    <w:rsid w:val="00A22EFC"/>
    <w:rPr>
      <w:rFonts w:ascii="Arial" w:eastAsiaTheme="majorEastAsia" w:hAnsi="Arial" w:cs="Arial"/>
      <w:spacing w:val="5"/>
      <w:kern w:val="28"/>
      <w:sz w:val="52"/>
      <w:szCs w:val="52"/>
    </w:rPr>
  </w:style>
  <w:style w:type="character" w:customStyle="1" w:styleId="Heading1Char">
    <w:name w:val="Heading 1 Char"/>
    <w:basedOn w:val="DefaultParagraphFont"/>
    <w:link w:val="Heading1"/>
    <w:uiPriority w:val="9"/>
    <w:rsid w:val="00A22EFC"/>
    <w:rPr>
      <w:rFonts w:ascii="Arial" w:eastAsiaTheme="majorEastAsia" w:hAnsi="Arial" w:cstheme="majorBidi"/>
      <w:b/>
      <w:bCs/>
      <w:color w:val="000000" w:themeColor="text1"/>
      <w:sz w:val="28"/>
      <w:szCs w:val="28"/>
    </w:rPr>
  </w:style>
  <w:style w:type="paragraph" w:customStyle="1" w:styleId="Default">
    <w:name w:val="Default"/>
    <w:rsid w:val="008D1F69"/>
    <w:pPr>
      <w:autoSpaceDE w:val="0"/>
      <w:autoSpaceDN w:val="0"/>
      <w:adjustRightInd w:val="0"/>
      <w:spacing w:after="0" w:line="240" w:lineRule="auto"/>
    </w:pPr>
    <w:rPr>
      <w:rFonts w:ascii="Times New Roman" w:hAnsi="Times New Roman" w:cs="Times New Roman"/>
      <w:color w:val="000000"/>
      <w:sz w:val="24"/>
      <w:szCs w:val="24"/>
      <w:lang w:val="es-ES"/>
    </w:rPr>
  </w:style>
  <w:style w:type="table" w:styleId="TableGrid">
    <w:name w:val="Table Grid"/>
    <w:basedOn w:val="TableNormal"/>
    <w:uiPriority w:val="39"/>
    <w:rsid w:val="008D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Narula, Shelley</dc:creator>
  <cp:lastModifiedBy>Narula, Shelley</cp:lastModifiedBy>
  <cp:revision>2</cp:revision>
  <dcterms:created xsi:type="dcterms:W3CDTF">2018-07-24T21:35:00Z</dcterms:created>
  <dcterms:modified xsi:type="dcterms:W3CDTF">2018-07-24T21:35:00Z</dcterms:modified>
</cp:coreProperties>
</file>