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6A" w:rsidRPr="00F9683F" w:rsidRDefault="0050126A" w:rsidP="0050126A">
      <w:pPr>
        <w:spacing w:line="480" w:lineRule="auto"/>
        <w:outlineLvl w:val="0"/>
        <w:rPr>
          <w:rFonts w:ascii="Calibri" w:hAnsi="Calibri"/>
          <w:b/>
          <w:sz w:val="28"/>
        </w:rPr>
      </w:pPr>
      <w:r w:rsidRPr="00F9683F">
        <w:rPr>
          <w:rFonts w:ascii="Calibri" w:hAnsi="Calibri"/>
          <w:b/>
          <w:sz w:val="28"/>
        </w:rPr>
        <w:t xml:space="preserve">Supplementary </w:t>
      </w:r>
      <w:r>
        <w:rPr>
          <w:rFonts w:ascii="Calibri" w:hAnsi="Calibri"/>
          <w:b/>
          <w:sz w:val="28"/>
        </w:rPr>
        <w:t xml:space="preserve">Digital Content </w:t>
      </w:r>
      <w:r w:rsidRPr="00F9683F">
        <w:rPr>
          <w:rFonts w:ascii="Calibri" w:hAnsi="Calibri"/>
          <w:b/>
          <w:sz w:val="28"/>
        </w:rPr>
        <w:t>Material</w:t>
      </w:r>
      <w:r>
        <w:rPr>
          <w:rFonts w:ascii="Calibri" w:hAnsi="Calibri"/>
          <w:b/>
          <w:sz w:val="28"/>
        </w:rPr>
        <w:t>s</w:t>
      </w:r>
    </w:p>
    <w:p w:rsidR="0050126A" w:rsidRPr="004E1858" w:rsidRDefault="0050126A" w:rsidP="0050126A">
      <w:pPr>
        <w:spacing w:line="480" w:lineRule="auto"/>
        <w:rPr>
          <w:rFonts w:ascii="Calibri" w:hAnsi="Calibri"/>
          <w:b/>
          <w:sz w:val="28"/>
          <w:u w:val="single"/>
        </w:rPr>
      </w:pPr>
    </w:p>
    <w:p w:rsidR="0050126A" w:rsidRPr="00A91E3E" w:rsidRDefault="0050126A" w:rsidP="0050126A">
      <w:pPr>
        <w:spacing w:line="480" w:lineRule="auto"/>
        <w:outlineLvl w:val="0"/>
        <w:rPr>
          <w:rFonts w:ascii="Calibri" w:hAnsi="Calibri"/>
          <w:b/>
          <w:caps/>
          <w:sz w:val="28"/>
        </w:rPr>
      </w:pPr>
      <w:r w:rsidRPr="00A91E3E">
        <w:rPr>
          <w:rFonts w:ascii="Calibri" w:hAnsi="Calibri"/>
          <w:b/>
          <w:caps/>
          <w:sz w:val="28"/>
        </w:rPr>
        <w:t>Supplementary Text</w:t>
      </w:r>
    </w:p>
    <w:p w:rsidR="0050126A" w:rsidRPr="00EB00C7" w:rsidRDefault="0050126A" w:rsidP="0050126A">
      <w:pPr>
        <w:spacing w:line="480" w:lineRule="auto"/>
        <w:outlineLvl w:val="0"/>
        <w:rPr>
          <w:rFonts w:ascii="Calibri" w:hAnsi="Calibri"/>
          <w:b/>
        </w:rPr>
      </w:pPr>
      <w:r w:rsidRPr="00EB00C7">
        <w:rPr>
          <w:rFonts w:ascii="Calibri" w:hAnsi="Calibri"/>
          <w:b/>
        </w:rPr>
        <w:t>Confound</w:t>
      </w:r>
      <w:r>
        <w:rPr>
          <w:rFonts w:ascii="Calibri" w:hAnsi="Calibri"/>
          <w:b/>
        </w:rPr>
        <w:t>ing</w:t>
      </w:r>
      <w:r w:rsidRPr="00EB00C7">
        <w:rPr>
          <w:rFonts w:ascii="Calibri" w:hAnsi="Calibri"/>
          <w:b/>
        </w:rPr>
        <w:t xml:space="preserve"> of self-report with disease severity</w:t>
      </w:r>
    </w:p>
    <w:p w:rsidR="0050126A" w:rsidRPr="0005513C" w:rsidRDefault="0050126A" w:rsidP="0050126A">
      <w:pPr>
        <w:spacing w:line="480" w:lineRule="auto"/>
        <w:rPr>
          <w:rFonts w:ascii="Cambria" w:hAnsi="Cambria"/>
        </w:rPr>
      </w:pPr>
      <w:r w:rsidRPr="0005513C">
        <w:rPr>
          <w:rFonts w:ascii="Cambria" w:hAnsi="Cambria"/>
        </w:rPr>
        <w:t xml:space="preserve">To test whether self-reported indices AI and HI are confounded by disease severities we set up a series of three-way ANOVAs with illness severity contrasts (burden of complications, number of </w:t>
      </w:r>
      <w:proofErr w:type="spellStart"/>
      <w:r w:rsidRPr="0005513C">
        <w:rPr>
          <w:rFonts w:ascii="Cambria" w:hAnsi="Cambria"/>
        </w:rPr>
        <w:t>comorbidities</w:t>
      </w:r>
      <w:proofErr w:type="spellEnd"/>
      <w:r w:rsidRPr="0005513C">
        <w:rPr>
          <w:rFonts w:ascii="Cambria" w:hAnsi="Cambria"/>
        </w:rPr>
        <w:t xml:space="preserve">, compensation of diabetes, severity of diabetes, severity of </w:t>
      </w:r>
      <w:proofErr w:type="spellStart"/>
      <w:r w:rsidRPr="0005513C">
        <w:rPr>
          <w:rFonts w:ascii="Cambria" w:hAnsi="Cambria"/>
        </w:rPr>
        <w:t>MetS</w:t>
      </w:r>
      <w:proofErr w:type="spellEnd"/>
      <w:r w:rsidRPr="0005513C">
        <w:rPr>
          <w:rFonts w:ascii="Cambria" w:hAnsi="Cambria"/>
        </w:rPr>
        <w:t>), by age group and sex differences (</w:t>
      </w:r>
      <w:proofErr w:type="spellStart"/>
      <w:r w:rsidRPr="0005513C">
        <w:rPr>
          <w:rFonts w:ascii="Cambria" w:hAnsi="Cambria"/>
        </w:rPr>
        <w:t>Helmert</w:t>
      </w:r>
      <w:proofErr w:type="spellEnd"/>
      <w:r w:rsidRPr="0005513C">
        <w:rPr>
          <w:rFonts w:ascii="Cambria" w:hAnsi="Cambria"/>
        </w:rPr>
        <w:t xml:space="preserve"> contrasts): </w:t>
      </w:r>
      <w:r w:rsidR="006F4679" w:rsidRPr="006F4679">
        <w:rPr>
          <w:rFonts w:ascii="Cambria" w:hAnsi="Cambria"/>
        </w:rPr>
        <w:t>Figure, Supplemental Digital Content 2, http://links.lww.com/JCN/A12</w:t>
      </w:r>
      <w:r w:rsidR="006F4679">
        <w:rPr>
          <w:rFonts w:ascii="Cambria" w:hAnsi="Cambria"/>
        </w:rPr>
        <w:t>,</w:t>
      </w:r>
      <w:r w:rsidRPr="006F4679">
        <w:rPr>
          <w:rFonts w:ascii="Cambria" w:hAnsi="Cambria"/>
        </w:rPr>
        <w:t xml:space="preserve"> dep</w:t>
      </w:r>
      <w:r w:rsidRPr="0005513C">
        <w:rPr>
          <w:rFonts w:ascii="Cambria" w:hAnsi="Cambria"/>
        </w:rPr>
        <w:t xml:space="preserve">icts profile plots of the ANOVAs. As can be seen, these are non-significant in </w:t>
      </w:r>
      <w:r>
        <w:rPr>
          <w:rFonts w:ascii="Cambria" w:hAnsi="Cambria"/>
        </w:rPr>
        <w:t>majority</w:t>
      </w:r>
      <w:r w:rsidRPr="0005513C">
        <w:rPr>
          <w:rFonts w:ascii="Cambria" w:hAnsi="Cambria"/>
        </w:rPr>
        <w:t>. Significant effects for AI are evident for complications, namely a main effect of sex differences (</w:t>
      </w:r>
      <w:proofErr w:type="gramStart"/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>(</w:t>
      </w:r>
      <w:proofErr w:type="gramEnd"/>
      <w:r w:rsidRPr="0005513C">
        <w:rPr>
          <w:rFonts w:ascii="Cambria" w:hAnsi="Cambria"/>
        </w:rPr>
        <w:t xml:space="preserve">1, 101)=6.559,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>.016, partial</w:t>
      </w:r>
      <w:r>
        <w:rPr>
          <w:rFonts w:ascii="Cambria" w:hAnsi="Cambria"/>
        </w:rPr>
        <w:t>(</w:t>
      </w:r>
      <w:r w:rsidRPr="002E2516">
        <w:rPr>
          <w:rFonts w:ascii="Cambria" w:hAnsi="Cambria"/>
          <w:i/>
        </w:rPr>
        <w:t>p</w:t>
      </w:r>
      <w:r>
        <w:rPr>
          <w:rFonts w:ascii="Cambria" w:hAnsi="Cambria"/>
        </w:rPr>
        <w:t>)</w:t>
      </w:r>
      <w:r w:rsidRPr="0005513C">
        <w:rPr>
          <w:rFonts w:ascii="Cambria" w:hAnsi="Cambria"/>
        </w:rPr>
        <w:t>-</w:t>
      </w:r>
      <w:r w:rsidRPr="0005513C">
        <w:rPr>
          <w:rFonts w:ascii="Cambria" w:hAnsi="Cambria"/>
        </w:rPr>
        <w:sym w:font="Symbol" w:char="F068"/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.186), and an interaction effect sex by complications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(3, 101)=5.823,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&lt;0.045,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 xml:space="preserve">.780). For AI and </w:t>
      </w:r>
      <w:proofErr w:type="spellStart"/>
      <w:r w:rsidRPr="0005513C">
        <w:rPr>
          <w:rFonts w:ascii="Cambria" w:hAnsi="Cambria"/>
        </w:rPr>
        <w:t>comorbidities</w:t>
      </w:r>
      <w:proofErr w:type="spellEnd"/>
      <w:r w:rsidRPr="0005513C">
        <w:rPr>
          <w:rFonts w:ascii="Cambria" w:hAnsi="Cambria"/>
        </w:rPr>
        <w:t>, there was a main effect of sex differences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(1, 101)=10.808,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&lt;0.002,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.157), a main effect of age groups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(1, 101)=5.373,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&lt;0.023,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 xml:space="preserve">.057), an interaction effect sex by </w:t>
      </w:r>
      <w:proofErr w:type="spellStart"/>
      <w:r w:rsidRPr="0005513C">
        <w:rPr>
          <w:rFonts w:ascii="Cambria" w:hAnsi="Cambria"/>
        </w:rPr>
        <w:t>comorbidities</w:t>
      </w:r>
      <w:proofErr w:type="spellEnd"/>
      <w:r w:rsidRPr="0005513C">
        <w:rPr>
          <w:rFonts w:ascii="Cambria" w:hAnsi="Cambria"/>
        </w:rPr>
        <w:t xml:space="preserve">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(4, 101)=2.764,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&lt;0.033,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 xml:space="preserve">.115), and an interaction effect age group by </w:t>
      </w:r>
      <w:proofErr w:type="spellStart"/>
      <w:r w:rsidRPr="0005513C">
        <w:rPr>
          <w:rFonts w:ascii="Cambria" w:hAnsi="Cambria"/>
        </w:rPr>
        <w:t>comorbidities</w:t>
      </w:r>
      <w:proofErr w:type="spellEnd"/>
      <w:r w:rsidRPr="0005513C">
        <w:rPr>
          <w:rFonts w:ascii="Cambria" w:hAnsi="Cambria"/>
        </w:rPr>
        <w:t xml:space="preserve">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(13, 101)=3.195,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&lt;0.054,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.841). There were no significant effects for compensation of diabetes, but for severity of diabetes, a main effect of severity (</w:t>
      </w:r>
      <w:proofErr w:type="gramStart"/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>(</w:t>
      </w:r>
      <w:proofErr w:type="gramEnd"/>
      <w:r w:rsidRPr="0005513C">
        <w:rPr>
          <w:rFonts w:ascii="Cambria" w:hAnsi="Cambria"/>
        </w:rPr>
        <w:t xml:space="preserve">3, 101)=3.559,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&lt;0.020,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.181), and an interaction effect sex by severity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(2, 101)=3.009,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&lt;0.059,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 xml:space="preserve">.109) was observed. For severity of </w:t>
      </w:r>
      <w:proofErr w:type="spellStart"/>
      <w:r w:rsidRPr="0005513C">
        <w:rPr>
          <w:rFonts w:ascii="Cambria" w:hAnsi="Cambria"/>
        </w:rPr>
        <w:t>MetS</w:t>
      </w:r>
      <w:proofErr w:type="spellEnd"/>
      <w:r w:rsidRPr="0005513C">
        <w:rPr>
          <w:rFonts w:ascii="Cambria" w:hAnsi="Cambria"/>
        </w:rPr>
        <w:t>, there was a main effect of sex differences (</w:t>
      </w:r>
      <w:proofErr w:type="gramStart"/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>(</w:t>
      </w:r>
      <w:proofErr w:type="gramEnd"/>
      <w:r w:rsidRPr="0005513C">
        <w:rPr>
          <w:rFonts w:ascii="Cambria" w:hAnsi="Cambria"/>
        </w:rPr>
        <w:t xml:space="preserve">1, 101)=7.615,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&lt;0.007,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.073), as well as a main effect of age groups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(1, 101)=3.268,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&lt;0.074,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 xml:space="preserve">.033). Regarding covert hostility, there were no significant effects evident for levels of complications, compensation of diabetes, severity of diabetes, nor severity of </w:t>
      </w:r>
      <w:proofErr w:type="spellStart"/>
      <w:r w:rsidRPr="0005513C">
        <w:rPr>
          <w:rFonts w:ascii="Cambria" w:hAnsi="Cambria"/>
        </w:rPr>
        <w:t>MetS</w:t>
      </w:r>
      <w:proofErr w:type="spellEnd"/>
      <w:r w:rsidRPr="0005513C">
        <w:rPr>
          <w:rFonts w:ascii="Cambria" w:hAnsi="Cambria"/>
        </w:rPr>
        <w:t>. For burden with co-</w:t>
      </w:r>
      <w:r w:rsidRPr="0005513C">
        <w:rPr>
          <w:rFonts w:ascii="Cambria" w:hAnsi="Cambria"/>
        </w:rPr>
        <w:lastRenderedPageBreak/>
        <w:t>morbidities, significant effects emerged, namely a main effect of sex differences (</w:t>
      </w:r>
      <w:proofErr w:type="gramStart"/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>(</w:t>
      </w:r>
      <w:proofErr w:type="gramEnd"/>
      <w:r w:rsidRPr="0005513C">
        <w:rPr>
          <w:rFonts w:ascii="Cambria" w:hAnsi="Cambria"/>
        </w:rPr>
        <w:t xml:space="preserve">1, 101)=2.960,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&lt;0.089,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.034), a main effect of age groups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(1, 101)=5.373,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&lt;0.023,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.057), and an interaction effect sex by co-morbidities (</w:t>
      </w:r>
      <w:r w:rsidRPr="0005513C">
        <w:rPr>
          <w:rFonts w:ascii="Cambria" w:hAnsi="Cambria"/>
          <w:i/>
        </w:rPr>
        <w:t>F</w:t>
      </w:r>
      <w:r w:rsidRPr="0005513C">
        <w:rPr>
          <w:rFonts w:ascii="Cambria" w:hAnsi="Cambria"/>
        </w:rPr>
        <w:t xml:space="preserve">(4, 101)=3.567, 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 xml:space="preserve">&lt;0.010, </w:t>
      </w:r>
      <w:r w:rsidRPr="0005513C">
        <w:rPr>
          <w:rFonts w:ascii="Cambria" w:hAnsi="Cambria"/>
        </w:rPr>
        <w:sym w:font="Symbol" w:char="F068"/>
      </w:r>
      <w:r w:rsidRPr="002E2516">
        <w:rPr>
          <w:rFonts w:ascii="Cambria" w:hAnsi="Cambria"/>
          <w:i/>
        </w:rPr>
        <w:t>p</w:t>
      </w:r>
      <w:r w:rsidRPr="0005513C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.144). Given the repeated gender effects we adjusted for sex differences in the comprehensive final SEM.</w:t>
      </w:r>
    </w:p>
    <w:p w:rsidR="0050126A" w:rsidRPr="0005513C" w:rsidRDefault="0050126A" w:rsidP="0050126A">
      <w:pPr>
        <w:spacing w:line="480" w:lineRule="auto"/>
        <w:rPr>
          <w:rFonts w:ascii="Cambria" w:hAnsi="Cambria"/>
        </w:rPr>
      </w:pPr>
    </w:p>
    <w:p w:rsidR="0050126A" w:rsidRPr="00EB00C7" w:rsidRDefault="0050126A" w:rsidP="0050126A">
      <w:pPr>
        <w:spacing w:line="480" w:lineRule="auto"/>
        <w:outlineLvl w:val="0"/>
        <w:rPr>
          <w:rFonts w:ascii="Calibri" w:hAnsi="Calibri"/>
          <w:b/>
        </w:rPr>
      </w:pPr>
      <w:r w:rsidRPr="00EB00C7">
        <w:rPr>
          <w:rFonts w:ascii="Calibri" w:hAnsi="Calibri"/>
          <w:b/>
        </w:rPr>
        <w:t>Ascertainment of latent variables</w:t>
      </w:r>
    </w:p>
    <w:p w:rsidR="0050126A" w:rsidRPr="0005513C" w:rsidRDefault="0050126A" w:rsidP="0050126A">
      <w:pPr>
        <w:spacing w:line="480" w:lineRule="auto"/>
        <w:rPr>
          <w:rFonts w:ascii="Cambria" w:hAnsi="Cambria"/>
        </w:rPr>
      </w:pPr>
      <w:r w:rsidRPr="0005513C">
        <w:rPr>
          <w:rFonts w:ascii="Cambria" w:hAnsi="Cambria"/>
        </w:rPr>
        <w:t>Beforehand exploratory factor analyses had revealed that the correlation matrix is decomposable into two factors that each exhibit</w:t>
      </w:r>
      <w:r>
        <w:rPr>
          <w:rFonts w:ascii="Cambria" w:hAnsi="Cambria"/>
        </w:rPr>
        <w:t>ed</w:t>
      </w:r>
      <w:r w:rsidRPr="0005513C">
        <w:rPr>
          <w:rFonts w:ascii="Cambria" w:hAnsi="Cambria"/>
        </w:rPr>
        <w:t xml:space="preserve"> the by far largest </w:t>
      </w:r>
      <w:proofErr w:type="spellStart"/>
      <w:r w:rsidRPr="0005513C">
        <w:rPr>
          <w:rFonts w:ascii="Cambria" w:hAnsi="Cambria"/>
        </w:rPr>
        <w:t>eigenvalues</w:t>
      </w:r>
      <w:proofErr w:type="spellEnd"/>
      <w:r w:rsidRPr="0005513C">
        <w:rPr>
          <w:rFonts w:ascii="Cambria" w:hAnsi="Cambria"/>
        </w:rPr>
        <w:t xml:space="preserve">. Therefore the final PCA was constrained to these two main factors. The final PCA over all biological variables, and including </w:t>
      </w:r>
      <w:proofErr w:type="spellStart"/>
      <w:r w:rsidRPr="0005513C">
        <w:rPr>
          <w:rFonts w:ascii="Cambria" w:hAnsi="Cambria"/>
        </w:rPr>
        <w:t>Aggressivity</w:t>
      </w:r>
      <w:proofErr w:type="spellEnd"/>
      <w:r w:rsidRPr="0005513C">
        <w:rPr>
          <w:rFonts w:ascii="Cambria" w:hAnsi="Cambria"/>
        </w:rPr>
        <w:t xml:space="preserve"> and Hostility Indices, yielded two main components that accounted for 73.70% of the total variance: (a) component 1 with 46.69% and (b) component 2 with 27.01% explaine</w:t>
      </w:r>
      <w:r>
        <w:rPr>
          <w:rFonts w:ascii="Cambria" w:hAnsi="Cambria"/>
        </w:rPr>
        <w:t>d variance</w:t>
      </w:r>
      <w:r w:rsidRPr="0005513C">
        <w:rPr>
          <w:rFonts w:ascii="Cambria" w:hAnsi="Cambria"/>
        </w:rPr>
        <w:t xml:space="preserve">: Component 1 is </w:t>
      </w:r>
      <w:r>
        <w:rPr>
          <w:rFonts w:ascii="Cambria" w:hAnsi="Cambria"/>
        </w:rPr>
        <w:t>characteriz</w:t>
      </w:r>
      <w:r w:rsidRPr="0005513C">
        <w:rPr>
          <w:rFonts w:ascii="Cambria" w:hAnsi="Cambria"/>
        </w:rPr>
        <w:t xml:space="preserve">ed by AI and component 2 is </w:t>
      </w:r>
      <w:r>
        <w:rPr>
          <w:rFonts w:ascii="Cambria" w:hAnsi="Cambria"/>
        </w:rPr>
        <w:t>characteriz</w:t>
      </w:r>
      <w:r w:rsidRPr="0005513C">
        <w:rPr>
          <w:rFonts w:ascii="Cambria" w:hAnsi="Cambria"/>
        </w:rPr>
        <w:t>ed by HI, each of which exhibit</w:t>
      </w:r>
      <w:r>
        <w:rPr>
          <w:rFonts w:ascii="Cambria" w:hAnsi="Cambria"/>
        </w:rPr>
        <w:t>ed</w:t>
      </w:r>
      <w:r w:rsidRPr="0005513C">
        <w:rPr>
          <w:rFonts w:ascii="Cambria" w:hAnsi="Cambria"/>
        </w:rPr>
        <w:t xml:space="preserve"> </w:t>
      </w:r>
      <w:proofErr w:type="spellStart"/>
      <w:r w:rsidRPr="0005513C">
        <w:rPr>
          <w:rFonts w:ascii="Cambria" w:hAnsi="Cambria"/>
        </w:rPr>
        <w:t>eigenvalues</w:t>
      </w:r>
      <w:proofErr w:type="spellEnd"/>
      <w:r w:rsidRPr="0005513C">
        <w:rPr>
          <w:rFonts w:ascii="Cambria" w:hAnsi="Cambria"/>
        </w:rPr>
        <w:t xml:space="preserve"> &gt;15. </w:t>
      </w:r>
      <w:r w:rsidR="006F4679" w:rsidRPr="006F4679">
        <w:rPr>
          <w:rFonts w:ascii="Cambria" w:hAnsi="Cambria"/>
        </w:rPr>
        <w:t>Table, Supplemental Digital Content 3, http://links.lww.com/JCN/A13,</w:t>
      </w:r>
      <w:r w:rsidRPr="0005513C">
        <w:rPr>
          <w:rFonts w:ascii="Cambria" w:hAnsi="Cambria"/>
        </w:rPr>
        <w:t xml:space="preserve"> shows </w:t>
      </w:r>
      <w:proofErr w:type="spellStart"/>
      <w:r w:rsidRPr="0005513C">
        <w:rPr>
          <w:rFonts w:ascii="Cambria" w:hAnsi="Cambria"/>
        </w:rPr>
        <w:t>eigenvalues</w:t>
      </w:r>
      <w:proofErr w:type="spellEnd"/>
      <w:r w:rsidRPr="0005513C">
        <w:rPr>
          <w:rFonts w:ascii="Cambria" w:hAnsi="Cambria"/>
        </w:rPr>
        <w:t xml:space="preserve"> and final factor loadings after rotation resulting for the two components. In sum, component 1 dominated by AI has positive loadings of waist girth, BMI and DBP. The component 2 dominated by HI has positive loadings of TG and HDL.</w:t>
      </w:r>
    </w:p>
    <w:p w:rsidR="0050126A" w:rsidRPr="0005513C" w:rsidRDefault="0050126A" w:rsidP="0050126A">
      <w:pPr>
        <w:spacing w:line="480" w:lineRule="auto"/>
        <w:rPr>
          <w:rFonts w:ascii="Cambria" w:hAnsi="Cambria"/>
        </w:rPr>
      </w:pPr>
    </w:p>
    <w:p w:rsidR="0050126A" w:rsidRPr="00EB00C7" w:rsidRDefault="0050126A" w:rsidP="0050126A">
      <w:pPr>
        <w:spacing w:line="480" w:lineRule="auto"/>
        <w:outlineLvl w:val="0"/>
        <w:rPr>
          <w:rFonts w:ascii="Calibri" w:hAnsi="Calibri"/>
          <w:b/>
        </w:rPr>
      </w:pPr>
      <w:r w:rsidRPr="00EB00C7">
        <w:rPr>
          <w:rFonts w:ascii="Calibri" w:hAnsi="Calibri"/>
          <w:b/>
        </w:rPr>
        <w:t>Estimation of path models by Hierarchical Regression Analysis</w:t>
      </w:r>
    </w:p>
    <w:p w:rsidR="0050126A" w:rsidRPr="0005513C" w:rsidRDefault="0050126A" w:rsidP="0050126A">
      <w:pPr>
        <w:spacing w:line="480" w:lineRule="auto"/>
        <w:rPr>
          <w:rFonts w:ascii="Cambria" w:hAnsi="Cambria"/>
        </w:rPr>
      </w:pPr>
      <w:r w:rsidRPr="0005513C">
        <w:rPr>
          <w:rFonts w:ascii="Cambria" w:hAnsi="Cambria"/>
        </w:rPr>
        <w:t>The robust OLS method implemented in STATA was used to re-model factor loadings with multiple regression analyses. In the HRA model for AI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/>
        </w:rPr>
        <w:t>=5272.85,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.89) was predicted by BMI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=9.59,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</w:t>
      </w:r>
      <w:r w:rsidRPr="0005513C">
        <w:rPr>
          <w:rFonts w:ascii="Cambria" w:hAnsi="Cambria"/>
        </w:rPr>
        <w:t>.937-1.419) and TCH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=1.59,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&lt;0.087, 95%CIs-0</w:t>
      </w:r>
      <w:r w:rsidRPr="0005513C">
        <w:rPr>
          <w:rFonts w:ascii="Cambria" w:hAnsi="Cambria"/>
        </w:rPr>
        <w:t>.348-5.179). In the HRA model for HI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/>
        </w:rPr>
        <w:t>=755.96,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 xml:space="preserve">.88), HI was also </w:t>
      </w:r>
      <w:r w:rsidRPr="0005513C">
        <w:rPr>
          <w:rFonts w:ascii="Cambria" w:hAnsi="Cambria"/>
        </w:rPr>
        <w:lastRenderedPageBreak/>
        <w:t>predicted by BMI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=3.73,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</w:t>
      </w:r>
      <w:r w:rsidRPr="0005513C">
        <w:rPr>
          <w:rFonts w:ascii="Cambria" w:hAnsi="Cambria"/>
        </w:rPr>
        <w:t>0.379-1.224) and by TG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=4.19,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</w:t>
      </w:r>
      <w:r w:rsidRPr="0005513C">
        <w:rPr>
          <w:rFonts w:ascii="Cambria" w:hAnsi="Cambria"/>
        </w:rPr>
        <w:t>5.126-14.149). In the HRA for BMI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/>
        </w:rPr>
        <w:t>= 5553.47,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.98), there were significant terms for age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=-7.30,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 CIs</w:t>
      </w:r>
      <w:r w:rsidRPr="0005513C">
        <w:rPr>
          <w:rFonts w:ascii="Cambria" w:hAnsi="Cambria"/>
        </w:rPr>
        <w:t>-1.763--1.017), AI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=-2.30,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>.021, 95</w:t>
      </w:r>
      <w:r>
        <w:rPr>
          <w:rFonts w:ascii="Cambria" w:hAnsi="Cambria"/>
        </w:rPr>
        <w:t>%CIs-0.059--0</w:t>
      </w:r>
      <w:r w:rsidRPr="0005513C">
        <w:rPr>
          <w:rFonts w:ascii="Cambria" w:hAnsi="Cambria"/>
        </w:rPr>
        <w:t>.004), and TCH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=3.82,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</w:t>
      </w:r>
      <w:r w:rsidRPr="0005513C">
        <w:rPr>
          <w:rFonts w:ascii="Cambria" w:hAnsi="Cambria"/>
        </w:rPr>
        <w:t>.624--1.940). In the HRA for dependent waist circumference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/>
        </w:rPr>
        <w:t>=14494.85,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.98), predictors were AI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=2.24,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&lt;0.025, 95%CIs0.017-</w:t>
      </w:r>
      <w:r w:rsidRPr="0005513C">
        <w:rPr>
          <w:rFonts w:ascii="Cambria" w:hAnsi="Cambria"/>
        </w:rPr>
        <w:t>.265) and DBP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=8.29,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95%CIs0.508-0</w:t>
      </w:r>
      <w:r w:rsidRPr="0005513C">
        <w:rPr>
          <w:rFonts w:ascii="Cambria" w:hAnsi="Cambria"/>
        </w:rPr>
        <w:t>.823). In the HRA for TCH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/>
        </w:rPr>
        <w:t>=2420.98,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.98), significant predictors were HI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=-1.83,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&lt;0.067, 95%CIs-0.026-0</w:t>
      </w:r>
      <w:r w:rsidRPr="0005513C">
        <w:rPr>
          <w:rFonts w:ascii="Cambria" w:hAnsi="Cambria"/>
        </w:rPr>
        <w:t>.001), TG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=2.13,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&lt;0.033, 95%CIs0.041-0</w:t>
      </w:r>
      <w:r w:rsidRPr="0005513C">
        <w:rPr>
          <w:rFonts w:ascii="Cambria" w:hAnsi="Cambria"/>
        </w:rPr>
        <w:t>.970), and SBP (</w:t>
      </w:r>
      <w:r w:rsidRPr="0005513C">
        <w:rPr>
          <w:rFonts w:ascii="Cambria" w:hAnsi="Cambria"/>
          <w:i/>
        </w:rPr>
        <w:t>Z</w:t>
      </w:r>
      <w:r>
        <w:rPr>
          <w:rFonts w:ascii="Cambria" w:hAnsi="Cambria"/>
        </w:rPr>
        <w:t>=</w:t>
      </w:r>
      <w:r w:rsidRPr="0005513C">
        <w:rPr>
          <w:rFonts w:ascii="Cambria" w:hAnsi="Cambria"/>
        </w:rPr>
        <w:t>5.14,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95%CIs0.014-0</w:t>
      </w:r>
      <w:r w:rsidRPr="0005513C">
        <w:rPr>
          <w:rFonts w:ascii="Cambria" w:hAnsi="Cambria"/>
        </w:rPr>
        <w:t>.033). In HRA, TG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</w:t>
      </w:r>
      <w:r w:rsidRPr="0005513C">
        <w:rPr>
          <w:rFonts w:ascii="Cambria" w:hAnsi="Cambria"/>
        </w:rPr>
        <w:t>572.85,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.95) was significantly explained by HI (</w:t>
      </w:r>
      <w:r w:rsidRPr="0005513C">
        <w:rPr>
          <w:rFonts w:ascii="Cambria" w:hAnsi="Cambria"/>
          <w:i/>
        </w:rPr>
        <w:t>Z</w:t>
      </w:r>
      <w:r>
        <w:rPr>
          <w:rFonts w:ascii="Cambria" w:hAnsi="Cambria"/>
        </w:rPr>
        <w:t>=</w:t>
      </w:r>
      <w:r w:rsidRPr="0005513C">
        <w:rPr>
          <w:rFonts w:ascii="Cambria" w:hAnsi="Cambria"/>
        </w:rPr>
        <w:t>1.81,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&lt;0.070, 95%CIs-0.007-0</w:t>
      </w:r>
      <w:r w:rsidRPr="0005513C">
        <w:rPr>
          <w:rFonts w:ascii="Cambria" w:hAnsi="Cambria"/>
        </w:rPr>
        <w:t>.020) and TCH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=53.65,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95%CIs0.331-0</w:t>
      </w:r>
      <w:r w:rsidRPr="0005513C">
        <w:rPr>
          <w:rFonts w:ascii="Cambria" w:hAnsi="Cambria"/>
        </w:rPr>
        <w:t>.356). The HRA for DBP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</w:t>
      </w:r>
      <w:r w:rsidRPr="0005513C">
        <w:rPr>
          <w:rFonts w:ascii="Cambria" w:hAnsi="Cambria"/>
        </w:rPr>
        <w:t>36700.23,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.99) revealed waist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=4.72,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95%CIs0.171-0</w:t>
      </w:r>
      <w:r w:rsidRPr="0005513C">
        <w:rPr>
          <w:rFonts w:ascii="Cambria" w:hAnsi="Cambria"/>
        </w:rPr>
        <w:t>.413) and SBP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=10.49,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95%CIs0.270-</w:t>
      </w:r>
      <w:r w:rsidRPr="0005513C">
        <w:rPr>
          <w:rFonts w:ascii="Cambria" w:hAnsi="Cambria"/>
        </w:rPr>
        <w:t>.395) as predictors. Likewise, in HRA, SBP (Wald-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</w:t>
      </w:r>
      <w:r w:rsidRPr="0005513C">
        <w:rPr>
          <w:rFonts w:ascii="Cambria" w:hAnsi="Cambria"/>
        </w:rPr>
        <w:t>7637.37, model-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</w:t>
      </w:r>
      <w:r w:rsidRPr="0005513C">
        <w:rPr>
          <w:rFonts w:ascii="Cambria" w:hAnsi="Cambria"/>
        </w:rPr>
        <w:t xml:space="preserve">.00001, adjusted </w:t>
      </w:r>
      <w:r w:rsidRPr="0005513C">
        <w:rPr>
          <w:rFonts w:ascii="Cambria" w:hAnsi="Cambria"/>
          <w:i/>
        </w:rPr>
        <w:t>R</w:t>
      </w:r>
      <w:r w:rsidRPr="0005513C">
        <w:rPr>
          <w:rFonts w:ascii="Cambria" w:hAnsi="Cambria"/>
          <w:i/>
          <w:vertAlign w:val="superscript"/>
        </w:rPr>
        <w:t>2</w:t>
      </w:r>
      <w:r>
        <w:rPr>
          <w:rFonts w:ascii="Cambria" w:hAnsi="Cambria"/>
        </w:rPr>
        <w:t>=0</w:t>
      </w:r>
      <w:r w:rsidRPr="0005513C">
        <w:rPr>
          <w:rFonts w:ascii="Cambria" w:hAnsi="Cambria"/>
        </w:rPr>
        <w:t>.99) was predicted by LDL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=1.70,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&lt;0.089, 95%CIs-0</w:t>
      </w:r>
      <w:r w:rsidRPr="0005513C">
        <w:rPr>
          <w:rFonts w:ascii="Cambria" w:hAnsi="Cambria"/>
        </w:rPr>
        <w:t>.179-2.790), and by DBP (</w:t>
      </w:r>
      <w:r w:rsidRPr="0005513C">
        <w:rPr>
          <w:rFonts w:ascii="Cambria" w:hAnsi="Cambria"/>
          <w:i/>
        </w:rPr>
        <w:t>Z</w:t>
      </w:r>
      <w:r w:rsidRPr="0005513C">
        <w:rPr>
          <w:rFonts w:ascii="Cambria" w:hAnsi="Cambria"/>
        </w:rPr>
        <w:t>=8.71, term-</w:t>
      </w:r>
      <w:r w:rsidRPr="0005513C">
        <w:rPr>
          <w:rFonts w:ascii="Cambria" w:hAnsi="Cambria"/>
          <w:i/>
        </w:rPr>
        <w:t>p</w:t>
      </w:r>
      <w:r>
        <w:rPr>
          <w:rFonts w:ascii="Cambria" w:hAnsi="Cambria"/>
        </w:rPr>
        <w:t>&lt;0.0001, 95%CIs0</w:t>
      </w:r>
      <w:r w:rsidRPr="0005513C">
        <w:rPr>
          <w:rFonts w:ascii="Cambria" w:hAnsi="Cambria"/>
        </w:rPr>
        <w:t xml:space="preserve">.981-1.551). The exact MVLR models for </w:t>
      </w:r>
      <w:proofErr w:type="spellStart"/>
      <w:r w:rsidRPr="0005513C">
        <w:rPr>
          <w:rFonts w:ascii="Cambria" w:hAnsi="Cambria"/>
        </w:rPr>
        <w:t>microalbuminuria</w:t>
      </w:r>
      <w:proofErr w:type="spellEnd"/>
      <w:r w:rsidRPr="0005513C">
        <w:rPr>
          <w:rFonts w:ascii="Cambria" w:hAnsi="Cambria"/>
        </w:rPr>
        <w:t xml:space="preserve">, however, for HI and AI had marginal significance, albeit did not reach conventional significance levels. The variables HDL, LDL, and </w:t>
      </w:r>
      <w:proofErr w:type="spellStart"/>
      <w:r w:rsidRPr="0005513C">
        <w:rPr>
          <w:rFonts w:ascii="Cambria" w:hAnsi="Cambria"/>
        </w:rPr>
        <w:t>microalbuminuria</w:t>
      </w:r>
      <w:proofErr w:type="spellEnd"/>
      <w:r w:rsidRPr="0005513C">
        <w:rPr>
          <w:rFonts w:ascii="Cambria" w:hAnsi="Cambria"/>
        </w:rPr>
        <w:t xml:space="preserve"> were henceforth dropped as dependent variables. As compared to TCH, HDL and LDL add only minimally to </w:t>
      </w:r>
      <w:r>
        <w:rPr>
          <w:rFonts w:ascii="Cambria" w:hAnsi="Cambria"/>
        </w:rPr>
        <w:t xml:space="preserve">overall </w:t>
      </w:r>
      <w:r w:rsidR="00651874" w:rsidRPr="0005513C">
        <w:rPr>
          <w:rFonts w:ascii="Cambria" w:hAnsi="Cambria"/>
        </w:rPr>
        <w:fldChar w:fldCharType="begin">
          <w:fldData xml:space="preserve">PEVuZE5vdGU+PENpdGU+PEF1dGhvcj5Hb2xkZW48L0F1dGhvcj48WWVhcj4yMDA2PC9ZZWFyPjxS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</w:fldData>
        </w:fldChar>
      </w:r>
      <w:r w:rsidRPr="0005513C">
        <w:rPr>
          <w:rFonts w:ascii="Cambria" w:hAnsi="Cambria"/>
        </w:rPr>
        <w:instrText xml:space="preserve"> </w:instrText>
      </w:r>
      <w:r>
        <w:rPr>
          <w:rFonts w:ascii="Cambria" w:hAnsi="Cambria"/>
        </w:rPr>
        <w:instrText>ADDIN</w:instrText>
      </w:r>
      <w:r w:rsidRPr="0005513C">
        <w:rPr>
          <w:rFonts w:ascii="Cambria" w:hAnsi="Cambria"/>
        </w:rPr>
        <w:instrText xml:space="preserve"> EN.CITE.DATA </w:instrText>
      </w:r>
      <w:r w:rsidR="00651874" w:rsidRPr="0005513C">
        <w:rPr>
          <w:rFonts w:ascii="Cambria" w:hAnsi="Cambria"/>
        </w:rPr>
      </w:r>
      <w:r w:rsidR="00651874" w:rsidRPr="0005513C">
        <w:rPr>
          <w:rFonts w:ascii="Cambria" w:hAnsi="Cambria"/>
        </w:rPr>
        <w:fldChar w:fldCharType="end"/>
      </w:r>
      <w:r w:rsidRPr="0005513C">
        <w:rPr>
          <w:rFonts w:ascii="Cambria" w:hAnsi="Cambria"/>
        </w:rPr>
        <w:t xml:space="preserve">CVD risk prediction </w:t>
      </w:r>
      <w:r w:rsidR="00651874" w:rsidRPr="0005513C">
        <w:rPr>
          <w:rFonts w:ascii="Cambria" w:hAnsi="Cambria"/>
        </w:rPr>
        <w:fldChar w:fldCharType="begin">
          <w:fldData xml:space="preserve">PEVuZE5vdGU+PENpdGU+PEF1dGhvcj5EaSBBbmdlbGFudG9uaW88L0F1dGhvcj48WWVhcj4yMDEy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</w:fldData>
        </w:fldChar>
      </w:r>
      <w:r>
        <w:rPr>
          <w:rFonts w:ascii="Cambria" w:hAnsi="Cambria"/>
        </w:rPr>
        <w:instrText xml:space="preserve"> ADDIN EN.CITE </w:instrText>
      </w:r>
      <w:r w:rsidR="00651874">
        <w:rPr>
          <w:rFonts w:ascii="Cambria" w:hAnsi="Cambria"/>
        </w:rPr>
        <w:fldChar w:fldCharType="begin">
          <w:fldData xml:space="preserve">PEVuZE5vdGU+PENpdGU+PEF1dGhvcj5EaSBBbmdlbGFudG9uaW88L0F1dGhvcj48WWVhcj4yMDEy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</w:fldData>
        </w:fldChar>
      </w:r>
      <w:r>
        <w:rPr>
          <w:rFonts w:ascii="Cambria" w:hAnsi="Cambria"/>
        </w:rPr>
        <w:instrText xml:space="preserve"> ADDIN EN.CITE.DATA </w:instrText>
      </w:r>
      <w:r w:rsidR="00651874">
        <w:rPr>
          <w:rFonts w:ascii="Cambria" w:hAnsi="Cambria"/>
        </w:rPr>
      </w:r>
      <w:r w:rsidR="00651874">
        <w:rPr>
          <w:rFonts w:ascii="Cambria" w:hAnsi="Cambria"/>
        </w:rPr>
        <w:fldChar w:fldCharType="end"/>
      </w:r>
      <w:r w:rsidR="00651874" w:rsidRPr="0005513C">
        <w:rPr>
          <w:rFonts w:ascii="Cambria" w:hAnsi="Cambria"/>
        </w:rPr>
      </w:r>
      <w:r w:rsidR="00651874" w:rsidRPr="0005513C">
        <w:rPr>
          <w:rFonts w:ascii="Cambria" w:hAnsi="Cambria"/>
        </w:rPr>
        <w:fldChar w:fldCharType="separate"/>
      </w:r>
      <w:r w:rsidR="005735B0">
        <w:rPr>
          <w:rFonts w:ascii="Cambria" w:hAnsi="Cambria"/>
          <w:noProof/>
          <w:vertAlign w:val="superscript"/>
        </w:rPr>
        <w:t>1</w:t>
      </w:r>
      <w:r w:rsidR="00651874" w:rsidRPr="0005513C">
        <w:rPr>
          <w:rFonts w:ascii="Cambria" w:hAnsi="Cambria"/>
        </w:rPr>
        <w:fldChar w:fldCharType="end"/>
      </w:r>
      <w:r w:rsidRPr="0005513C">
        <w:rPr>
          <w:rFonts w:ascii="Cambria" w:hAnsi="Cambria"/>
        </w:rPr>
        <w:t xml:space="preserve">. In sum, the regression analyses confirmed and extended the results of the two-factor solution in the PCA. With exception of BMI, all other biological variables had either AI or HI amongst </w:t>
      </w:r>
      <w:r>
        <w:rPr>
          <w:rFonts w:ascii="Cambria" w:hAnsi="Cambria"/>
        </w:rPr>
        <w:t>their</w:t>
      </w:r>
      <w:r w:rsidRPr="0005513C">
        <w:rPr>
          <w:rFonts w:ascii="Cambria" w:hAnsi="Cambria"/>
        </w:rPr>
        <w:t xml:space="preserve"> predictors.</w:t>
      </w:r>
    </w:p>
    <w:p w:rsidR="0050126A" w:rsidRDefault="0050126A" w:rsidP="0050126A">
      <w:pPr>
        <w:spacing w:line="480" w:lineRule="auto"/>
        <w:rPr>
          <w:rFonts w:ascii="Cambria" w:hAnsi="Cambria"/>
        </w:rPr>
      </w:pPr>
    </w:p>
    <w:p w:rsidR="0050126A" w:rsidRPr="00B165AC" w:rsidRDefault="0050126A" w:rsidP="0050126A">
      <w:pPr>
        <w:spacing w:line="480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B165AC">
        <w:rPr>
          <w:rFonts w:ascii="Calibri" w:hAnsi="Calibri"/>
          <w:b/>
        </w:rPr>
        <w:lastRenderedPageBreak/>
        <w:t>Additional SEMs</w:t>
      </w:r>
    </w:p>
    <w:p w:rsidR="0050126A" w:rsidRDefault="0050126A" w:rsidP="0050126A">
      <w:pPr>
        <w:spacing w:line="480" w:lineRule="auto"/>
        <w:rPr>
          <w:rFonts w:ascii="Cambria" w:hAnsi="Cambria" w:cs="Times-Roman"/>
          <w:szCs w:val="18"/>
        </w:rPr>
      </w:pPr>
      <w:r>
        <w:rPr>
          <w:rFonts w:ascii="Cambria" w:hAnsi="Cambria"/>
        </w:rPr>
        <w:t>W</w:t>
      </w:r>
      <w:r w:rsidRPr="0005513C">
        <w:rPr>
          <w:rFonts w:ascii="Cambria" w:hAnsi="Cambria"/>
        </w:rPr>
        <w:t xml:space="preserve">hen relaxing the model </w:t>
      </w:r>
      <w:proofErr w:type="gramStart"/>
      <w:r w:rsidRPr="0005513C">
        <w:rPr>
          <w:rFonts w:ascii="Cambria" w:hAnsi="Cambria"/>
        </w:rPr>
        <w:t>an</w:t>
      </w:r>
      <w:proofErr w:type="gramEnd"/>
      <w:r w:rsidRPr="0005513C">
        <w:rPr>
          <w:rFonts w:ascii="Cambria" w:hAnsi="Cambria"/>
        </w:rPr>
        <w:t xml:space="preserve"> using OIM estimation method (model 3), the SEM fit indices were as follows:</w:t>
      </w:r>
      <w:r w:rsidRPr="0005513C">
        <w:rPr>
          <w:rFonts w:ascii="Cambria" w:hAnsi="Cambria"/>
          <w:i/>
        </w:rPr>
        <w:t xml:space="preserve"> 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/>
        </w:rPr>
        <w:t xml:space="preserve">=67.96, </w:t>
      </w:r>
      <w:proofErr w:type="spellStart"/>
      <w:r w:rsidRPr="0005513C">
        <w:rPr>
          <w:rFonts w:ascii="Cambria" w:hAnsi="Cambria"/>
        </w:rPr>
        <w:t>df</w:t>
      </w:r>
      <w:proofErr w:type="spellEnd"/>
      <w:r w:rsidRPr="0005513C">
        <w:rPr>
          <w:rFonts w:ascii="Cambria" w:hAnsi="Cambria"/>
        </w:rPr>
        <w:t xml:space="preserve">=14, </w:t>
      </w:r>
      <w:r w:rsidRPr="0005513C">
        <w:rPr>
          <w:rFonts w:ascii="Cambria" w:hAnsi="Cambria" w:cs="AdvPED1286"/>
          <w:i/>
          <w:szCs w:val="18"/>
        </w:rPr>
        <w:t>p</w:t>
      </w:r>
      <w:r w:rsidRPr="0005513C">
        <w:rPr>
          <w:rFonts w:ascii="Cambria" w:hAnsi="Cambria" w:cs="AdvPED1286"/>
          <w:szCs w:val="18"/>
        </w:rPr>
        <w:t>=</w:t>
      </w:r>
      <w:r>
        <w:rPr>
          <w:rFonts w:ascii="Cambria" w:hAnsi="Cambria" w:cs="AdvPED1286"/>
          <w:szCs w:val="18"/>
        </w:rPr>
        <w:t>0</w:t>
      </w:r>
      <w:r w:rsidRPr="0005513C">
        <w:rPr>
          <w:rFonts w:ascii="Cambria" w:hAnsi="Cambria"/>
        </w:rPr>
        <w:t xml:space="preserve">.0001, root mean square of estimation </w:t>
      </w:r>
      <w:r>
        <w:rPr>
          <w:rFonts w:ascii="Cambria" w:hAnsi="Cambria" w:cs="AdvPED1286"/>
          <w:szCs w:val="18"/>
        </w:rPr>
        <w:t>RMSEA=0.131 (95%CIs0.0950-0</w:t>
      </w:r>
      <w:r w:rsidRPr="0005513C">
        <w:rPr>
          <w:rFonts w:ascii="Cambria" w:hAnsi="Cambria" w:cs="AdvPED1286"/>
          <w:szCs w:val="18"/>
        </w:rPr>
        <w:t xml:space="preserve">.168), </w:t>
      </w:r>
      <w:proofErr w:type="spellStart"/>
      <w:r w:rsidRPr="0005513C">
        <w:rPr>
          <w:rFonts w:ascii="Cambria" w:hAnsi="Cambria" w:cs="AdvPED1286"/>
          <w:szCs w:val="18"/>
        </w:rPr>
        <w:t>Bentl</w:t>
      </w:r>
      <w:r>
        <w:rPr>
          <w:rFonts w:ascii="Cambria" w:hAnsi="Cambria" w:cs="AdvPED1286"/>
          <w:szCs w:val="18"/>
        </w:rPr>
        <w:t>er’s</w:t>
      </w:r>
      <w:proofErr w:type="spellEnd"/>
      <w:r>
        <w:rPr>
          <w:rFonts w:ascii="Cambria" w:hAnsi="Cambria" w:cs="AdvPED1286"/>
          <w:szCs w:val="18"/>
        </w:rPr>
        <w:t xml:space="preserve"> comparative fit index CFI=0.656, Tucker-Lewis index TLI=0</w:t>
      </w:r>
      <w:r w:rsidRPr="0005513C">
        <w:rPr>
          <w:rFonts w:ascii="Cambria" w:hAnsi="Cambria" w:cs="AdvPED1286"/>
          <w:szCs w:val="18"/>
        </w:rPr>
        <w:t xml:space="preserve">.537, standardized root mean square of </w:t>
      </w:r>
      <w:r>
        <w:rPr>
          <w:rFonts w:ascii="Cambria" w:hAnsi="Cambria" w:cs="AdvPED1286"/>
          <w:szCs w:val="18"/>
        </w:rPr>
        <w:t>residuals SRMR=0</w:t>
      </w:r>
      <w:r w:rsidRPr="0005513C">
        <w:rPr>
          <w:rFonts w:ascii="Cambria" w:hAnsi="Cambria" w:cs="AdvPED1286"/>
          <w:szCs w:val="18"/>
        </w:rPr>
        <w:t>.109, the latter indicating good fit. For a</w:t>
      </w:r>
      <w:r>
        <w:rPr>
          <w:rFonts w:ascii="Cambria" w:hAnsi="Cambria" w:cs="AdvPED1286"/>
          <w:szCs w:val="18"/>
        </w:rPr>
        <w:t xml:space="preserve"> model of this sample size, </w:t>
      </w:r>
      <w:r w:rsidRPr="0005513C">
        <w:rPr>
          <w:rFonts w:ascii="Cambria" w:hAnsi="Cambria" w:cs="AdvPED1286"/>
          <w:szCs w:val="18"/>
        </w:rPr>
        <w:t xml:space="preserve">these fit indices for the </w:t>
      </w:r>
      <w:proofErr w:type="spellStart"/>
      <w:r w:rsidRPr="0005513C">
        <w:rPr>
          <w:rFonts w:ascii="Cambria" w:hAnsi="Cambria" w:cs="AdvPED1286"/>
          <w:szCs w:val="18"/>
        </w:rPr>
        <w:t>nonadjusted</w:t>
      </w:r>
      <w:proofErr w:type="spellEnd"/>
      <w:r w:rsidRPr="0005513C">
        <w:rPr>
          <w:rFonts w:ascii="Cambria" w:hAnsi="Cambria" w:cs="AdvPED1286"/>
          <w:szCs w:val="18"/>
        </w:rPr>
        <w:t>/unconstrained model 3 are approaching desirable values</w:t>
      </w:r>
      <w:r>
        <w:rPr>
          <w:rFonts w:ascii="Cambria" w:hAnsi="Cambria" w:cs="AdvPED1286"/>
          <w:szCs w:val="18"/>
        </w:rPr>
        <w:t xml:space="preserve"> (i.e. CFI=0.7)</w:t>
      </w:r>
      <w:r w:rsidRPr="0005513C">
        <w:rPr>
          <w:rFonts w:ascii="Cambria" w:hAnsi="Cambria" w:cs="AdvPED1286"/>
          <w:szCs w:val="18"/>
        </w:rPr>
        <w:t xml:space="preserve"> </w:t>
      </w:r>
      <w:r w:rsidR="00651874" w:rsidRPr="0005513C">
        <w:rPr>
          <w:rFonts w:ascii="Cambria" w:hAnsi="Cambria" w:cs="AdvPED1286"/>
          <w:szCs w:val="18"/>
        </w:rPr>
        <w:fldChar w:fldCharType="begin"/>
      </w:r>
      <w:r>
        <w:rPr>
          <w:rFonts w:ascii="Cambria" w:hAnsi="Cambria" w:cs="AdvPED1286"/>
          <w:szCs w:val="18"/>
        </w:rPr>
        <w:instrText xml:space="preserve"> ADDIN EN.CITE &lt;EndNote&gt;&lt;Cite&gt;&lt;Author&gt;Bentler&lt;/Author&gt;&lt;Year&gt;2010&lt;/Year&gt;&lt;RecNum&gt;83&lt;/RecNum&gt;&lt;record&gt;&lt;rec-number&gt;83&lt;/rec-number&gt;&lt;foreign-keys&gt;&lt;key app="EN" db-id="xzr2vzs21fsxr2ewrstv59avxe5ewprd2fes"&gt;83&lt;/key&gt;&lt;/foreign-keys&gt;&lt;ref-type name="Journal Article"&gt;17&lt;/ref-type&gt;&lt;contributors&gt;&lt;authors&gt;&lt;author&gt;Bentler, P. M.&lt;/author&gt;&lt;/authors&gt;&lt;/contributors&gt;&lt;auth-address&gt;University of California, Los Angeles, USA.&lt;/auth-address&gt;&lt;titles&gt;&lt;title&gt;SEM with simplicity and accuracy&lt;/title&gt;&lt;secondary-title&gt;J Consum Psychol&lt;/secondary-title&gt;&lt;/titles&gt;&lt;periodical&gt;&lt;full-title&gt;J Consum Psychol&lt;/full-title&gt;&lt;/periodical&gt;&lt;pages&gt;215-220&lt;/pages&gt;&lt;volume&gt;20&lt;/volume&gt;&lt;number&gt;2&lt;/number&gt;&lt;edition&gt;2010/05/11&lt;/edition&gt;&lt;dates&gt;&lt;year&gt;2010&lt;/year&gt;&lt;pub-dates&gt;&lt;date&gt;Apr&lt;/date&gt;&lt;/pub-dates&gt;&lt;/dates&gt;&lt;isbn&gt;1057-7408 (Electronic)&amp;#xD;1057-7408 (Linking)&lt;/isbn&gt;&lt;accession-num&gt;20454589&lt;/accession-num&gt;&lt;urls&gt;&lt;related-urls&gt;&lt;url&gt;http://www.ncbi.nlm.nih.gov/entrez/query.fcgi?cmd=Retrieve&amp;amp;db=PubMed&amp;amp;dopt=Citation&amp;amp;list_uids=20454589&lt;/url&gt;&lt;/related-urls&gt;&lt;/urls&gt;&lt;custom2&gt;2863330&lt;/custom2&gt;&lt;electronic-resource-num&gt;10.1016/j.jcps.2010.03.002&lt;/electronic-resource-num&gt;&lt;language&gt;Eng&lt;/language&gt;&lt;/record&gt;&lt;/Cite&gt;&lt;/EndNote&gt;</w:instrText>
      </w:r>
      <w:r w:rsidR="00651874" w:rsidRPr="0005513C">
        <w:rPr>
          <w:rFonts w:ascii="Cambria" w:hAnsi="Cambria" w:cs="AdvPED1286"/>
          <w:szCs w:val="18"/>
        </w:rPr>
        <w:fldChar w:fldCharType="separate"/>
      </w:r>
      <w:r w:rsidR="005735B0">
        <w:rPr>
          <w:rFonts w:ascii="Cambria" w:hAnsi="Cambria" w:cs="AdvPED1286"/>
          <w:noProof/>
          <w:szCs w:val="18"/>
          <w:vertAlign w:val="superscript"/>
        </w:rPr>
        <w:t>2</w:t>
      </w:r>
      <w:r w:rsidR="00651874" w:rsidRPr="0005513C">
        <w:rPr>
          <w:rFonts w:ascii="Cambria" w:hAnsi="Cambria" w:cs="AdvPED1286"/>
          <w:szCs w:val="18"/>
        </w:rPr>
        <w:fldChar w:fldCharType="end"/>
      </w:r>
      <w:r w:rsidRPr="0005513C">
        <w:rPr>
          <w:rFonts w:ascii="Cambria" w:hAnsi="Cambria" w:cs="AdvPED1286"/>
          <w:szCs w:val="18"/>
        </w:rPr>
        <w:t xml:space="preserve">. </w:t>
      </w:r>
      <w:r w:rsidRPr="0005513C">
        <w:rPr>
          <w:rFonts w:ascii="Cambria" w:hAnsi="Cambria" w:cs="Times-Roman"/>
          <w:szCs w:val="18"/>
        </w:rPr>
        <w:t xml:space="preserve">Although the 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 w:cs="Times-Roman"/>
          <w:szCs w:val="11"/>
        </w:rPr>
        <w:t xml:space="preserve"> </w:t>
      </w:r>
      <w:r w:rsidRPr="0005513C">
        <w:rPr>
          <w:rFonts w:ascii="Cambria" w:hAnsi="Cambria" w:cs="Times-Roman"/>
          <w:szCs w:val="18"/>
        </w:rPr>
        <w:t xml:space="preserve">of the relaxed model 3 was significant, the </w:t>
      </w:r>
      <w:r w:rsidRPr="0005513C">
        <w:rPr>
          <w:rFonts w:ascii="Cambria" w:hAnsi="Cambria"/>
          <w:i/>
        </w:rPr>
        <w:sym w:font="Symbol" w:char="F063"/>
      </w:r>
      <w:r w:rsidRPr="0005513C">
        <w:rPr>
          <w:rFonts w:ascii="Cambria" w:hAnsi="Cambria"/>
          <w:i/>
          <w:vertAlign w:val="superscript"/>
        </w:rPr>
        <w:t>2</w:t>
      </w:r>
      <w:r w:rsidRPr="0005513C">
        <w:rPr>
          <w:rFonts w:ascii="Cambria" w:hAnsi="Cambria" w:cs="Times-Roman"/>
          <w:szCs w:val="11"/>
        </w:rPr>
        <w:t xml:space="preserve"> </w:t>
      </w:r>
      <w:r w:rsidRPr="0005513C">
        <w:rPr>
          <w:rFonts w:ascii="Cambria" w:hAnsi="Cambria" w:cs="Times-Roman"/>
          <w:szCs w:val="18"/>
        </w:rPr>
        <w:t>divided by the degrees of freedom had a ratio of 3.5, suggesting still a satisfactory fit, which was confirmed by the fact that all other estimates of the model fit parameters obtained values indicating evidence of fairly good fit, although not perfectly close.</w:t>
      </w:r>
    </w:p>
    <w:p w:rsidR="006F4679" w:rsidRDefault="006F4679" w:rsidP="0050126A">
      <w:pPr>
        <w:spacing w:line="480" w:lineRule="auto"/>
        <w:rPr>
          <w:rFonts w:ascii="Cambria" w:hAnsi="Cambria" w:cs="Times-Roman"/>
          <w:szCs w:val="18"/>
        </w:rPr>
      </w:pPr>
    </w:p>
    <w:p w:rsidR="006F4679" w:rsidRPr="005735B0" w:rsidRDefault="006F4679" w:rsidP="006F4679">
      <w:pPr>
        <w:rPr>
          <w:rFonts w:ascii="Cambria" w:hAnsi="Cambria"/>
          <w:b/>
        </w:rPr>
      </w:pPr>
      <w:r w:rsidRPr="005735B0">
        <w:rPr>
          <w:rFonts w:ascii="Cambria" w:hAnsi="Cambria"/>
          <w:b/>
        </w:rPr>
        <w:t>References:</w:t>
      </w:r>
    </w:p>
    <w:p w:rsidR="006F4679" w:rsidRDefault="006F4679" w:rsidP="006F4679">
      <w:pPr>
        <w:rPr>
          <w:rFonts w:ascii="Cambria" w:hAnsi="Cambria"/>
        </w:rPr>
      </w:pPr>
    </w:p>
    <w:p w:rsidR="006F4679" w:rsidRDefault="006F4679" w:rsidP="006F46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Theme="minorHAnsi" w:hAnsiTheme="majorHAnsi" w:cs="AdvP46190F"/>
        </w:rPr>
      </w:pPr>
      <w:r w:rsidRPr="005735B0">
        <w:rPr>
          <w:rFonts w:asciiTheme="majorHAnsi" w:eastAsiaTheme="minorHAnsi" w:hAnsiTheme="majorHAnsi" w:cs="AdvP46190F"/>
        </w:rPr>
        <w:t xml:space="preserve">Di </w:t>
      </w:r>
      <w:proofErr w:type="spellStart"/>
      <w:r w:rsidRPr="005735B0">
        <w:rPr>
          <w:rFonts w:asciiTheme="majorHAnsi" w:eastAsiaTheme="minorHAnsi" w:hAnsiTheme="majorHAnsi" w:cs="AdvP46190F"/>
        </w:rPr>
        <w:t>Angelantonio</w:t>
      </w:r>
      <w:proofErr w:type="spellEnd"/>
      <w:r w:rsidRPr="005735B0">
        <w:rPr>
          <w:rFonts w:asciiTheme="majorHAnsi" w:eastAsiaTheme="minorHAnsi" w:hAnsiTheme="majorHAnsi" w:cs="AdvP46190F"/>
        </w:rPr>
        <w:t xml:space="preserve"> E, </w:t>
      </w:r>
      <w:proofErr w:type="spellStart"/>
      <w:r w:rsidRPr="005735B0">
        <w:rPr>
          <w:rFonts w:asciiTheme="majorHAnsi" w:eastAsiaTheme="minorHAnsi" w:hAnsiTheme="majorHAnsi" w:cs="AdvP46190F"/>
        </w:rPr>
        <w:t>Gao</w:t>
      </w:r>
      <w:proofErr w:type="spellEnd"/>
      <w:r w:rsidRPr="005735B0">
        <w:rPr>
          <w:rFonts w:asciiTheme="majorHAnsi" w:eastAsiaTheme="minorHAnsi" w:hAnsiTheme="majorHAnsi" w:cs="AdvP46190F"/>
        </w:rPr>
        <w:t xml:space="preserve"> P, </w:t>
      </w:r>
      <w:proofErr w:type="spellStart"/>
      <w:r w:rsidRPr="005735B0">
        <w:rPr>
          <w:rFonts w:asciiTheme="majorHAnsi" w:eastAsiaTheme="minorHAnsi" w:hAnsiTheme="majorHAnsi" w:cs="AdvP46190F"/>
        </w:rPr>
        <w:t>Pennells</w:t>
      </w:r>
      <w:proofErr w:type="spellEnd"/>
      <w:r w:rsidRPr="005735B0">
        <w:rPr>
          <w:rFonts w:asciiTheme="majorHAnsi" w:eastAsiaTheme="minorHAnsi" w:hAnsiTheme="majorHAnsi" w:cs="AdvP46190F"/>
        </w:rPr>
        <w:t xml:space="preserve"> L, et al. Lipid-related markers and cardiovascular disease prediction. </w:t>
      </w:r>
      <w:r w:rsidRPr="005735B0">
        <w:rPr>
          <w:rFonts w:asciiTheme="majorHAnsi" w:eastAsiaTheme="minorHAnsi" w:hAnsiTheme="majorHAnsi" w:cs="AdvP4091D6"/>
          <w:i/>
        </w:rPr>
        <w:t>JAMA</w:t>
      </w:r>
      <w:r w:rsidRPr="005735B0">
        <w:rPr>
          <w:rFonts w:asciiTheme="majorHAnsi" w:eastAsiaTheme="minorHAnsi" w:hAnsiTheme="majorHAnsi" w:cs="AdvP46190F"/>
        </w:rPr>
        <w:t>. 2012</w:t>
      </w:r>
      <w:proofErr w:type="gramStart"/>
      <w:r w:rsidRPr="005735B0">
        <w:rPr>
          <w:rFonts w:asciiTheme="majorHAnsi" w:eastAsiaTheme="minorHAnsi" w:hAnsiTheme="majorHAnsi" w:cs="AdvP46190F"/>
        </w:rPr>
        <w:t>;307:2499</w:t>
      </w:r>
      <w:proofErr w:type="gramEnd"/>
      <w:r w:rsidRPr="005735B0">
        <w:rPr>
          <w:rFonts w:asciiTheme="majorHAnsi" w:eastAsiaTheme="minorHAnsi" w:hAnsiTheme="majorHAnsi" w:cs="AdvP0005"/>
        </w:rPr>
        <w:t>-</w:t>
      </w:r>
      <w:r w:rsidRPr="005735B0">
        <w:rPr>
          <w:rFonts w:asciiTheme="majorHAnsi" w:eastAsiaTheme="minorHAnsi" w:hAnsiTheme="majorHAnsi" w:cs="AdvP46190F"/>
        </w:rPr>
        <w:t>2506</w:t>
      </w:r>
      <w:r>
        <w:rPr>
          <w:rFonts w:asciiTheme="majorHAnsi" w:eastAsiaTheme="minorHAnsi" w:hAnsiTheme="majorHAnsi" w:cs="AdvP46190F"/>
        </w:rPr>
        <w:t>.</w:t>
      </w:r>
    </w:p>
    <w:p w:rsidR="006F4679" w:rsidRDefault="006F4679" w:rsidP="006F4679">
      <w:pPr>
        <w:pStyle w:val="ListParagraph"/>
        <w:autoSpaceDE w:val="0"/>
        <w:autoSpaceDN w:val="0"/>
        <w:adjustRightInd w:val="0"/>
        <w:rPr>
          <w:rFonts w:asciiTheme="majorHAnsi" w:eastAsiaTheme="minorHAnsi" w:hAnsiTheme="majorHAnsi" w:cs="AdvP46190F"/>
        </w:rPr>
      </w:pPr>
    </w:p>
    <w:p w:rsidR="006F4679" w:rsidRPr="005735B0" w:rsidRDefault="006F4679" w:rsidP="006F46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Theme="minorHAnsi" w:hAnsiTheme="majorHAnsi" w:cs="AdvPECF96B"/>
          <w:sz w:val="25"/>
          <w:szCs w:val="25"/>
        </w:rPr>
      </w:pPr>
      <w:proofErr w:type="spellStart"/>
      <w:r w:rsidRPr="005735B0">
        <w:rPr>
          <w:rFonts w:asciiTheme="majorHAnsi" w:eastAsiaTheme="minorHAnsi" w:hAnsiTheme="majorHAnsi" w:cs="AdvP46190F"/>
          <w:sz w:val="25"/>
          <w:szCs w:val="25"/>
        </w:rPr>
        <w:t>Bentler</w:t>
      </w:r>
      <w:proofErr w:type="spellEnd"/>
      <w:r w:rsidRPr="005735B0">
        <w:rPr>
          <w:rFonts w:asciiTheme="majorHAnsi" w:eastAsiaTheme="minorHAnsi" w:hAnsiTheme="majorHAnsi" w:cs="AdvP46190F"/>
          <w:sz w:val="25"/>
          <w:szCs w:val="25"/>
        </w:rPr>
        <w:t xml:space="preserve"> PM. SEM with simplicity and accuracy. </w:t>
      </w:r>
      <w:r w:rsidRPr="005735B0">
        <w:rPr>
          <w:rFonts w:asciiTheme="majorHAnsi" w:eastAsiaTheme="minorHAnsi" w:hAnsiTheme="majorHAnsi" w:cs="AdvP4091D6"/>
          <w:i/>
          <w:sz w:val="25"/>
          <w:szCs w:val="25"/>
        </w:rPr>
        <w:t xml:space="preserve">J </w:t>
      </w:r>
      <w:proofErr w:type="spellStart"/>
      <w:r w:rsidRPr="005735B0">
        <w:rPr>
          <w:rFonts w:asciiTheme="majorHAnsi" w:eastAsiaTheme="minorHAnsi" w:hAnsiTheme="majorHAnsi" w:cs="AdvP4091D6"/>
          <w:i/>
          <w:sz w:val="25"/>
          <w:szCs w:val="25"/>
        </w:rPr>
        <w:t>Consum</w:t>
      </w:r>
      <w:proofErr w:type="spellEnd"/>
      <w:r w:rsidRPr="005735B0">
        <w:rPr>
          <w:rFonts w:asciiTheme="majorHAnsi" w:eastAsiaTheme="minorHAnsi" w:hAnsiTheme="majorHAnsi" w:cs="AdvP4091D6"/>
          <w:i/>
          <w:sz w:val="25"/>
          <w:szCs w:val="25"/>
        </w:rPr>
        <w:t xml:space="preserve"> Psychol</w:t>
      </w:r>
      <w:r w:rsidRPr="005735B0">
        <w:rPr>
          <w:rFonts w:asciiTheme="majorHAnsi" w:eastAsiaTheme="minorHAnsi" w:hAnsiTheme="majorHAnsi" w:cs="AdvP46190F"/>
          <w:sz w:val="25"/>
          <w:szCs w:val="25"/>
        </w:rPr>
        <w:t>. 2010</w:t>
      </w:r>
      <w:proofErr w:type="gramStart"/>
      <w:r w:rsidRPr="005735B0">
        <w:rPr>
          <w:rFonts w:asciiTheme="majorHAnsi" w:eastAsiaTheme="minorHAnsi" w:hAnsiTheme="majorHAnsi" w:cs="AdvP46190F"/>
          <w:sz w:val="25"/>
          <w:szCs w:val="25"/>
        </w:rPr>
        <w:t>;20:215</w:t>
      </w:r>
      <w:proofErr w:type="gramEnd"/>
      <w:r>
        <w:rPr>
          <w:rFonts w:asciiTheme="majorHAnsi" w:eastAsiaTheme="minorHAnsi" w:hAnsiTheme="majorHAnsi" w:cs="AdvP0005"/>
          <w:sz w:val="25"/>
          <w:szCs w:val="25"/>
        </w:rPr>
        <w:t>-</w:t>
      </w:r>
      <w:r w:rsidRPr="005735B0">
        <w:rPr>
          <w:rFonts w:asciiTheme="majorHAnsi" w:eastAsiaTheme="minorHAnsi" w:hAnsiTheme="majorHAnsi" w:cs="AdvP46190F"/>
          <w:sz w:val="25"/>
          <w:szCs w:val="25"/>
        </w:rPr>
        <w:t>220.</w:t>
      </w:r>
    </w:p>
    <w:p w:rsidR="006F4679" w:rsidRPr="0005513C" w:rsidRDefault="006F4679" w:rsidP="0050126A">
      <w:pPr>
        <w:spacing w:line="480" w:lineRule="auto"/>
        <w:rPr>
          <w:rFonts w:ascii="Cambria" w:hAnsi="Cambria"/>
        </w:rPr>
      </w:pPr>
    </w:p>
    <w:p w:rsidR="0050126A" w:rsidRPr="005904DE" w:rsidRDefault="0050126A" w:rsidP="0050126A">
      <w:pPr>
        <w:spacing w:line="480" w:lineRule="auto"/>
        <w:outlineLvl w:val="0"/>
        <w:rPr>
          <w:rFonts w:ascii="Calibri" w:hAnsi="Calibri"/>
          <w:b/>
          <w:caps/>
        </w:rPr>
      </w:pPr>
      <w:r>
        <w:rPr>
          <w:rFonts w:ascii="Cambria" w:hAnsi="Cambria"/>
        </w:rPr>
        <w:br w:type="page"/>
      </w:r>
      <w:r w:rsidRPr="005904DE">
        <w:rPr>
          <w:rFonts w:ascii="Calibri" w:hAnsi="Calibri"/>
          <w:b/>
          <w:caps/>
        </w:rPr>
        <w:lastRenderedPageBreak/>
        <w:t>Supplementary Figure 1</w:t>
      </w:r>
    </w:p>
    <w:p w:rsidR="0050126A" w:rsidRPr="004E1858" w:rsidRDefault="0050126A" w:rsidP="0050126A">
      <w:pPr>
        <w:spacing w:line="480" w:lineRule="auto"/>
        <w:outlineLvl w:val="0"/>
        <w:rPr>
          <w:rFonts w:ascii="Calibri" w:hAnsi="Calibri"/>
        </w:rPr>
      </w:pPr>
      <w:r w:rsidRPr="004E1858">
        <w:rPr>
          <w:rFonts w:ascii="Calibri" w:hAnsi="Calibri"/>
        </w:rPr>
        <w:t>Profile plots of ANOVAs for sex differences and disease severity</w:t>
      </w:r>
    </w:p>
    <w:p w:rsidR="0050126A" w:rsidRPr="0005513C" w:rsidRDefault="0050126A" w:rsidP="0050126A">
      <w:pPr>
        <w:rPr>
          <w:rFonts w:ascii="Cambria" w:hAnsi="Cambria"/>
        </w:rPr>
      </w:pPr>
    </w:p>
    <w:p w:rsidR="0050126A" w:rsidRDefault="0050126A" w:rsidP="0050126A">
      <w:r>
        <w:rPr>
          <w:rFonts w:ascii="Cambria" w:hAnsi="Cambria"/>
          <w:noProof/>
        </w:rPr>
        <w:drawing>
          <wp:inline distT="0" distB="0" distL="0" distR="0">
            <wp:extent cx="5760720" cy="7589520"/>
            <wp:effectExtent l="19050" t="0" r="0" b="0"/>
            <wp:docPr id="1" name="Bild 1" descr="Figure2ProfilePlotsANOV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igure2ProfilePlotsANOVA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6A" w:rsidRPr="005904DE" w:rsidRDefault="0050126A" w:rsidP="0050126A">
      <w:pPr>
        <w:spacing w:line="480" w:lineRule="auto"/>
        <w:outlineLvl w:val="0"/>
        <w:rPr>
          <w:rFonts w:ascii="Calibri" w:hAnsi="Calibri"/>
          <w:b/>
          <w:caps/>
        </w:rPr>
      </w:pPr>
      <w:r>
        <w:br w:type="page"/>
      </w:r>
      <w:r w:rsidRPr="005904DE">
        <w:rPr>
          <w:rFonts w:ascii="Calibri" w:hAnsi="Calibri"/>
          <w:b/>
          <w:caps/>
        </w:rPr>
        <w:lastRenderedPageBreak/>
        <w:t xml:space="preserve">Supplementary Table </w:t>
      </w:r>
      <w:r>
        <w:rPr>
          <w:rFonts w:ascii="Calibri" w:hAnsi="Calibri"/>
          <w:b/>
          <w:caps/>
        </w:rPr>
        <w:t>1</w:t>
      </w:r>
    </w:p>
    <w:p w:rsidR="0050126A" w:rsidRPr="00FB437B" w:rsidRDefault="0050126A" w:rsidP="0050126A">
      <w:pPr>
        <w:spacing w:line="480" w:lineRule="auto"/>
        <w:outlineLvl w:val="0"/>
        <w:rPr>
          <w:rFonts w:ascii="Calibri" w:hAnsi="Calibri"/>
        </w:rPr>
      </w:pPr>
      <w:r w:rsidRPr="00FB437B">
        <w:rPr>
          <w:rFonts w:ascii="Calibri" w:hAnsi="Calibri"/>
        </w:rPr>
        <w:t>Results of the Principal Component Analysis</w:t>
      </w:r>
    </w:p>
    <w:p w:rsidR="0050126A" w:rsidRPr="00FB437B" w:rsidRDefault="0050126A" w:rsidP="0050126A">
      <w:pPr>
        <w:rPr>
          <w:rFonts w:ascii="Calibri" w:hAnsi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94"/>
        <w:gridCol w:w="809"/>
        <w:gridCol w:w="809"/>
        <w:gridCol w:w="812"/>
        <w:gridCol w:w="812"/>
      </w:tblGrid>
      <w:tr w:rsidR="0050126A" w:rsidRPr="00FB437B" w:rsidTr="00B84503">
        <w:trPr>
          <w:cantSplit/>
        </w:trPr>
        <w:tc>
          <w:tcPr>
            <w:tcW w:w="0" w:type="auto"/>
            <w:gridSpan w:val="5"/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b/>
                <w:bCs/>
                <w:color w:val="000000"/>
                <w:szCs w:val="18"/>
                <w:vertAlign w:val="superscript"/>
              </w:rPr>
            </w:pPr>
            <w:r w:rsidRPr="00FB437B">
              <w:rPr>
                <w:rFonts w:ascii="Calibri" w:eastAsia="Arial" w:hAnsi="Calibri" w:cs="Arial"/>
                <w:b/>
                <w:bCs/>
                <w:color w:val="000000"/>
                <w:szCs w:val="18"/>
              </w:rPr>
              <w:t xml:space="preserve">Rotated Component </w:t>
            </w:r>
            <w:proofErr w:type="spellStart"/>
            <w:r w:rsidRPr="00FB437B">
              <w:rPr>
                <w:rFonts w:ascii="Calibri" w:eastAsia="Arial" w:hAnsi="Calibri" w:cs="Arial"/>
                <w:b/>
                <w:bCs/>
                <w:color w:val="000000"/>
                <w:szCs w:val="18"/>
              </w:rPr>
              <w:t>Matrix</w:t>
            </w:r>
            <w:r w:rsidRPr="00FB437B">
              <w:rPr>
                <w:rFonts w:ascii="Calibri" w:eastAsia="Arial" w:hAnsi="Calibri" w:cs="Arial"/>
                <w:b/>
                <w:bCs/>
                <w:color w:val="000000"/>
                <w:szCs w:val="18"/>
                <w:vertAlign w:val="superscript"/>
              </w:rPr>
              <w:t>a</w:t>
            </w:r>
            <w:proofErr w:type="spellEnd"/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proofErr w:type="spellStart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Eigenvalues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Factor loadings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rPr>
                <w:rFonts w:ascii="Calibri" w:eastAsia="Arial" w:hAnsi="Calibri" w:cs="Arial"/>
                <w:color w:val="000000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Component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Component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rPr>
                <w:rFonts w:ascii="Calibri" w:eastAsia="Arial" w:hAnsi="Calibri" w:cs="Arial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proofErr w:type="spellStart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Aggressivity</w:t>
            </w:r>
            <w:proofErr w:type="spellEnd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 xml:space="preserve"> Index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15.433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4.557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0.266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Hostility Index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0.744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16.566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0.044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0.969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Waist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10.338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-5.120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0.738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-0.366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BMI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2.683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-0.315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0.449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-0.053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TG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-0.115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0.345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-0.135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0.406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HDL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-0.077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0.037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-0.625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0.297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LDL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-0.399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-0.159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TCH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0.044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-0.156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0.036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-0.129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proofErr w:type="spellStart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Microalbuminuria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-0.103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0.159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-0.207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0.317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SBP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-0.223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1.576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-0.016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0.113</w:t>
            </w:r>
          </w:p>
        </w:tc>
      </w:tr>
      <w:tr w:rsidR="0050126A" w:rsidRPr="00FB437B" w:rsidTr="00B84503">
        <w:trPr>
          <w:cantSplit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DBP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2.051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-0.515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0.283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126A" w:rsidRPr="00FB437B" w:rsidRDefault="0050126A" w:rsidP="00B84503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-0.071</w:t>
            </w:r>
          </w:p>
        </w:tc>
      </w:tr>
    </w:tbl>
    <w:p w:rsidR="0050126A" w:rsidRPr="00FB437B" w:rsidRDefault="0050126A" w:rsidP="0050126A">
      <w:pPr>
        <w:rPr>
          <w:rFonts w:ascii="Calibri" w:hAnsi="Calibri"/>
        </w:rPr>
      </w:pPr>
      <w:r w:rsidRPr="00FB437B">
        <w:rPr>
          <w:rFonts w:ascii="Calibri" w:hAnsi="Calibri"/>
          <w:i/>
        </w:rPr>
        <w:t>Note:</w:t>
      </w:r>
      <w:r w:rsidRPr="00FB437B">
        <w:rPr>
          <w:rFonts w:ascii="Calibri" w:hAnsi="Calibri"/>
        </w:rPr>
        <w:t xml:space="preserve"> </w:t>
      </w:r>
      <w:r w:rsidRPr="00FB437B">
        <w:rPr>
          <w:rFonts w:ascii="Calibri" w:hAnsi="Calibri"/>
        </w:rPr>
        <w:sym w:font="Symbol" w:char="F0BE"/>
      </w:r>
      <w:proofErr w:type="spellStart"/>
      <w:r w:rsidRPr="00FB437B">
        <w:rPr>
          <w:rFonts w:ascii="Calibri" w:hAnsi="Calibri"/>
          <w:vertAlign w:val="superscript"/>
        </w:rPr>
        <w:t>a</w:t>
      </w:r>
      <w:r w:rsidRPr="00FB437B">
        <w:rPr>
          <w:rFonts w:ascii="Calibri" w:hAnsi="Calibri"/>
        </w:rPr>
        <w:t>PCA</w:t>
      </w:r>
      <w:proofErr w:type="spellEnd"/>
      <w:r w:rsidRPr="00FB437B">
        <w:rPr>
          <w:rFonts w:ascii="Calibri" w:hAnsi="Calibri"/>
        </w:rPr>
        <w:t xml:space="preserve"> with </w:t>
      </w:r>
      <w:proofErr w:type="spellStart"/>
      <w:r w:rsidRPr="00FB437B">
        <w:rPr>
          <w:rFonts w:ascii="Calibri" w:hAnsi="Calibri"/>
        </w:rPr>
        <w:t>varimax</w:t>
      </w:r>
      <w:proofErr w:type="spellEnd"/>
      <w:r w:rsidRPr="00FB437B">
        <w:rPr>
          <w:rFonts w:ascii="Calibri" w:hAnsi="Calibri"/>
        </w:rPr>
        <w:t xml:space="preserve"> rotation, three iterations.</w:t>
      </w:r>
    </w:p>
    <w:p w:rsidR="0050126A" w:rsidRDefault="0050126A" w:rsidP="0050126A">
      <w:pPr>
        <w:rPr>
          <w:rFonts w:ascii="Cambria" w:hAnsi="Cambria"/>
        </w:rPr>
      </w:pP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</w:p>
    <w:p w:rsidR="0050126A" w:rsidRPr="005735B0" w:rsidRDefault="0050126A" w:rsidP="0050126A">
      <w:pPr>
        <w:rPr>
          <w:rFonts w:asciiTheme="majorHAnsi" w:hAnsiTheme="majorHAnsi"/>
          <w:sz w:val="25"/>
          <w:szCs w:val="25"/>
        </w:rPr>
      </w:pPr>
    </w:p>
    <w:p w:rsidR="0050126A" w:rsidRPr="0005513C" w:rsidRDefault="0050126A" w:rsidP="0050126A">
      <w:pPr>
        <w:rPr>
          <w:rFonts w:ascii="Cambria" w:hAnsi="Cambria"/>
        </w:rPr>
      </w:pPr>
    </w:p>
    <w:p w:rsidR="00F322DC" w:rsidRDefault="00F322DC"/>
    <w:sectPr w:rsidR="00F322DC" w:rsidSect="0097019B">
      <w:pgSz w:w="11904" w:h="16834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619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PED1286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P4091D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000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ECF96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EFB"/>
    <w:multiLevelType w:val="hybridMultilevel"/>
    <w:tmpl w:val="B17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51C"/>
    <w:multiLevelType w:val="hybridMultilevel"/>
    <w:tmpl w:val="5A0AC2A8"/>
    <w:lvl w:ilvl="0" w:tplc="D368C58E">
      <w:start w:val="1"/>
      <w:numFmt w:val="decimal"/>
      <w:lvlText w:val="%1."/>
      <w:lvlJc w:val="left"/>
      <w:pPr>
        <w:ind w:left="720" w:hanging="360"/>
      </w:pPr>
      <w:rPr>
        <w:rFonts w:ascii="AdvP46190F" w:hAnsi="AdvP46190F" w:cs="AdvP46190F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EDB"/>
    <w:multiLevelType w:val="hybridMultilevel"/>
    <w:tmpl w:val="5A0AC2A8"/>
    <w:lvl w:ilvl="0" w:tplc="D368C58E">
      <w:start w:val="1"/>
      <w:numFmt w:val="decimal"/>
      <w:lvlText w:val="%1."/>
      <w:lvlJc w:val="left"/>
      <w:pPr>
        <w:ind w:left="720" w:hanging="360"/>
      </w:pPr>
      <w:rPr>
        <w:rFonts w:ascii="AdvP46190F" w:hAnsi="AdvP46190F" w:cs="AdvP46190F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126A"/>
    <w:rsid w:val="003A6CDA"/>
    <w:rsid w:val="0050126A"/>
    <w:rsid w:val="005735B0"/>
    <w:rsid w:val="00651874"/>
    <w:rsid w:val="006F4679"/>
    <w:rsid w:val="009F66F6"/>
    <w:rsid w:val="00EB0D20"/>
    <w:rsid w:val="00F3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6A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1276</Words>
  <Characters>7275</Characters>
  <Application>Microsoft Office Word</Application>
  <DocSecurity>0</DocSecurity>
  <Lines>60</Lines>
  <Paragraphs>17</Paragraphs>
  <ScaleCrop>false</ScaleCrop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kfelizardo</dc:creator>
  <cp:lastModifiedBy>kfelizardo</cp:lastModifiedBy>
  <cp:revision>3</cp:revision>
  <dcterms:created xsi:type="dcterms:W3CDTF">2015-02-16T20:48:00Z</dcterms:created>
  <dcterms:modified xsi:type="dcterms:W3CDTF">2015-04-14T18:24:00Z</dcterms:modified>
</cp:coreProperties>
</file>