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D5" w:rsidRDefault="00D97921" w:rsidP="00D979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Appendix 2: </w:t>
      </w:r>
      <w:r w:rsidR="007E61E5">
        <w:rPr>
          <w:rFonts w:ascii="Times New Roman" w:hAnsi="Times New Roman" w:cs="Times New Roman"/>
          <w:sz w:val="24"/>
          <w:szCs w:val="24"/>
        </w:rPr>
        <w:t>Significant Drug-Drug Interactions</w:t>
      </w:r>
    </w:p>
    <w:p w:rsidR="00D97921" w:rsidRPr="00B861A9" w:rsidRDefault="00D97921" w:rsidP="00D979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FB" w:rsidRPr="00B861A9" w:rsidRDefault="002C0EFB" w:rsidP="00D97921">
      <w:pPr>
        <w:pStyle w:val="ListParagraph"/>
        <w:numPr>
          <w:ilvl w:val="1"/>
          <w:numId w:val="1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Agents</w:t>
      </w:r>
      <w:r w:rsidR="005F4512">
        <w:rPr>
          <w:rFonts w:ascii="Times New Roman" w:hAnsi="Times New Roman" w:cs="Times New Roman"/>
          <w:sz w:val="24"/>
          <w:szCs w:val="24"/>
        </w:rPr>
        <w:t xml:space="preserve"> independently</w:t>
      </w:r>
      <w:r w:rsidRPr="00B861A9">
        <w:rPr>
          <w:rFonts w:ascii="Times New Roman" w:hAnsi="Times New Roman" w:cs="Times New Roman"/>
          <w:sz w:val="24"/>
          <w:szCs w:val="24"/>
        </w:rPr>
        <w:t xml:space="preserve"> associated with EPS</w:t>
      </w:r>
      <w:r w:rsidR="00C05CDF">
        <w:rPr>
          <w:rFonts w:ascii="Times New Roman" w:hAnsi="Times New Roman" w:cs="Times New Roman"/>
          <w:sz w:val="24"/>
          <w:szCs w:val="24"/>
        </w:rPr>
        <w:t xml:space="preserve"> or OMD</w:t>
      </w:r>
    </w:p>
    <w:p w:rsidR="006F4949" w:rsidRPr="00B861A9" w:rsidRDefault="006F4949" w:rsidP="00D97921">
      <w:pPr>
        <w:pStyle w:val="ListParagraph"/>
        <w:numPr>
          <w:ilvl w:val="2"/>
          <w:numId w:val="1"/>
        </w:num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Bupropion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Chlorpromazine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Meclizine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Meperidine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Methyldopa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Metoclopramide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Perphenazine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Prochlorperazine</w:t>
      </w:r>
    </w:p>
    <w:p w:rsidR="006F4949" w:rsidRPr="00B861A9" w:rsidRDefault="006F4949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Promethazine</w:t>
      </w:r>
    </w:p>
    <w:p w:rsidR="002C0EFB" w:rsidRPr="00B861A9" w:rsidRDefault="002C0EFB" w:rsidP="00B861A9">
      <w:pPr>
        <w:pStyle w:val="ListParagraph"/>
        <w:numPr>
          <w:ilvl w:val="1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 xml:space="preserve">Agents that could interact with </w:t>
      </w:r>
      <w:r w:rsidR="00DB5C78">
        <w:rPr>
          <w:rFonts w:ascii="Times New Roman" w:hAnsi="Times New Roman" w:cs="Times New Roman"/>
          <w:sz w:val="24"/>
          <w:szCs w:val="24"/>
        </w:rPr>
        <w:t>DRBAs</w:t>
      </w:r>
      <w:r w:rsidR="00D1692B" w:rsidRPr="00B861A9">
        <w:rPr>
          <w:rFonts w:ascii="Times New Roman" w:hAnsi="Times New Roman" w:cs="Times New Roman"/>
          <w:sz w:val="24"/>
          <w:szCs w:val="24"/>
        </w:rPr>
        <w:t xml:space="preserve"> </w:t>
      </w:r>
      <w:r w:rsidR="005F4512">
        <w:rPr>
          <w:rFonts w:ascii="Times New Roman" w:hAnsi="Times New Roman" w:cs="Times New Roman"/>
          <w:sz w:val="24"/>
          <w:szCs w:val="24"/>
        </w:rPr>
        <w:t xml:space="preserve">via CYP450 </w:t>
      </w:r>
      <w:r w:rsidR="00D1692B" w:rsidRPr="00B861A9">
        <w:rPr>
          <w:rFonts w:ascii="Times New Roman" w:hAnsi="Times New Roman" w:cs="Times New Roman"/>
          <w:sz w:val="24"/>
          <w:szCs w:val="24"/>
        </w:rPr>
        <w:t>(moderate-strong inducers/inhibitors)</w:t>
      </w:r>
    </w:p>
    <w:p w:rsidR="00032F38" w:rsidRPr="00B861A9" w:rsidRDefault="00032F3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CYP</w:t>
      </w:r>
      <w:r w:rsidR="005C72C5">
        <w:rPr>
          <w:rFonts w:ascii="Times New Roman" w:hAnsi="Times New Roman" w:cs="Times New Roman"/>
          <w:sz w:val="24"/>
          <w:szCs w:val="24"/>
        </w:rPr>
        <w:t xml:space="preserve">450 </w:t>
      </w:r>
      <w:r w:rsidRPr="00B861A9">
        <w:rPr>
          <w:rFonts w:ascii="Times New Roman" w:hAnsi="Times New Roman" w:cs="Times New Roman"/>
          <w:sz w:val="24"/>
          <w:szCs w:val="24"/>
        </w:rPr>
        <w:t>1A2 inducers</w:t>
      </w:r>
    </w:p>
    <w:p w:rsidR="00032F38" w:rsidRPr="00B861A9" w:rsidRDefault="00032F3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Phenytoin</w:t>
      </w:r>
    </w:p>
    <w:p w:rsidR="00032F38" w:rsidRPr="00B861A9" w:rsidRDefault="00032F3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Rifampin</w:t>
      </w:r>
    </w:p>
    <w:p w:rsidR="00032F38" w:rsidRPr="00B861A9" w:rsidRDefault="00032F3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Ritonavir</w:t>
      </w:r>
    </w:p>
    <w:p w:rsidR="00032F38" w:rsidRPr="00B861A9" w:rsidRDefault="00032F3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Smoking</w:t>
      </w:r>
    </w:p>
    <w:p w:rsidR="00032F38" w:rsidRPr="00B861A9" w:rsidRDefault="00032F3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Teriflunomide</w:t>
      </w:r>
    </w:p>
    <w:p w:rsidR="002C0EFB" w:rsidRPr="00B861A9" w:rsidRDefault="002C0EFB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CYP</w:t>
      </w:r>
      <w:r w:rsidR="005C72C5">
        <w:rPr>
          <w:rFonts w:ascii="Times New Roman" w:hAnsi="Times New Roman" w:cs="Times New Roman"/>
          <w:sz w:val="24"/>
          <w:szCs w:val="24"/>
        </w:rPr>
        <w:t xml:space="preserve">450 </w:t>
      </w:r>
      <w:r w:rsidRPr="00B861A9">
        <w:rPr>
          <w:rFonts w:ascii="Times New Roman" w:hAnsi="Times New Roman" w:cs="Times New Roman"/>
          <w:sz w:val="24"/>
          <w:szCs w:val="24"/>
        </w:rPr>
        <w:t>1A2 inhibitors</w:t>
      </w:r>
    </w:p>
    <w:p w:rsidR="00F42641" w:rsidRPr="00B861A9" w:rsidRDefault="00F4264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Ciprofloxacin</w:t>
      </w:r>
    </w:p>
    <w:p w:rsidR="00DA4A51" w:rsidRPr="00B861A9" w:rsidRDefault="00DA4A5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Enoxacin</w:t>
      </w:r>
    </w:p>
    <w:p w:rsidR="00F42641" w:rsidRPr="00B861A9" w:rsidRDefault="00F4264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D4645" w:rsidRPr="00B861A9">
        <w:rPr>
          <w:rFonts w:ascii="Times New Roman" w:hAnsi="Times New Roman" w:cs="Times New Roman"/>
          <w:sz w:val="24"/>
          <w:szCs w:val="24"/>
        </w:rPr>
        <w:t>thinyl e</w:t>
      </w:r>
      <w:r w:rsidRPr="00B861A9">
        <w:rPr>
          <w:rFonts w:ascii="Times New Roman" w:hAnsi="Times New Roman" w:cs="Times New Roman"/>
          <w:sz w:val="24"/>
          <w:szCs w:val="24"/>
        </w:rPr>
        <w:t>stradiol</w:t>
      </w:r>
    </w:p>
    <w:p w:rsidR="00F42641" w:rsidRPr="00B861A9" w:rsidRDefault="00F4264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Fluvoxamine</w:t>
      </w:r>
    </w:p>
    <w:p w:rsidR="00624399" w:rsidRPr="00B861A9" w:rsidRDefault="00624399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Methoxsalen</w:t>
      </w:r>
    </w:p>
    <w:p w:rsidR="00624399" w:rsidRPr="00B861A9" w:rsidRDefault="00624399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Mexiletine</w:t>
      </w:r>
    </w:p>
    <w:p w:rsidR="00F42641" w:rsidRPr="00B861A9" w:rsidRDefault="00F4264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Oral contraceptives</w:t>
      </w:r>
    </w:p>
    <w:p w:rsidR="00DA4A51" w:rsidRPr="00B861A9" w:rsidRDefault="00DA4A5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Zafirlukast</w:t>
      </w:r>
    </w:p>
    <w:p w:rsidR="00DA4A51" w:rsidRPr="00B861A9" w:rsidRDefault="00086E02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Zileuton</w:t>
      </w:r>
    </w:p>
    <w:p w:rsidR="002C0EFB" w:rsidRPr="00B861A9" w:rsidRDefault="002C0EFB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</w:t>
      </w:r>
      <w:r w:rsidR="004E2E96" w:rsidRPr="00B861A9">
        <w:rPr>
          <w:rFonts w:ascii="Times New Roman" w:hAnsi="Times New Roman" w:cs="Times New Roman"/>
          <w:sz w:val="24"/>
          <w:szCs w:val="24"/>
        </w:rPr>
        <w:t>YP</w:t>
      </w:r>
      <w:r w:rsidR="005C72C5">
        <w:rPr>
          <w:rFonts w:ascii="Times New Roman" w:hAnsi="Times New Roman" w:cs="Times New Roman"/>
          <w:sz w:val="24"/>
          <w:szCs w:val="24"/>
        </w:rPr>
        <w:t xml:space="preserve">450 </w:t>
      </w:r>
      <w:r w:rsidR="004E2E96" w:rsidRPr="00B861A9">
        <w:rPr>
          <w:rFonts w:ascii="Times New Roman" w:hAnsi="Times New Roman" w:cs="Times New Roman"/>
          <w:sz w:val="24"/>
          <w:szCs w:val="24"/>
        </w:rPr>
        <w:t xml:space="preserve">2D6 </w:t>
      </w:r>
      <w:r w:rsidRPr="00B861A9">
        <w:rPr>
          <w:rFonts w:ascii="Times New Roman" w:hAnsi="Times New Roman" w:cs="Times New Roman"/>
          <w:sz w:val="24"/>
          <w:szCs w:val="24"/>
        </w:rPr>
        <w:t>inhibitors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Bupropion</w:t>
      </w:r>
    </w:p>
    <w:p w:rsidR="00CC0279" w:rsidRPr="00B861A9" w:rsidRDefault="00E10F0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Cimetidine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Cinacalcet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Darifenacin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Dronedarone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Duloxetine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Fluoxetine</w:t>
      </w:r>
    </w:p>
    <w:p w:rsidR="00C33634" w:rsidRPr="00B861A9" w:rsidRDefault="00AF52AF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Fluvoxamine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Mirabegron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Paroxetine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Quinidine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Sertraline</w:t>
      </w:r>
    </w:p>
    <w:p w:rsidR="004E2E96" w:rsidRPr="00B861A9" w:rsidRDefault="004E2E96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Terbinafine</w:t>
      </w:r>
    </w:p>
    <w:p w:rsidR="0061169B" w:rsidRPr="00B861A9" w:rsidRDefault="0061169B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CYP</w:t>
      </w:r>
      <w:r w:rsidR="005C72C5">
        <w:rPr>
          <w:rFonts w:ascii="Times New Roman" w:hAnsi="Times New Roman" w:cs="Times New Roman"/>
          <w:sz w:val="24"/>
          <w:szCs w:val="24"/>
        </w:rPr>
        <w:t xml:space="preserve">450 </w:t>
      </w:r>
      <w:r w:rsidRPr="00B861A9">
        <w:rPr>
          <w:rFonts w:ascii="Times New Roman" w:hAnsi="Times New Roman" w:cs="Times New Roman"/>
          <w:sz w:val="24"/>
          <w:szCs w:val="24"/>
        </w:rPr>
        <w:t>3A4 inducers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Carbamazepine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lastRenderedPageBreak/>
        <w:t>Enzalutamide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Mitotane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Phenytoin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Rifampin</w:t>
      </w:r>
    </w:p>
    <w:p w:rsidR="0061169B" w:rsidRPr="00B861A9" w:rsidRDefault="0061169B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St. John’</w:t>
      </w:r>
      <w:r w:rsidR="00867940" w:rsidRPr="00B861A9">
        <w:rPr>
          <w:rFonts w:ascii="Times New Roman" w:hAnsi="Times New Roman" w:cs="Times New Roman"/>
          <w:sz w:val="24"/>
          <w:szCs w:val="24"/>
        </w:rPr>
        <w:t>s wort</w:t>
      </w:r>
    </w:p>
    <w:p w:rsidR="002C0EFB" w:rsidRPr="00B861A9" w:rsidRDefault="004E2E96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CYP</w:t>
      </w:r>
      <w:r w:rsidR="005C72C5">
        <w:rPr>
          <w:rFonts w:ascii="Times New Roman" w:hAnsi="Times New Roman" w:cs="Times New Roman"/>
          <w:sz w:val="24"/>
          <w:szCs w:val="24"/>
        </w:rPr>
        <w:t xml:space="preserve">450 </w:t>
      </w:r>
      <w:r w:rsidRPr="00B861A9">
        <w:rPr>
          <w:rFonts w:ascii="Times New Roman" w:hAnsi="Times New Roman" w:cs="Times New Roman"/>
          <w:sz w:val="24"/>
          <w:szCs w:val="24"/>
        </w:rPr>
        <w:t xml:space="preserve">3A4 </w:t>
      </w:r>
      <w:r w:rsidR="00D1692B" w:rsidRPr="00B861A9">
        <w:rPr>
          <w:rFonts w:ascii="Times New Roman" w:hAnsi="Times New Roman" w:cs="Times New Roman"/>
          <w:sz w:val="24"/>
          <w:szCs w:val="24"/>
        </w:rPr>
        <w:t>inhibitors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Aprepitant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Atazanavir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Boceprevir</w:t>
      </w:r>
    </w:p>
    <w:p w:rsidR="00A30722" w:rsidRPr="00B861A9" w:rsidRDefault="00A30722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Cimetidine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Ciprofloxacin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Clarithromycin</w:t>
      </w:r>
    </w:p>
    <w:p w:rsidR="009051C5" w:rsidRPr="00B861A9" w:rsidRDefault="009051C5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Clotrimazole</w:t>
      </w:r>
    </w:p>
    <w:p w:rsidR="00AF52AF" w:rsidRPr="00B861A9" w:rsidRDefault="00AF52AF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Cobicistat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Conivaptan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Crizotinib</w:t>
      </w:r>
    </w:p>
    <w:p w:rsidR="00FD5DC1" w:rsidRPr="00B861A9" w:rsidRDefault="00FD5DC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Cyclosporine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Diltiazem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Dronedarone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Erythromycin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Fluconazole</w:t>
      </w:r>
    </w:p>
    <w:p w:rsidR="005536E2" w:rsidRPr="00B861A9" w:rsidRDefault="005536E2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Fluvoxamine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Fosemprenavir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lastRenderedPageBreak/>
        <w:t>Grapefruit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Holkira Pak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Indinavir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Imatinib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Itraconazole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Ketoconazole</w:t>
      </w:r>
    </w:p>
    <w:p w:rsidR="00284D91" w:rsidRPr="00B861A9" w:rsidRDefault="00284D91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Idelalisib</w:t>
      </w:r>
    </w:p>
    <w:p w:rsidR="00284D91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Nefazodone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Nelfinavir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Netupitant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Posaconazole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Ritonavir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Technivie</w:t>
      </w:r>
    </w:p>
    <w:p w:rsidR="00AF52AF" w:rsidRPr="00B861A9" w:rsidRDefault="00AF52AF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Telaprevir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Telithromycin</w:t>
      </w:r>
    </w:p>
    <w:p w:rsidR="005536E2" w:rsidRPr="00B861A9" w:rsidRDefault="005536E2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Tofisopam</w:t>
      </w:r>
    </w:p>
    <w:p w:rsidR="00A376AF" w:rsidRPr="00B861A9" w:rsidRDefault="00A376AF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Troleandomycin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Verapamil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Veikira Pak</w:t>
      </w:r>
    </w:p>
    <w:p w:rsidR="006B4260" w:rsidRPr="00B861A9" w:rsidRDefault="006B4260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Voriconazole</w:t>
      </w:r>
    </w:p>
    <w:p w:rsidR="006E46D8" w:rsidRPr="00B861A9" w:rsidRDefault="006E46D8" w:rsidP="00B861A9">
      <w:pPr>
        <w:pStyle w:val="ListParagraph"/>
        <w:numPr>
          <w:ilvl w:val="1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 xml:space="preserve">Agents that could ameliorate/mask EPS </w:t>
      </w:r>
      <w:r w:rsidR="00DB5C78">
        <w:rPr>
          <w:rFonts w:ascii="Times New Roman" w:hAnsi="Times New Roman" w:cs="Times New Roman"/>
          <w:sz w:val="24"/>
          <w:szCs w:val="24"/>
        </w:rPr>
        <w:t xml:space="preserve">or OMD </w:t>
      </w:r>
      <w:r w:rsidRPr="00B861A9">
        <w:rPr>
          <w:rFonts w:ascii="Times New Roman" w:hAnsi="Times New Roman" w:cs="Times New Roman"/>
          <w:sz w:val="24"/>
          <w:szCs w:val="24"/>
        </w:rPr>
        <w:t>symptoms</w:t>
      </w:r>
    </w:p>
    <w:p w:rsidR="006E46D8" w:rsidRPr="00B861A9" w:rsidRDefault="006E46D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Propranolol</w:t>
      </w:r>
    </w:p>
    <w:p w:rsidR="006E46D8" w:rsidRPr="00B861A9" w:rsidRDefault="006E46D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Amantadine</w:t>
      </w:r>
    </w:p>
    <w:p w:rsidR="006E46D8" w:rsidRPr="00B861A9" w:rsidRDefault="006E46D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lastRenderedPageBreak/>
        <w:t>Anticholinergics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Diphenhydramine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Benzotropine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Trihexyphenidyl</w:t>
      </w:r>
    </w:p>
    <w:p w:rsidR="006E46D8" w:rsidRPr="00B861A9" w:rsidRDefault="006E46D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Benzodiazepines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Lorazapam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Alprazolam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Clonazepam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Diazepam</w:t>
      </w:r>
    </w:p>
    <w:p w:rsidR="006E46D8" w:rsidRPr="00B861A9" w:rsidRDefault="006E46D8" w:rsidP="00B861A9">
      <w:pPr>
        <w:pStyle w:val="ListParagraph"/>
        <w:numPr>
          <w:ilvl w:val="2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VMAT2 inhibitors</w:t>
      </w:r>
    </w:p>
    <w:p w:rsidR="006E46D8" w:rsidRPr="00B861A9" w:rsidRDefault="006E46D8" w:rsidP="00B861A9">
      <w:pPr>
        <w:pStyle w:val="ListParagraph"/>
        <w:numPr>
          <w:ilvl w:val="3"/>
          <w:numId w:val="1"/>
        </w:numPr>
        <w:spacing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Valbenazine</w:t>
      </w:r>
    </w:p>
    <w:p w:rsidR="006E46D8" w:rsidRPr="00B861A9" w:rsidRDefault="006E46D8" w:rsidP="00D97921">
      <w:pPr>
        <w:pStyle w:val="ListParagraph"/>
        <w:numPr>
          <w:ilvl w:val="3"/>
          <w:numId w:val="1"/>
        </w:numPr>
        <w:spacing w:after="0"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Tetrabenazine</w:t>
      </w:r>
    </w:p>
    <w:p w:rsidR="006E46D8" w:rsidRPr="00B861A9" w:rsidRDefault="006E46D8" w:rsidP="00D97921">
      <w:pPr>
        <w:pStyle w:val="ListParagraph"/>
        <w:numPr>
          <w:ilvl w:val="3"/>
          <w:numId w:val="1"/>
        </w:numPr>
        <w:spacing w:after="0" w:line="48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Deutetrabenazine</w:t>
      </w:r>
    </w:p>
    <w:p w:rsidR="008C4386" w:rsidRDefault="008C4386" w:rsidP="00D979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28" w:rsidRDefault="00D65728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28" w:rsidRDefault="00D65728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28" w:rsidRDefault="00D65728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28" w:rsidRDefault="00D65728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28" w:rsidRDefault="00D65728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386" w:rsidRPr="00B861A9" w:rsidRDefault="00C05CDF" w:rsidP="002E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Legend:</w:t>
      </w:r>
      <w:r w:rsidR="005C72C5">
        <w:rPr>
          <w:rFonts w:ascii="Times New Roman" w:hAnsi="Times New Roman" w:cs="Times New Roman"/>
          <w:sz w:val="24"/>
          <w:szCs w:val="24"/>
        </w:rPr>
        <w:t xml:space="preserve"> This list includes only agents that are classified as moderate or strong CYP450 inhibitors or inducers. Moderate is defined as</w:t>
      </w:r>
      <w:r w:rsidR="008C4386" w:rsidRPr="00B861A9">
        <w:rPr>
          <w:rFonts w:ascii="Times New Roman" w:hAnsi="Times New Roman" w:cs="Times New Roman"/>
          <w:sz w:val="24"/>
          <w:szCs w:val="24"/>
        </w:rPr>
        <w:t xml:space="preserve"> ≥ 2 to &lt; 5-fold increase in exposure, or 50% to 80% decrease in clearance of substrate</w:t>
      </w:r>
      <w:r w:rsidR="005C72C5">
        <w:rPr>
          <w:rFonts w:ascii="Times New Roman" w:hAnsi="Times New Roman" w:cs="Times New Roman"/>
          <w:sz w:val="24"/>
          <w:szCs w:val="24"/>
        </w:rPr>
        <w:t>. Strong is defined as</w:t>
      </w:r>
      <w:r w:rsidR="008C4386" w:rsidRPr="00B861A9">
        <w:rPr>
          <w:rFonts w:ascii="Times New Roman" w:hAnsi="Times New Roman" w:cs="Times New Roman"/>
          <w:sz w:val="24"/>
          <w:szCs w:val="24"/>
        </w:rPr>
        <w:t xml:space="preserve"> ≥ 5-fold increase in exposure, or &gt;80% decrease in clearance of substrate</w:t>
      </w:r>
    </w:p>
    <w:p w:rsidR="00D518AC" w:rsidRPr="00B861A9" w:rsidRDefault="00D518AC" w:rsidP="00D979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1A9">
        <w:rPr>
          <w:rFonts w:ascii="Times New Roman" w:hAnsi="Times New Roman" w:cs="Times New Roman"/>
          <w:sz w:val="24"/>
          <w:szCs w:val="24"/>
        </w:rPr>
        <w:lastRenderedPageBreak/>
        <w:t>Resource</w:t>
      </w:r>
      <w:r w:rsidR="00B861A9" w:rsidRPr="00B861A9">
        <w:rPr>
          <w:rFonts w:ascii="Times New Roman" w:hAnsi="Times New Roman" w:cs="Times New Roman"/>
          <w:sz w:val="24"/>
          <w:szCs w:val="24"/>
        </w:rPr>
        <w:t>s</w:t>
      </w:r>
      <w:r w:rsidRPr="00B861A9">
        <w:rPr>
          <w:rFonts w:ascii="Times New Roman" w:hAnsi="Times New Roman" w:cs="Times New Roman"/>
          <w:sz w:val="24"/>
          <w:szCs w:val="24"/>
        </w:rPr>
        <w:t>:</w:t>
      </w:r>
    </w:p>
    <w:p w:rsidR="00D518AC" w:rsidRPr="00B861A9" w:rsidRDefault="00D518AC" w:rsidP="008A1A6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Cytochrome P450 Drug Interactions. PL Detail-Document #320506. May 2016. Copyright © 2016 by Therapeutic Research Center. Stockton, CA 95219.</w:t>
      </w:r>
    </w:p>
    <w:p w:rsidR="00D63655" w:rsidRPr="00B861A9" w:rsidRDefault="00D63655" w:rsidP="008A1A6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A9">
        <w:rPr>
          <w:rFonts w:ascii="Times New Roman" w:hAnsi="Times New Roman" w:cs="Times New Roman"/>
          <w:sz w:val="24"/>
          <w:szCs w:val="24"/>
        </w:rPr>
        <w:t>Drug Development and Drug Interactions: Table of Substrates, Inhibitors and Inducers. U.S. Food and Drug Administration, Silver Spring, MD. Last updated: 11/14/2017</w:t>
      </w:r>
      <w:r w:rsidR="00D97921">
        <w:rPr>
          <w:rFonts w:ascii="Times New Roman" w:hAnsi="Times New Roman" w:cs="Times New Roman"/>
          <w:sz w:val="24"/>
          <w:szCs w:val="24"/>
        </w:rPr>
        <w:t xml:space="preserve">. Accessed </w:t>
      </w:r>
      <w:r w:rsidR="00F619E3" w:rsidRPr="00B861A9">
        <w:rPr>
          <w:rFonts w:ascii="Times New Roman" w:hAnsi="Times New Roman" w:cs="Times New Roman"/>
          <w:sz w:val="24"/>
          <w:szCs w:val="24"/>
        </w:rPr>
        <w:t xml:space="preserve">at: </w:t>
      </w:r>
      <w:r w:rsidR="00D97921" w:rsidRPr="00D97921">
        <w:rPr>
          <w:rFonts w:ascii="Times New Roman" w:hAnsi="Times New Roman" w:cs="Times New Roman"/>
          <w:sz w:val="24"/>
          <w:szCs w:val="24"/>
        </w:rPr>
        <w:t>https://www.fda.gov/drugs/developmentapprovalprocess/development</w:t>
      </w:r>
      <w:r w:rsidR="00D97921">
        <w:rPr>
          <w:rFonts w:ascii="Times New Roman" w:hAnsi="Times New Roman" w:cs="Times New Roman"/>
          <w:sz w:val="24"/>
          <w:szCs w:val="24"/>
        </w:rPr>
        <w:t xml:space="preserve"> </w:t>
      </w:r>
      <w:r w:rsidRPr="00B861A9">
        <w:rPr>
          <w:rFonts w:ascii="Times New Roman" w:hAnsi="Times New Roman" w:cs="Times New Roman"/>
          <w:sz w:val="24"/>
          <w:szCs w:val="24"/>
        </w:rPr>
        <w:t>resources/druginteractionslabeling/ucm093664.htm</w:t>
      </w:r>
    </w:p>
    <w:sectPr w:rsidR="00D63655" w:rsidRPr="00B86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4" w:rsidRDefault="00C12CD4" w:rsidP="00E80314">
      <w:pPr>
        <w:spacing w:after="0" w:line="240" w:lineRule="auto"/>
      </w:pPr>
      <w:r>
        <w:separator/>
      </w:r>
    </w:p>
  </w:endnote>
  <w:endnote w:type="continuationSeparator" w:id="0">
    <w:p w:rsidR="00C12CD4" w:rsidRDefault="00C12CD4" w:rsidP="00E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14" w:rsidRDefault="00E80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8202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314" w:rsidRPr="00E80314" w:rsidRDefault="00E80314">
        <w:pPr>
          <w:pStyle w:val="Footer"/>
          <w:jc w:val="right"/>
          <w:rPr>
            <w:rFonts w:ascii="Times New Roman" w:hAnsi="Times New Roman" w:cs="Times New Roman"/>
          </w:rPr>
        </w:pPr>
        <w:r w:rsidRPr="00E80314">
          <w:rPr>
            <w:rFonts w:ascii="Times New Roman" w:hAnsi="Times New Roman" w:cs="Times New Roman"/>
          </w:rPr>
          <w:fldChar w:fldCharType="begin"/>
        </w:r>
        <w:r w:rsidRPr="00E80314">
          <w:rPr>
            <w:rFonts w:ascii="Times New Roman" w:hAnsi="Times New Roman" w:cs="Times New Roman"/>
          </w:rPr>
          <w:instrText xml:space="preserve"> PAGE   \* MERGEFORMAT </w:instrText>
        </w:r>
        <w:r w:rsidRPr="00E80314">
          <w:rPr>
            <w:rFonts w:ascii="Times New Roman" w:hAnsi="Times New Roman" w:cs="Times New Roman"/>
          </w:rPr>
          <w:fldChar w:fldCharType="separate"/>
        </w:r>
        <w:r w:rsidR="005F4512">
          <w:rPr>
            <w:rFonts w:ascii="Times New Roman" w:hAnsi="Times New Roman" w:cs="Times New Roman"/>
            <w:noProof/>
          </w:rPr>
          <w:t>3</w:t>
        </w:r>
        <w:r w:rsidRPr="00E8031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0314" w:rsidRDefault="00E80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14" w:rsidRDefault="00E80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4" w:rsidRDefault="00C12CD4" w:rsidP="00E80314">
      <w:pPr>
        <w:spacing w:after="0" w:line="240" w:lineRule="auto"/>
      </w:pPr>
      <w:r>
        <w:separator/>
      </w:r>
    </w:p>
  </w:footnote>
  <w:footnote w:type="continuationSeparator" w:id="0">
    <w:p w:rsidR="00C12CD4" w:rsidRDefault="00C12CD4" w:rsidP="00E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14" w:rsidRDefault="00E80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14" w:rsidRDefault="00E80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14" w:rsidRDefault="00E8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DF8"/>
    <w:multiLevelType w:val="hybridMultilevel"/>
    <w:tmpl w:val="8264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6368"/>
    <w:multiLevelType w:val="hybridMultilevel"/>
    <w:tmpl w:val="8B7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37FC"/>
    <w:multiLevelType w:val="hybridMultilevel"/>
    <w:tmpl w:val="0A1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11A5"/>
    <w:multiLevelType w:val="hybridMultilevel"/>
    <w:tmpl w:val="252E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1"/>
    <w:rsid w:val="00032F38"/>
    <w:rsid w:val="0003487B"/>
    <w:rsid w:val="00086E02"/>
    <w:rsid w:val="00284D91"/>
    <w:rsid w:val="002C0EFB"/>
    <w:rsid w:val="002E6BBF"/>
    <w:rsid w:val="004A41F2"/>
    <w:rsid w:val="004E2E96"/>
    <w:rsid w:val="005536E2"/>
    <w:rsid w:val="005C72C5"/>
    <w:rsid w:val="005E1494"/>
    <w:rsid w:val="005F4512"/>
    <w:rsid w:val="0061169B"/>
    <w:rsid w:val="00624399"/>
    <w:rsid w:val="006B4260"/>
    <w:rsid w:val="006E46D8"/>
    <w:rsid w:val="006F4949"/>
    <w:rsid w:val="00717494"/>
    <w:rsid w:val="007E61E5"/>
    <w:rsid w:val="00867940"/>
    <w:rsid w:val="00875007"/>
    <w:rsid w:val="008A1A6D"/>
    <w:rsid w:val="008C4386"/>
    <w:rsid w:val="008D4645"/>
    <w:rsid w:val="009051C5"/>
    <w:rsid w:val="009929D5"/>
    <w:rsid w:val="00A30722"/>
    <w:rsid w:val="00A376AF"/>
    <w:rsid w:val="00AD2D1A"/>
    <w:rsid w:val="00AF52AF"/>
    <w:rsid w:val="00B861A9"/>
    <w:rsid w:val="00C05CDF"/>
    <w:rsid w:val="00C12CD4"/>
    <w:rsid w:val="00C32D12"/>
    <w:rsid w:val="00C33634"/>
    <w:rsid w:val="00CC0279"/>
    <w:rsid w:val="00D1692B"/>
    <w:rsid w:val="00D47C9D"/>
    <w:rsid w:val="00D518AC"/>
    <w:rsid w:val="00D63655"/>
    <w:rsid w:val="00D639C1"/>
    <w:rsid w:val="00D65728"/>
    <w:rsid w:val="00D97921"/>
    <w:rsid w:val="00DA4A51"/>
    <w:rsid w:val="00DB5C78"/>
    <w:rsid w:val="00E10F01"/>
    <w:rsid w:val="00E80314"/>
    <w:rsid w:val="00F42641"/>
    <w:rsid w:val="00F619E3"/>
    <w:rsid w:val="00FD5DC1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89CC"/>
  <w15:chartTrackingRefBased/>
  <w15:docId w15:val="{580CEC19-5CC3-45CF-964E-5A99ED0D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14"/>
  </w:style>
  <w:style w:type="paragraph" w:styleId="Footer">
    <w:name w:val="footer"/>
    <w:basedOn w:val="Normal"/>
    <w:link w:val="FooterChar"/>
    <w:uiPriority w:val="99"/>
    <w:unhideWhenUsed/>
    <w:rsid w:val="00E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Musco, Shaina</dc:creator>
  <cp:keywords/>
  <dc:description/>
  <cp:lastModifiedBy>Musco, Shaina</cp:lastModifiedBy>
  <cp:revision>14</cp:revision>
  <dcterms:created xsi:type="dcterms:W3CDTF">2019-02-22T21:45:00Z</dcterms:created>
  <dcterms:modified xsi:type="dcterms:W3CDTF">2019-03-11T14:08:00Z</dcterms:modified>
</cp:coreProperties>
</file>