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97" w:rsidRDefault="00073C97" w:rsidP="00073C97">
      <w:pPr>
        <w:spacing w:after="0" w:line="480" w:lineRule="auto"/>
        <w:rPr>
          <w:rFonts w:ascii="Times New Roman" w:hAnsi="Times New Roman"/>
          <w:sz w:val="24"/>
          <w:szCs w:val="24"/>
        </w:rPr>
      </w:pPr>
      <w:bookmarkStart w:id="0" w:name="_Hlk504905477"/>
      <w:proofErr w:type="gramStart"/>
      <w:r>
        <w:rPr>
          <w:rFonts w:ascii="Times New Roman" w:hAnsi="Times New Roman"/>
          <w:sz w:val="24"/>
          <w:szCs w:val="24"/>
        </w:rPr>
        <w:t>Supplemental Figure 5.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73C97" w:rsidRDefault="00073C97" w:rsidP="00073C97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Mean A) PANSS Total Scores</w:t>
      </w:r>
      <w:proofErr w:type="gramStart"/>
      <w:r>
        <w:rPr>
          <w:rFonts w:ascii="Times New Roman" w:hAnsi="Times New Roman"/>
          <w:sz w:val="24"/>
        </w:rPr>
        <w:t>;  and</w:t>
      </w:r>
      <w:proofErr w:type="gramEnd"/>
      <w:r>
        <w:rPr>
          <w:rFonts w:ascii="Times New Roman" w:hAnsi="Times New Roman"/>
          <w:sz w:val="24"/>
        </w:rPr>
        <w:t xml:space="preserve"> B) CGI-S Scores</w:t>
      </w:r>
      <w:r>
        <w:rPr>
          <w:rFonts w:ascii="Times New Roman" w:hAnsi="Times New Roman"/>
          <w:sz w:val="24"/>
          <w:szCs w:val="24"/>
        </w:rPr>
        <w:t xml:space="preserve"> (Double-blind and Open-label Studies).</w:t>
      </w:r>
    </w:p>
    <w:bookmarkEnd w:id="0"/>
    <w:p w:rsidR="00073C97" w:rsidRDefault="00073C97" w:rsidP="00073C97">
      <w:pPr>
        <w:keepNext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* </w:t>
      </w:r>
      <w:r>
        <w:rPr>
          <w:rFonts w:ascii="Times New Roman" w:hAnsi="Times New Roman"/>
          <w:sz w:val="18"/>
        </w:rPr>
        <w:t xml:space="preserve">Least-squares mean difference </w:t>
      </w:r>
      <w:r>
        <w:rPr>
          <w:rFonts w:ascii="Times New Roman" w:hAnsi="Times New Roman"/>
          <w:i/>
          <w:sz w:val="18"/>
        </w:rPr>
        <w:t>P</w:t>
      </w:r>
      <w:r>
        <w:rPr>
          <w:rFonts w:ascii="Times New Roman" w:hAnsi="Times New Roman"/>
          <w:sz w:val="18"/>
        </w:rPr>
        <w:t>&lt;0.05 RBP-7000 90 mg versus placebo.</w:t>
      </w:r>
    </w:p>
    <w:p w:rsidR="00073C97" w:rsidRDefault="00073C97" w:rsidP="00073C97">
      <w:pPr>
        <w:keepNext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† </w:t>
      </w:r>
      <w:r>
        <w:rPr>
          <w:rFonts w:ascii="Times New Roman" w:hAnsi="Times New Roman"/>
          <w:sz w:val="18"/>
        </w:rPr>
        <w:t xml:space="preserve">Least-squares mean difference </w:t>
      </w:r>
      <w:r>
        <w:rPr>
          <w:rFonts w:ascii="Times New Roman" w:hAnsi="Times New Roman"/>
          <w:i/>
          <w:sz w:val="18"/>
        </w:rPr>
        <w:t>P</w:t>
      </w:r>
      <w:r>
        <w:rPr>
          <w:rFonts w:ascii="Times New Roman" w:hAnsi="Times New Roman"/>
          <w:sz w:val="18"/>
        </w:rPr>
        <w:t>&lt;0.05 RBP-7000 120 mg versus placebo.</w:t>
      </w:r>
    </w:p>
    <w:p w:rsidR="00073C97" w:rsidRDefault="00073C97" w:rsidP="00073C97">
      <w:pPr>
        <w:keepNext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End of Study assessments were performed for all participants 28 days after completion of the last open-label treatment visit </w:t>
      </w:r>
      <w:bookmarkStart w:id="1" w:name="_Hlk511742053"/>
      <w:r>
        <w:rPr>
          <w:rFonts w:ascii="Times New Roman" w:hAnsi="Times New Roman"/>
          <w:kern w:val="24"/>
          <w:sz w:val="18"/>
        </w:rPr>
        <w:t>(Day 309 for rollover participants, Day 365 for de novo participants)</w:t>
      </w:r>
      <w:bookmarkEnd w:id="1"/>
      <w:r>
        <w:rPr>
          <w:rFonts w:ascii="Times New Roman" w:hAnsi="Times New Roman"/>
          <w:sz w:val="18"/>
        </w:rPr>
        <w:t>. Double-blind assessments performed in intention-to-treat population. Open-label assessments performed in safety population. Scores are observational with no imputation of missing data.</w:t>
      </w:r>
    </w:p>
    <w:p w:rsidR="00073C97" w:rsidRDefault="00073C97" w:rsidP="00073C97">
      <w:pPr>
        <w:keepNext/>
        <w:spacing w:after="0" w:line="240" w:lineRule="auto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sz w:val="18"/>
        </w:rPr>
        <w:t>BL, Baseline; CGI-S, Clinical Global Impression-Severity; PANSS, Positive and Negative Syndrome Scale; SD, standard deviation.</w:t>
      </w:r>
      <w:proofErr w:type="gramEnd"/>
    </w:p>
    <w:p w:rsidR="00073C97" w:rsidRDefault="00073C97" w:rsidP="00073C9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9B3891" w:rsidRPr="00EB43F8" w:rsidRDefault="00073C97" w:rsidP="00EB43F8">
      <w:bookmarkStart w:id="2" w:name="_GoBack"/>
      <w:bookmarkEnd w:id="2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9.9pt">
            <v:imagedata r:id="rId5" o:title="HT LT Safety MS - Supplemental Figure 5"/>
          </v:shape>
        </w:pict>
      </w:r>
    </w:p>
    <w:sectPr w:rsidR="009B3891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073C97"/>
    <w:rsid w:val="00121180"/>
    <w:rsid w:val="003D26B5"/>
    <w:rsid w:val="00505AF4"/>
    <w:rsid w:val="009B3891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2019-07-10T05:05:00Z</dcterms:created>
  <dcterms:modified xsi:type="dcterms:W3CDTF">2019-07-10T05:05:00Z</dcterms:modified>
</cp:coreProperties>
</file>