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E17E" w14:textId="77777777" w:rsidR="00A1341C" w:rsidRDefault="00A1341C" w:rsidP="002C24C9">
      <w:pPr>
        <w:spacing w:before="200" w:after="120" w:line="480" w:lineRule="auto"/>
        <w:rPr>
          <w:rFonts w:ascii="Times New Roman" w:eastAsia="Arial" w:hAnsi="Times New Roman" w:cs="Times New Roman"/>
        </w:rPr>
      </w:pPr>
      <w:r>
        <w:rPr>
          <w:rFonts w:ascii="Times New Roman" w:eastAsia="Arial" w:hAnsi="Times New Roman" w:cs="Times New Roman"/>
        </w:rPr>
        <w:t>SDC</w:t>
      </w:r>
    </w:p>
    <w:p w14:paraId="3CA962C7" w14:textId="0CF91226" w:rsidR="002C24C9" w:rsidRPr="00E775C8" w:rsidRDefault="002C24C9" w:rsidP="002C24C9">
      <w:pPr>
        <w:spacing w:before="200" w:after="120" w:line="480" w:lineRule="auto"/>
        <w:rPr>
          <w:rFonts w:ascii="Times New Roman" w:eastAsia="Arial" w:hAnsi="Times New Roman" w:cs="Times New Roman"/>
          <w:b/>
          <w:bCs/>
          <w:i/>
          <w:iCs/>
        </w:rPr>
      </w:pPr>
      <w:r w:rsidRPr="00E775C8">
        <w:rPr>
          <w:rFonts w:ascii="Times New Roman" w:eastAsia="Arial" w:hAnsi="Times New Roman" w:cs="Times New Roman"/>
          <w:b/>
          <w:bCs/>
          <w:i/>
          <w:iCs/>
        </w:rPr>
        <w:t>INCLUSION/EXCLUSION CRITERIA</w:t>
      </w:r>
    </w:p>
    <w:p w14:paraId="493F53D8" w14:textId="5D10553C" w:rsidR="002C24C9" w:rsidRPr="003770FA" w:rsidRDefault="002C24C9" w:rsidP="002C24C9">
      <w:pPr>
        <w:spacing w:line="480" w:lineRule="auto"/>
        <w:ind w:firstLine="720"/>
        <w:jc w:val="both"/>
        <w:rPr>
          <w:rFonts w:ascii="Times New Roman" w:eastAsia="Arial" w:hAnsi="Times New Roman" w:cs="Times New Roman"/>
        </w:rPr>
      </w:pPr>
      <w:r w:rsidRPr="003770FA">
        <w:rPr>
          <w:rFonts w:ascii="Times New Roman" w:eastAsia="Arial" w:hAnsi="Times New Roman" w:cs="Times New Roman"/>
        </w:rPr>
        <w:t xml:space="preserve">Men and women were eligible for study inclusion if they were </w:t>
      </w:r>
      <w:r w:rsidR="00A1341C" w:rsidRPr="00A1341C">
        <w:rPr>
          <w:rFonts w:ascii="Times New Roman" w:eastAsia="Arial" w:hAnsi="Times New Roman" w:cs="Times New Roman"/>
          <w:u w:val="single"/>
        </w:rPr>
        <w:t>&gt;</w:t>
      </w:r>
      <w:r w:rsidRPr="003770FA">
        <w:rPr>
          <w:rFonts w:ascii="Times New Roman" w:eastAsia="Arial" w:hAnsi="Times New Roman" w:cs="Times New Roman"/>
        </w:rPr>
        <w:t xml:space="preserve"> 18 </w:t>
      </w:r>
      <w:proofErr w:type="spellStart"/>
      <w:r w:rsidRPr="003770FA">
        <w:rPr>
          <w:rFonts w:ascii="Times New Roman" w:eastAsia="Arial" w:hAnsi="Times New Roman" w:cs="Times New Roman"/>
        </w:rPr>
        <w:t>yr</w:t>
      </w:r>
      <w:proofErr w:type="spellEnd"/>
      <w:r w:rsidRPr="003770FA">
        <w:rPr>
          <w:rFonts w:ascii="Times New Roman" w:eastAsia="Arial" w:hAnsi="Times New Roman" w:cs="Times New Roman"/>
        </w:rPr>
        <w:t xml:space="preserve"> of age</w:t>
      </w:r>
      <w:r>
        <w:rPr>
          <w:rFonts w:ascii="Times New Roman" w:eastAsia="Arial" w:hAnsi="Times New Roman" w:cs="Times New Roman"/>
        </w:rPr>
        <w:t xml:space="preserve"> </w:t>
      </w:r>
      <w:r w:rsidRPr="00A1341C">
        <w:rPr>
          <w:rFonts w:ascii="Times New Roman" w:eastAsia="Arial" w:hAnsi="Times New Roman" w:cs="Times New Roman"/>
        </w:rPr>
        <w:t xml:space="preserve">and not pregnant or breastfeeding. </w:t>
      </w:r>
      <w:r w:rsidRPr="0081681D">
        <w:rPr>
          <w:rFonts w:ascii="Times New Roman" w:eastAsia="Arial" w:hAnsi="Times New Roman" w:cs="Times New Roman"/>
          <w:color w:val="000000" w:themeColor="text1"/>
        </w:rPr>
        <w:t>Individuals with CVD risk factors and with known CAD were enrolled.</w:t>
      </w:r>
      <w:r w:rsidRPr="003770FA">
        <w:rPr>
          <w:rFonts w:ascii="Times New Roman" w:eastAsia="Arial" w:hAnsi="Times New Roman" w:cs="Times New Roman"/>
        </w:rPr>
        <w:t xml:space="preserve"> Exclusion criteria included: use of long-acting nitrates or insulin, diagnosis of non-ischemic cardiomyopathy, known systemic inflammatory disease such as rheumatoid arthritis, infection in the preceding week or temperature &gt; 38°C, upper or lower arm vascular pathology such as the presence of fistula or AV shunt, and participation in any other ongoing device or clinical trial. Participants were also excluded if they were unwilling or unable before each study visit to: 1) fast for 6 </w:t>
      </w:r>
      <w:proofErr w:type="spellStart"/>
      <w:r w:rsidRPr="003770FA">
        <w:rPr>
          <w:rFonts w:ascii="Times New Roman" w:eastAsia="Arial" w:hAnsi="Times New Roman" w:cs="Times New Roman"/>
        </w:rPr>
        <w:t>hr</w:t>
      </w:r>
      <w:proofErr w:type="spellEnd"/>
      <w:r w:rsidRPr="003770FA">
        <w:rPr>
          <w:rFonts w:ascii="Times New Roman" w:eastAsia="Arial" w:hAnsi="Times New Roman" w:cs="Times New Roman"/>
        </w:rPr>
        <w:t xml:space="preserve"> prior, 2) discontinue tobacco use 12 </w:t>
      </w:r>
      <w:proofErr w:type="spellStart"/>
      <w:r w:rsidRPr="003770FA">
        <w:rPr>
          <w:rFonts w:ascii="Times New Roman" w:eastAsia="Arial" w:hAnsi="Times New Roman" w:cs="Times New Roman"/>
        </w:rPr>
        <w:t>hr</w:t>
      </w:r>
      <w:proofErr w:type="spellEnd"/>
      <w:r w:rsidRPr="003770FA">
        <w:rPr>
          <w:rFonts w:ascii="Times New Roman" w:eastAsia="Arial" w:hAnsi="Times New Roman" w:cs="Times New Roman"/>
        </w:rPr>
        <w:t xml:space="preserve"> prior</w:t>
      </w:r>
      <w:r w:rsidR="00BC6701">
        <w:rPr>
          <w:rFonts w:ascii="Times New Roman" w:eastAsia="Arial" w:hAnsi="Times New Roman" w:cs="Times New Roman"/>
        </w:rPr>
        <w:t xml:space="preserve"> (assessed at visit 1 via a CO breath analyzer)</w:t>
      </w:r>
      <w:r w:rsidRPr="003770FA">
        <w:rPr>
          <w:rFonts w:ascii="Times New Roman" w:eastAsia="Arial" w:hAnsi="Times New Roman" w:cs="Times New Roman"/>
        </w:rPr>
        <w:t xml:space="preserve"> 3) withhold all over-the-counter medications and supplements the morning of a visit, 4) refrain from exercise for 24 </w:t>
      </w:r>
      <w:proofErr w:type="spellStart"/>
      <w:r w:rsidRPr="003770FA">
        <w:rPr>
          <w:rFonts w:ascii="Times New Roman" w:eastAsia="Arial" w:hAnsi="Times New Roman" w:cs="Times New Roman"/>
        </w:rPr>
        <w:t>hr</w:t>
      </w:r>
      <w:proofErr w:type="spellEnd"/>
      <w:r w:rsidRPr="003770FA">
        <w:rPr>
          <w:rFonts w:ascii="Times New Roman" w:eastAsia="Arial" w:hAnsi="Times New Roman" w:cs="Times New Roman"/>
        </w:rPr>
        <w:t xml:space="preserve">, or 5) refrain from the use of the following medications 7 d prior: </w:t>
      </w:r>
      <w:proofErr w:type="spellStart"/>
      <w:r w:rsidRPr="003770FA">
        <w:rPr>
          <w:rFonts w:ascii="Times New Roman" w:eastAsia="Arial" w:hAnsi="Times New Roman" w:cs="Times New Roman"/>
        </w:rPr>
        <w:t>vaso</w:t>
      </w:r>
      <w:proofErr w:type="spellEnd"/>
      <w:r w:rsidRPr="003770FA">
        <w:rPr>
          <w:rFonts w:ascii="Times New Roman" w:eastAsia="Arial" w:hAnsi="Times New Roman" w:cs="Times New Roman"/>
        </w:rPr>
        <w:t xml:space="preserve">-active agents such as decongestants (e.g. pseudoephedrine), recreational drugs (e.g. marijuana, cocaine, amphetamines), or phosphodiesterase-5 inhibitors used in erectile dysfunction (e.g. sildenafil, vardenafil, tadalafil). </w:t>
      </w:r>
    </w:p>
    <w:p w14:paraId="1D80605C" w14:textId="3738E8B1" w:rsidR="002C24C9" w:rsidRDefault="00BC6701" w:rsidP="00BC6701">
      <w:pPr>
        <w:spacing w:before="200" w:after="120" w:line="480" w:lineRule="auto"/>
        <w:ind w:firstLine="720"/>
        <w:jc w:val="both"/>
        <w:rPr>
          <w:rFonts w:ascii="Times New Roman" w:eastAsia="Arial" w:hAnsi="Times New Roman" w:cs="Times New Roman"/>
          <w:b/>
          <w:bCs/>
          <w:i/>
          <w:iCs/>
        </w:rPr>
      </w:pPr>
      <w:r w:rsidRPr="00B6701E">
        <w:rPr>
          <w:rFonts w:ascii="Times New Roman" w:eastAsia="Arial" w:hAnsi="Times New Roman" w:cs="Times New Roman"/>
          <w:color w:val="000000" w:themeColor="text1"/>
        </w:rPr>
        <w:t>Adherence to instructions regarding food/drink intake, medications and exercise were reviewed</w:t>
      </w:r>
      <w:r>
        <w:rPr>
          <w:rFonts w:ascii="Times New Roman" w:eastAsia="Arial" w:hAnsi="Times New Roman" w:cs="Times New Roman"/>
          <w:color w:val="000000" w:themeColor="text1"/>
        </w:rPr>
        <w:t xml:space="preserve"> at each visit. </w:t>
      </w:r>
    </w:p>
    <w:p w14:paraId="60FD698F" w14:textId="77777777" w:rsidR="002C24C9" w:rsidRPr="00E775C8" w:rsidRDefault="002C24C9" w:rsidP="002C24C9">
      <w:pPr>
        <w:spacing w:before="200" w:after="120" w:line="480" w:lineRule="auto"/>
        <w:jc w:val="both"/>
        <w:rPr>
          <w:rFonts w:ascii="Times New Roman" w:eastAsia="Arial" w:hAnsi="Times New Roman" w:cs="Times New Roman"/>
          <w:b/>
          <w:bCs/>
          <w:i/>
          <w:iCs/>
        </w:rPr>
      </w:pPr>
      <w:r w:rsidRPr="00E775C8">
        <w:rPr>
          <w:rFonts w:ascii="Times New Roman" w:eastAsia="Arial" w:hAnsi="Times New Roman" w:cs="Times New Roman"/>
          <w:b/>
          <w:bCs/>
          <w:i/>
          <w:iCs/>
        </w:rPr>
        <w:t>MEAS</w:t>
      </w:r>
      <w:r>
        <w:rPr>
          <w:rFonts w:ascii="Times New Roman" w:eastAsia="Arial" w:hAnsi="Times New Roman" w:cs="Times New Roman"/>
          <w:b/>
          <w:bCs/>
          <w:i/>
          <w:iCs/>
        </w:rPr>
        <w:t>U</w:t>
      </w:r>
      <w:r w:rsidRPr="00E775C8">
        <w:rPr>
          <w:rFonts w:ascii="Times New Roman" w:eastAsia="Arial" w:hAnsi="Times New Roman" w:cs="Times New Roman"/>
          <w:b/>
          <w:bCs/>
          <w:i/>
          <w:iCs/>
        </w:rPr>
        <w:t xml:space="preserve">RING THE FLOW-MEDIATED COMPLIANCE RESPONSE SCORE </w:t>
      </w:r>
    </w:p>
    <w:p w14:paraId="74C77F5E" w14:textId="374C0654" w:rsidR="002C24C9" w:rsidRDefault="002C24C9" w:rsidP="002C24C9">
      <w:pPr>
        <w:spacing w:line="480" w:lineRule="auto"/>
        <w:ind w:firstLine="720"/>
        <w:jc w:val="both"/>
        <w:rPr>
          <w:rFonts w:ascii="Times New Roman" w:eastAsia="Arial" w:hAnsi="Times New Roman" w:cs="Times New Roman"/>
        </w:rPr>
      </w:pPr>
      <w:r w:rsidRPr="0081681D">
        <w:rPr>
          <w:rFonts w:ascii="Times New Roman" w:eastAsia="Arial" w:hAnsi="Times New Roman" w:cs="Times New Roman"/>
        </w:rPr>
        <w:t xml:space="preserve">The </w:t>
      </w:r>
      <w:proofErr w:type="spellStart"/>
      <w:r w:rsidRPr="0081681D">
        <w:rPr>
          <w:rFonts w:ascii="Times New Roman" w:eastAsia="Arial" w:hAnsi="Times New Roman" w:cs="Times New Roman"/>
        </w:rPr>
        <w:t>Cordex</w:t>
      </w:r>
      <w:proofErr w:type="spellEnd"/>
      <w:r w:rsidRPr="0081681D">
        <w:rPr>
          <w:rFonts w:ascii="Times New Roman" w:eastAsia="Arial" w:hAnsi="Times New Roman" w:cs="Times New Roman"/>
        </w:rPr>
        <w:t xml:space="preserve"> </w:t>
      </w:r>
      <w:proofErr w:type="spellStart"/>
      <w:r w:rsidRPr="0081681D">
        <w:rPr>
          <w:rFonts w:ascii="Times New Roman" w:eastAsia="Arial" w:hAnsi="Times New Roman" w:cs="Times New Roman"/>
        </w:rPr>
        <w:t>SmartCuff</w:t>
      </w:r>
      <w:proofErr w:type="spellEnd"/>
      <w:r w:rsidRPr="0081681D">
        <w:rPr>
          <w:rFonts w:ascii="Times New Roman" w:eastAsia="Arial" w:hAnsi="Times New Roman" w:cs="Times New Roman"/>
        </w:rPr>
        <w:t xml:space="preserve">™ (Figure 1) uses the platform of segmental plethysmography and </w:t>
      </w:r>
      <w:proofErr w:type="spellStart"/>
      <w:r w:rsidRPr="0081681D">
        <w:rPr>
          <w:rFonts w:ascii="Times New Roman" w:eastAsia="Arial" w:hAnsi="Times New Roman" w:cs="Times New Roman"/>
        </w:rPr>
        <w:t>oscillometry</w:t>
      </w:r>
      <w:proofErr w:type="spellEnd"/>
      <w:r w:rsidRPr="0081681D">
        <w:rPr>
          <w:rFonts w:ascii="Times New Roman" w:eastAsia="Arial" w:hAnsi="Times New Roman" w:cs="Times New Roman"/>
        </w:rPr>
        <w:t xml:space="preserve"> through a novel proprietary algorithm to quantify repeated instantaneous measurements of arterial compliance taken at a baseline condition and following a 5-min </w:t>
      </w:r>
      <w:proofErr w:type="spellStart"/>
      <w:r w:rsidRPr="0081681D">
        <w:rPr>
          <w:rFonts w:ascii="Times New Roman" w:eastAsia="Arial" w:hAnsi="Times New Roman" w:cs="Times New Roman"/>
        </w:rPr>
        <w:t>suprasystolic</w:t>
      </w:r>
      <w:proofErr w:type="spellEnd"/>
      <w:r w:rsidRPr="0081681D">
        <w:rPr>
          <w:rFonts w:ascii="Times New Roman" w:eastAsia="Arial" w:hAnsi="Times New Roman" w:cs="Times New Roman"/>
        </w:rPr>
        <w:t xml:space="preserve"> reactive hyperemia condition, using a standard blood pressure </w:t>
      </w:r>
      <w:r w:rsidR="00A1341C">
        <w:rPr>
          <w:rFonts w:ascii="Times New Roman" w:eastAsia="Arial" w:hAnsi="Times New Roman" w:cs="Times New Roman"/>
        </w:rPr>
        <w:t xml:space="preserve">(BP) </w:t>
      </w:r>
      <w:r w:rsidRPr="0081681D">
        <w:rPr>
          <w:rFonts w:ascii="Times New Roman" w:eastAsia="Arial" w:hAnsi="Times New Roman" w:cs="Times New Roman"/>
        </w:rPr>
        <w:t>cuff. The device</w:t>
      </w:r>
      <w:r w:rsidRPr="0081681D">
        <w:rPr>
          <w:rFonts w:ascii="Times New Roman" w:eastAsia="Arial" w:hAnsi="Times New Roman" w:cs="Times New Roman"/>
          <w:vertAlign w:val="superscript"/>
        </w:rPr>
        <w:t xml:space="preserve"> </w:t>
      </w:r>
      <w:r w:rsidRPr="0081681D">
        <w:rPr>
          <w:rFonts w:ascii="Times New Roman" w:eastAsia="Arial" w:hAnsi="Times New Roman" w:cs="Times New Roman"/>
        </w:rPr>
        <w:lastRenderedPageBreak/>
        <w:t xml:space="preserve">provides arterial compliance measurements over the entire transmural pressure range where the artery diameter spans from complete collapse to fully open. Using fundamentals of segmental plethysmography and </w:t>
      </w:r>
      <w:proofErr w:type="spellStart"/>
      <w:r w:rsidRPr="0081681D">
        <w:rPr>
          <w:rFonts w:ascii="Times New Roman" w:eastAsia="Arial" w:hAnsi="Times New Roman" w:cs="Times New Roman"/>
        </w:rPr>
        <w:t>oscillometry</w:t>
      </w:r>
      <w:proofErr w:type="spellEnd"/>
      <w:r w:rsidRPr="0081681D">
        <w:rPr>
          <w:rFonts w:ascii="Times New Roman" w:eastAsia="Arial" w:hAnsi="Times New Roman" w:cs="Times New Roman"/>
        </w:rPr>
        <w:t xml:space="preserve"> the </w:t>
      </w:r>
      <w:r w:rsidR="00A1341C">
        <w:rPr>
          <w:rFonts w:ascii="Times New Roman" w:eastAsia="Arial" w:hAnsi="Times New Roman" w:cs="Times New Roman"/>
        </w:rPr>
        <w:t>BP</w:t>
      </w:r>
      <w:r w:rsidRPr="0081681D">
        <w:rPr>
          <w:rFonts w:ascii="Times New Roman" w:eastAsia="Arial" w:hAnsi="Times New Roman" w:cs="Times New Roman"/>
        </w:rPr>
        <w:t xml:space="preserve"> cuff is converted into a calibrated volume sensor providing accurate arterial compliance values (in cm</w:t>
      </w:r>
      <w:r w:rsidRPr="0081681D">
        <w:rPr>
          <w:rFonts w:ascii="Times New Roman" w:eastAsia="Arial" w:hAnsi="Times New Roman" w:cs="Times New Roman"/>
          <w:vertAlign w:val="superscript"/>
        </w:rPr>
        <w:t>2</w:t>
      </w:r>
      <w:r w:rsidRPr="0081681D">
        <w:rPr>
          <w:rFonts w:ascii="Times New Roman" w:eastAsia="Arial" w:hAnsi="Times New Roman" w:cs="Times New Roman"/>
        </w:rPr>
        <w:t>/mmHg) in response to the cumulative shear stimulus</w:t>
      </w:r>
      <w:sdt>
        <w:sdtPr>
          <w:rPr>
            <w:rFonts w:ascii="Times New Roman" w:eastAsia="Arial" w:hAnsi="Times New Roman" w:cs="Times New Roman"/>
            <w:color w:val="000000"/>
            <w:vertAlign w:val="superscript"/>
          </w:rPr>
          <w:tag w:val="MENDELEY_CITATION_v3_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"/>
          <w:id w:val="-409084254"/>
          <w:placeholder>
            <w:docPart w:val="D4657EE3BDAE5F48ABFA360869E8A6B5"/>
          </w:placeholder>
        </w:sdtPr>
        <w:sdtEndPr>
          <w:rPr>
            <w:rFonts w:eastAsiaTheme="minorEastAsia"/>
          </w:rPr>
        </w:sdtEndPr>
        <w:sdtContent>
          <w:r w:rsidRPr="0081681D">
            <w:rPr>
              <w:rFonts w:ascii="Times New Roman" w:hAnsi="Times New Roman" w:cs="Times New Roman"/>
              <w:color w:val="000000"/>
              <w:vertAlign w:val="superscript"/>
            </w:rPr>
            <w:t>29</w:t>
          </w:r>
        </w:sdtContent>
      </w:sdt>
      <w:r w:rsidRPr="0081681D">
        <w:rPr>
          <w:rFonts w:ascii="Times New Roman" w:eastAsia="Arial" w:hAnsi="Times New Roman" w:cs="Times New Roman"/>
        </w:rPr>
        <w:t xml:space="preserve">. The area between the two curves (Figure </w:t>
      </w:r>
      <w:r w:rsidR="0081681D">
        <w:rPr>
          <w:rFonts w:ascii="Times New Roman" w:eastAsia="Arial" w:hAnsi="Times New Roman" w:cs="Times New Roman"/>
        </w:rPr>
        <w:t>1</w:t>
      </w:r>
      <w:r w:rsidRPr="0081681D">
        <w:rPr>
          <w:rFonts w:ascii="Times New Roman" w:eastAsia="Arial" w:hAnsi="Times New Roman" w:cs="Times New Roman"/>
        </w:rPr>
        <w:t>) in</w:t>
      </w:r>
      <w:r w:rsidRPr="003770FA">
        <w:rPr>
          <w:rFonts w:ascii="Times New Roman" w:eastAsia="Arial" w:hAnsi="Times New Roman" w:cs="Times New Roman"/>
        </w:rPr>
        <w:t xml:space="preserve"> the positive arterial transmural pressure range is calculated and is displayed as a metric referred to as the Flow-mediated Compliance Response score (FCR). The intra-subject, intra-day, test-retest coefficient of variability between FCR values has </w:t>
      </w:r>
      <w:r>
        <w:rPr>
          <w:rFonts w:ascii="Times New Roman" w:eastAsia="Arial" w:hAnsi="Times New Roman" w:cs="Times New Roman"/>
        </w:rPr>
        <w:t xml:space="preserve">previously been reported </w:t>
      </w:r>
      <w:r w:rsidRPr="003770FA">
        <w:rPr>
          <w:rFonts w:ascii="Times New Roman" w:eastAsia="Arial" w:hAnsi="Times New Roman" w:cs="Times New Roman"/>
        </w:rPr>
        <w:t>to be 15.3% (</w:t>
      </w:r>
      <w:r w:rsidR="00A1341C" w:rsidRPr="003770FA">
        <w:rPr>
          <w:rFonts w:ascii="Times New Roman" w:eastAsia="Arial" w:hAnsi="Times New Roman" w:cs="Times New Roman"/>
        </w:rPr>
        <w:t>, 95% CI</w:t>
      </w:r>
      <w:r w:rsidR="00A1341C">
        <w:rPr>
          <w:rFonts w:ascii="Times New Roman" w:eastAsia="Arial" w:hAnsi="Times New Roman" w:cs="Times New Roman"/>
        </w:rPr>
        <w:t>,</w:t>
      </w:r>
      <w:r w:rsidR="00A1341C" w:rsidRPr="003770FA">
        <w:rPr>
          <w:rFonts w:ascii="Times New Roman" w:eastAsia="Arial" w:hAnsi="Times New Roman" w:cs="Times New Roman"/>
        </w:rPr>
        <w:t xml:space="preserve"> </w:t>
      </w:r>
      <w:r w:rsidRPr="003770FA">
        <w:rPr>
          <w:rFonts w:ascii="Times New Roman" w:eastAsia="Arial" w:hAnsi="Times New Roman" w:cs="Times New Roman"/>
        </w:rPr>
        <w:t xml:space="preserve">10.8 </w:t>
      </w:r>
      <w:r w:rsidR="00A1341C">
        <w:rPr>
          <w:rFonts w:ascii="Times New Roman" w:eastAsia="Arial" w:hAnsi="Times New Roman" w:cs="Times New Roman"/>
        </w:rPr>
        <w:t>-</w:t>
      </w:r>
      <w:r w:rsidRPr="003770FA">
        <w:rPr>
          <w:rFonts w:ascii="Times New Roman" w:eastAsia="Arial" w:hAnsi="Times New Roman" w:cs="Times New Roman"/>
        </w:rPr>
        <w:t xml:space="preserve"> 19.3)</w:t>
      </w:r>
      <w:sdt>
        <w:sdtPr>
          <w:rPr>
            <w:rFonts w:ascii="Times New Roman" w:eastAsia="Arial" w:hAnsi="Times New Roman" w:cs="Times New Roman"/>
            <w:color w:val="000000"/>
            <w:vertAlign w:val="superscript"/>
          </w:rPr>
          <w:tag w:val="MENDELEY_CITATION_v3_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"/>
          <w:id w:val="-2096929489"/>
          <w:placeholder>
            <w:docPart w:val="A96FC509619F4F4B9C0289FB21797802"/>
          </w:placeholder>
        </w:sdtPr>
        <w:sdtContent>
          <w:r w:rsidRPr="00820AA5">
            <w:rPr>
              <w:rFonts w:ascii="Times New Roman" w:eastAsia="Arial" w:hAnsi="Times New Roman" w:cs="Times New Roman"/>
              <w:color w:val="000000"/>
              <w:vertAlign w:val="superscript"/>
            </w:rPr>
            <w:t>26</w:t>
          </w:r>
        </w:sdtContent>
      </w:sdt>
      <w:r w:rsidRPr="003770FA">
        <w:rPr>
          <w:rFonts w:ascii="Times New Roman" w:eastAsia="Arial" w:hAnsi="Times New Roman" w:cs="Times New Roman"/>
        </w:rPr>
        <w:t xml:space="preserve">. The </w:t>
      </w:r>
      <w:proofErr w:type="spellStart"/>
      <w:r w:rsidRPr="003770FA">
        <w:rPr>
          <w:rFonts w:ascii="Times New Roman" w:eastAsia="Arial" w:hAnsi="Times New Roman" w:cs="Times New Roman"/>
        </w:rPr>
        <w:t>SmartCuff</w:t>
      </w:r>
      <w:proofErr w:type="spellEnd"/>
      <w:r w:rsidRPr="003770FA">
        <w:rPr>
          <w:rFonts w:ascii="Times New Roman" w:eastAsia="Arial" w:hAnsi="Times New Roman" w:cs="Times New Roman"/>
        </w:rPr>
        <w:t xml:space="preserve"> also measures systolic, diastolic and mean arterial </w:t>
      </w:r>
      <w:r w:rsidR="00A1341C">
        <w:rPr>
          <w:rFonts w:ascii="Times New Roman" w:eastAsia="Arial" w:hAnsi="Times New Roman" w:cs="Times New Roman"/>
        </w:rPr>
        <w:t>BP</w:t>
      </w:r>
      <w:r w:rsidRPr="003770FA">
        <w:rPr>
          <w:rFonts w:ascii="Times New Roman" w:eastAsia="Arial" w:hAnsi="Times New Roman" w:cs="Times New Roman"/>
        </w:rPr>
        <w:t xml:space="preserve"> in addition to heart rate and oxygen saturation, using a pulse oximeter. It can be used in place of existing automated </w:t>
      </w:r>
      <w:r w:rsidR="00A1341C">
        <w:rPr>
          <w:rFonts w:ascii="Times New Roman" w:eastAsia="Arial" w:hAnsi="Times New Roman" w:cs="Times New Roman"/>
        </w:rPr>
        <w:t>BP</w:t>
      </w:r>
      <w:r w:rsidRPr="003770FA">
        <w:rPr>
          <w:rFonts w:ascii="Times New Roman" w:eastAsia="Arial" w:hAnsi="Times New Roman" w:cs="Times New Roman"/>
        </w:rPr>
        <w:t xml:space="preserve"> cuffs as it meets the ISO 81060 standard for the accuracy against both invasive and non-invasive </w:t>
      </w:r>
      <w:r w:rsidR="00A1341C">
        <w:rPr>
          <w:rFonts w:ascii="Times New Roman" w:eastAsia="Arial" w:hAnsi="Times New Roman" w:cs="Times New Roman"/>
        </w:rPr>
        <w:t xml:space="preserve">BP </w:t>
      </w:r>
      <w:r w:rsidRPr="003770FA">
        <w:rPr>
          <w:rFonts w:ascii="Times New Roman" w:eastAsia="Arial" w:hAnsi="Times New Roman" w:cs="Times New Roman"/>
        </w:rPr>
        <w:t xml:space="preserve">measurements. The size of the </w:t>
      </w:r>
      <w:r w:rsidR="00A1341C">
        <w:rPr>
          <w:rFonts w:ascii="Times New Roman" w:eastAsia="Arial" w:hAnsi="Times New Roman" w:cs="Times New Roman"/>
        </w:rPr>
        <w:t>BP</w:t>
      </w:r>
      <w:r w:rsidRPr="003770FA">
        <w:rPr>
          <w:rFonts w:ascii="Times New Roman" w:eastAsia="Arial" w:hAnsi="Times New Roman" w:cs="Times New Roman"/>
        </w:rPr>
        <w:t xml:space="preserve"> cuff used for </w:t>
      </w:r>
      <w:r w:rsidR="00A1341C">
        <w:rPr>
          <w:rFonts w:ascii="Times New Roman" w:eastAsia="Arial" w:hAnsi="Times New Roman" w:cs="Times New Roman"/>
        </w:rPr>
        <w:t>BP</w:t>
      </w:r>
      <w:r w:rsidRPr="003770FA">
        <w:rPr>
          <w:rFonts w:ascii="Times New Roman" w:eastAsia="Arial" w:hAnsi="Times New Roman" w:cs="Times New Roman"/>
        </w:rPr>
        <w:t xml:space="preserve"> and the FCR score is matched to the individual’s arm diameter, using the same guidelines as for clinical </w:t>
      </w:r>
      <w:r w:rsidR="00A1341C">
        <w:rPr>
          <w:rFonts w:ascii="Times New Roman" w:eastAsia="Arial" w:hAnsi="Times New Roman" w:cs="Times New Roman"/>
        </w:rPr>
        <w:t>BP</w:t>
      </w:r>
      <w:r w:rsidRPr="003770FA">
        <w:rPr>
          <w:rFonts w:ascii="Times New Roman" w:eastAsia="Arial" w:hAnsi="Times New Roman" w:cs="Times New Roman"/>
        </w:rPr>
        <w:t xml:space="preserve"> testing.</w:t>
      </w:r>
    </w:p>
    <w:p w14:paraId="32A6AE83" w14:textId="789EC258" w:rsidR="002C24C9" w:rsidRDefault="002C24C9" w:rsidP="002C24C9">
      <w:pPr>
        <w:spacing w:line="480" w:lineRule="auto"/>
        <w:ind w:firstLine="720"/>
        <w:jc w:val="both"/>
        <w:rPr>
          <w:rFonts w:ascii="Times New Roman" w:eastAsia="Arial" w:hAnsi="Times New Roman" w:cs="Times New Roman"/>
        </w:rPr>
      </w:pPr>
      <w:r>
        <w:rPr>
          <w:rFonts w:ascii="Times New Roman" w:eastAsia="Arial" w:hAnsi="Times New Roman" w:cs="Times New Roman"/>
        </w:rPr>
        <w:t>To obtain</w:t>
      </w:r>
      <w:r w:rsidRPr="003770FA">
        <w:rPr>
          <w:rFonts w:ascii="Times New Roman" w:eastAsia="Arial" w:hAnsi="Times New Roman" w:cs="Times New Roman"/>
        </w:rPr>
        <w:t xml:space="preserve"> the FCR measurement, participants were placed in a quiet, temperature-controlled room on a comfortable exam table with the upper torso slightly elevated. The left arm was extended and comfortably immobilized at heart level. The device’s </w:t>
      </w:r>
      <w:r w:rsidR="00A1341C">
        <w:rPr>
          <w:rFonts w:ascii="Times New Roman" w:eastAsia="Arial" w:hAnsi="Times New Roman" w:cs="Times New Roman"/>
        </w:rPr>
        <w:t>BP</w:t>
      </w:r>
      <w:r w:rsidRPr="003770FA">
        <w:rPr>
          <w:rFonts w:ascii="Times New Roman" w:eastAsia="Arial" w:hAnsi="Times New Roman" w:cs="Times New Roman"/>
        </w:rPr>
        <w:t xml:space="preserve"> cuff was placed on the arm and the oximeter finger sensor was placed on a finger of the ipsilateral hand. Baseline measurements were obtained by pressing the start button which automatically inflated the cuff to a </w:t>
      </w:r>
      <w:proofErr w:type="spellStart"/>
      <w:r w:rsidRPr="003770FA">
        <w:rPr>
          <w:rFonts w:ascii="Times New Roman" w:eastAsia="Arial" w:hAnsi="Times New Roman" w:cs="Times New Roman"/>
        </w:rPr>
        <w:t>suprasystolic</w:t>
      </w:r>
      <w:proofErr w:type="spellEnd"/>
      <w:r w:rsidRPr="003770FA">
        <w:rPr>
          <w:rFonts w:ascii="Times New Roman" w:eastAsia="Arial" w:hAnsi="Times New Roman" w:cs="Times New Roman"/>
        </w:rPr>
        <w:t xml:space="preserve"> pressure. This </w:t>
      </w:r>
      <w:proofErr w:type="spellStart"/>
      <w:r w:rsidRPr="003770FA">
        <w:rPr>
          <w:rFonts w:ascii="Times New Roman" w:eastAsia="Arial" w:hAnsi="Times New Roman" w:cs="Times New Roman"/>
        </w:rPr>
        <w:t>suprasystolic</w:t>
      </w:r>
      <w:proofErr w:type="spellEnd"/>
      <w:r w:rsidRPr="003770FA">
        <w:rPr>
          <w:rFonts w:ascii="Times New Roman" w:eastAsia="Arial" w:hAnsi="Times New Roman" w:cs="Times New Roman"/>
        </w:rPr>
        <w:t xml:space="preserve"> pressure was identified through dissipation of the pulse signal at the SpO</w:t>
      </w:r>
      <w:r w:rsidRPr="003770FA">
        <w:rPr>
          <w:rFonts w:ascii="Times New Roman" w:eastAsia="Arial" w:hAnsi="Times New Roman" w:cs="Times New Roman"/>
          <w:vertAlign w:val="subscript"/>
        </w:rPr>
        <w:t>2</w:t>
      </w:r>
      <w:r w:rsidRPr="003770FA">
        <w:rPr>
          <w:rFonts w:ascii="Times New Roman" w:eastAsia="Arial" w:hAnsi="Times New Roman" w:cs="Times New Roman"/>
        </w:rPr>
        <w:t xml:space="preserve"> finger sensor. Once the </w:t>
      </w:r>
      <w:proofErr w:type="spellStart"/>
      <w:r w:rsidRPr="003770FA">
        <w:rPr>
          <w:rFonts w:ascii="Times New Roman" w:eastAsia="Arial" w:hAnsi="Times New Roman" w:cs="Times New Roman"/>
        </w:rPr>
        <w:t>suprasystolic</w:t>
      </w:r>
      <w:proofErr w:type="spellEnd"/>
      <w:r w:rsidRPr="003770FA">
        <w:rPr>
          <w:rFonts w:ascii="Times New Roman" w:eastAsia="Arial" w:hAnsi="Times New Roman" w:cs="Times New Roman"/>
        </w:rPr>
        <w:t xml:space="preserve"> pressure was reached, the cuff pressure was automatically reduced at approximately 2-3 mmHg/sec. Data on arterial compliance was acquired at a rate of 200 data points/sec across the pressure range from </w:t>
      </w:r>
      <w:proofErr w:type="spellStart"/>
      <w:r w:rsidRPr="003770FA">
        <w:rPr>
          <w:rFonts w:ascii="Times New Roman" w:eastAsia="Arial" w:hAnsi="Times New Roman" w:cs="Times New Roman"/>
        </w:rPr>
        <w:t>suprasystolic</w:t>
      </w:r>
      <w:proofErr w:type="spellEnd"/>
      <w:r w:rsidRPr="003770FA">
        <w:rPr>
          <w:rFonts w:ascii="Times New Roman" w:eastAsia="Arial" w:hAnsi="Times New Roman" w:cs="Times New Roman"/>
        </w:rPr>
        <w:t xml:space="preserve"> cuff pressure to 20 mmHg cuff pressure. For post-occlusion hyperemia measurements, once the cuff reached 20 </w:t>
      </w:r>
      <w:r w:rsidRPr="003770FA">
        <w:rPr>
          <w:rFonts w:ascii="Times New Roman" w:eastAsia="Arial" w:hAnsi="Times New Roman" w:cs="Times New Roman"/>
        </w:rPr>
        <w:lastRenderedPageBreak/>
        <w:t xml:space="preserve">mmHg, it automatically inflated again to a </w:t>
      </w:r>
      <w:proofErr w:type="spellStart"/>
      <w:r w:rsidRPr="003770FA">
        <w:rPr>
          <w:rFonts w:ascii="Times New Roman" w:eastAsia="Arial" w:hAnsi="Times New Roman" w:cs="Times New Roman"/>
        </w:rPr>
        <w:t>suprasystolic</w:t>
      </w:r>
      <w:proofErr w:type="spellEnd"/>
      <w:r w:rsidRPr="003770FA">
        <w:rPr>
          <w:rFonts w:ascii="Times New Roman" w:eastAsia="Arial" w:hAnsi="Times New Roman" w:cs="Times New Roman"/>
        </w:rPr>
        <w:t xml:space="preserve"> pressure which was held for 5 min. Then, the cuff pressure was automatically reduced at approximately 2-3 mmHg/s</w:t>
      </w:r>
      <w:r w:rsidR="00A1341C">
        <w:rPr>
          <w:rFonts w:ascii="Times New Roman" w:eastAsia="Arial" w:hAnsi="Times New Roman" w:cs="Times New Roman"/>
        </w:rPr>
        <w:t>ec</w:t>
      </w:r>
      <w:r w:rsidRPr="003770FA">
        <w:rPr>
          <w:rFonts w:ascii="Times New Roman" w:eastAsia="Arial" w:hAnsi="Times New Roman" w:cs="Times New Roman"/>
        </w:rPr>
        <w:t xml:space="preserve">. Data acquisition, related to arterial compliance again occurred during the cuff pressure descent to 20 mmHg. The data obtained during the cuff pressure descent of both the baseline and hyperemia tests yielded the FCR. All participants tolerated the 5 min </w:t>
      </w:r>
      <w:proofErr w:type="spellStart"/>
      <w:r w:rsidRPr="003770FA">
        <w:rPr>
          <w:rFonts w:ascii="Times New Roman" w:eastAsia="Arial" w:hAnsi="Times New Roman" w:cs="Times New Roman"/>
        </w:rPr>
        <w:t>suprasystolic</w:t>
      </w:r>
      <w:proofErr w:type="spellEnd"/>
      <w:r w:rsidRPr="003770FA">
        <w:rPr>
          <w:rFonts w:ascii="Times New Roman" w:eastAsia="Arial" w:hAnsi="Times New Roman" w:cs="Times New Roman"/>
        </w:rPr>
        <w:t xml:space="preserve"> cuff pressure hold well and without complication.</w:t>
      </w:r>
    </w:p>
    <w:p w14:paraId="3F819D93" w14:textId="77777777" w:rsidR="002C24C9" w:rsidRDefault="002C24C9" w:rsidP="002C24C9">
      <w:pPr>
        <w:spacing w:line="480" w:lineRule="auto"/>
        <w:ind w:firstLine="720"/>
        <w:jc w:val="both"/>
        <w:rPr>
          <w:rFonts w:ascii="Times New Roman" w:eastAsia="Arial" w:hAnsi="Times New Roman" w:cs="Times New Roman"/>
        </w:rPr>
      </w:pPr>
    </w:p>
    <w:p w14:paraId="6A86DCE7" w14:textId="77777777" w:rsidR="002C24C9" w:rsidRPr="00463D0B" w:rsidRDefault="002C24C9" w:rsidP="002C24C9">
      <w:pPr>
        <w:spacing w:before="200" w:line="480" w:lineRule="auto"/>
        <w:rPr>
          <w:rFonts w:ascii="Times New Roman" w:eastAsia="Arial" w:hAnsi="Times New Roman" w:cs="Times New Roman"/>
        </w:rPr>
      </w:pPr>
      <w:r w:rsidRPr="00E775C8">
        <w:rPr>
          <w:rFonts w:ascii="Times New Roman" w:eastAsia="Arial" w:hAnsi="Times New Roman" w:cs="Times New Roman"/>
          <w:b/>
          <w:bCs/>
          <w:i/>
          <w:iCs/>
        </w:rPr>
        <w:t>STATISTICAL ANALYSIS</w:t>
      </w:r>
    </w:p>
    <w:p w14:paraId="52D57537" w14:textId="404BAEC5" w:rsidR="002C24C9" w:rsidRDefault="002C24C9" w:rsidP="002C24C9">
      <w:pPr>
        <w:spacing w:line="480" w:lineRule="auto"/>
        <w:ind w:firstLine="720"/>
        <w:jc w:val="both"/>
        <w:rPr>
          <w:rFonts w:ascii="Times New Roman" w:eastAsia="Arial" w:hAnsi="Times New Roman" w:cs="Times New Roman"/>
        </w:rPr>
      </w:pPr>
      <w:r w:rsidRPr="003770FA">
        <w:rPr>
          <w:rFonts w:ascii="Times New Roman" w:eastAsia="Arial" w:hAnsi="Times New Roman" w:cs="Times New Roman"/>
        </w:rPr>
        <w:t xml:space="preserve">Descriptive statistics were used to calculate univariate summary statistics for each variable of interest. The associations of the FCR and measures of </w:t>
      </w:r>
      <w:r>
        <w:rPr>
          <w:rFonts w:ascii="Times New Roman" w:eastAsia="Arial" w:hAnsi="Times New Roman" w:cs="Times New Roman"/>
        </w:rPr>
        <w:t>obesity</w:t>
      </w:r>
      <w:r w:rsidRPr="003770FA">
        <w:rPr>
          <w:rFonts w:ascii="Times New Roman" w:eastAsia="Arial" w:hAnsi="Times New Roman" w:cs="Times New Roman"/>
        </w:rPr>
        <w:t xml:space="preserve">, </w:t>
      </w:r>
      <w:r w:rsidR="00A1341C">
        <w:rPr>
          <w:rFonts w:ascii="Times New Roman" w:eastAsia="Arial" w:hAnsi="Times New Roman" w:cs="Times New Roman"/>
        </w:rPr>
        <w:t>exercise capacity</w:t>
      </w:r>
      <w:r w:rsidRPr="003770FA">
        <w:rPr>
          <w:rFonts w:ascii="Times New Roman" w:eastAsia="Arial" w:hAnsi="Times New Roman" w:cs="Times New Roman"/>
        </w:rPr>
        <w:t xml:space="preserve">, and physical activity </w:t>
      </w:r>
      <w:proofErr w:type="gramStart"/>
      <w:r w:rsidRPr="003770FA">
        <w:rPr>
          <w:rFonts w:ascii="Times New Roman" w:eastAsia="Arial" w:hAnsi="Times New Roman" w:cs="Times New Roman"/>
        </w:rPr>
        <w:t>were</w:t>
      </w:r>
      <w:proofErr w:type="gramEnd"/>
      <w:r w:rsidRPr="003770FA">
        <w:rPr>
          <w:rFonts w:ascii="Times New Roman" w:eastAsia="Arial" w:hAnsi="Times New Roman" w:cs="Times New Roman"/>
        </w:rPr>
        <w:t xml:space="preserve"> assessed using bivariate regression models for continuous or categorical responses. Multivariate regression models included variables that showed an association with FCR in the bivariate analyses.</w:t>
      </w:r>
    </w:p>
    <w:p w14:paraId="455BBBDF" w14:textId="77777777" w:rsidR="002C24C9" w:rsidRDefault="002C24C9"/>
    <w:sectPr w:rsidR="002C24C9" w:rsidSect="000868D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C9"/>
    <w:rsid w:val="000332F8"/>
    <w:rsid w:val="00043169"/>
    <w:rsid w:val="000868D5"/>
    <w:rsid w:val="000A1F03"/>
    <w:rsid w:val="000C7096"/>
    <w:rsid w:val="00104A66"/>
    <w:rsid w:val="001155BD"/>
    <w:rsid w:val="00130385"/>
    <w:rsid w:val="001342FA"/>
    <w:rsid w:val="00137675"/>
    <w:rsid w:val="0014014E"/>
    <w:rsid w:val="0019637F"/>
    <w:rsid w:val="001A503D"/>
    <w:rsid w:val="001C1EF7"/>
    <w:rsid w:val="00221664"/>
    <w:rsid w:val="002268FE"/>
    <w:rsid w:val="002758D1"/>
    <w:rsid w:val="002C24C9"/>
    <w:rsid w:val="003024E2"/>
    <w:rsid w:val="0040462A"/>
    <w:rsid w:val="004313BD"/>
    <w:rsid w:val="004520F0"/>
    <w:rsid w:val="004830B9"/>
    <w:rsid w:val="0048728D"/>
    <w:rsid w:val="004B61FC"/>
    <w:rsid w:val="004E004D"/>
    <w:rsid w:val="005166AD"/>
    <w:rsid w:val="005F6FE4"/>
    <w:rsid w:val="006317A3"/>
    <w:rsid w:val="006B2961"/>
    <w:rsid w:val="006C44EB"/>
    <w:rsid w:val="006C7BA1"/>
    <w:rsid w:val="006E7C88"/>
    <w:rsid w:val="00714FC7"/>
    <w:rsid w:val="007176AE"/>
    <w:rsid w:val="00757895"/>
    <w:rsid w:val="00760AF2"/>
    <w:rsid w:val="00767FDB"/>
    <w:rsid w:val="00781CBE"/>
    <w:rsid w:val="0079489F"/>
    <w:rsid w:val="007B517C"/>
    <w:rsid w:val="00815BF6"/>
    <w:rsid w:val="0081681D"/>
    <w:rsid w:val="008202C8"/>
    <w:rsid w:val="0082396E"/>
    <w:rsid w:val="0084026D"/>
    <w:rsid w:val="008461C4"/>
    <w:rsid w:val="008535E6"/>
    <w:rsid w:val="00931925"/>
    <w:rsid w:val="009C56FB"/>
    <w:rsid w:val="009E0A28"/>
    <w:rsid w:val="00A1341C"/>
    <w:rsid w:val="00A3005E"/>
    <w:rsid w:val="00AC6507"/>
    <w:rsid w:val="00B670A6"/>
    <w:rsid w:val="00B751A2"/>
    <w:rsid w:val="00BA4C95"/>
    <w:rsid w:val="00BB208D"/>
    <w:rsid w:val="00BC6701"/>
    <w:rsid w:val="00C51866"/>
    <w:rsid w:val="00C613C0"/>
    <w:rsid w:val="00C6187B"/>
    <w:rsid w:val="00C8769D"/>
    <w:rsid w:val="00CA7FE1"/>
    <w:rsid w:val="00CC70B1"/>
    <w:rsid w:val="00CD796E"/>
    <w:rsid w:val="00CE7ED8"/>
    <w:rsid w:val="00D40AEF"/>
    <w:rsid w:val="00D623CE"/>
    <w:rsid w:val="00D7258A"/>
    <w:rsid w:val="00D81F34"/>
    <w:rsid w:val="00D91EF7"/>
    <w:rsid w:val="00DF5BF3"/>
    <w:rsid w:val="00DF7FDF"/>
    <w:rsid w:val="00E1706D"/>
    <w:rsid w:val="00E21829"/>
    <w:rsid w:val="00EE72C6"/>
    <w:rsid w:val="00EF2D35"/>
    <w:rsid w:val="00F32C3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E2F1D18"/>
  <w14:defaultImageDpi w14:val="32767"/>
  <w15:chartTrackingRefBased/>
  <w15:docId w15:val="{86F8D4FA-30B6-E441-A66B-2999B8AA1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8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657EE3BDAE5F48ABFA360869E8A6B5"/>
        <w:category>
          <w:name w:val="General"/>
          <w:gallery w:val="placeholder"/>
        </w:category>
        <w:types>
          <w:type w:val="bbPlcHdr"/>
        </w:types>
        <w:behaviors>
          <w:behavior w:val="content"/>
        </w:behaviors>
        <w:guid w:val="{AD48CED7-73EF-164E-98BC-34F825B19197}"/>
      </w:docPartPr>
      <w:docPartBody>
        <w:p w:rsidR="00954562" w:rsidRDefault="004D19E7" w:rsidP="004D19E7">
          <w:pPr>
            <w:pStyle w:val="D4657EE3BDAE5F48ABFA360869E8A6B5"/>
          </w:pPr>
          <w:r w:rsidRPr="00705BD7">
            <w:rPr>
              <w:rStyle w:val="PlaceholderText"/>
            </w:rPr>
            <w:t>Click or tap here to enter text.</w:t>
          </w:r>
        </w:p>
      </w:docPartBody>
    </w:docPart>
    <w:docPart>
      <w:docPartPr>
        <w:name w:val="A96FC509619F4F4B9C0289FB21797802"/>
        <w:category>
          <w:name w:val="General"/>
          <w:gallery w:val="placeholder"/>
        </w:category>
        <w:types>
          <w:type w:val="bbPlcHdr"/>
        </w:types>
        <w:behaviors>
          <w:behavior w:val="content"/>
        </w:behaviors>
        <w:guid w:val="{018F1839-D7FA-BE43-9DF3-F5B0794CCB49}"/>
      </w:docPartPr>
      <w:docPartBody>
        <w:p w:rsidR="00954562" w:rsidRDefault="004D19E7" w:rsidP="004D19E7">
          <w:pPr>
            <w:pStyle w:val="A96FC509619F4F4B9C0289FB21797802"/>
          </w:pPr>
          <w:r w:rsidRPr="00705BD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E7"/>
    <w:rsid w:val="004D19E7"/>
    <w:rsid w:val="00830FE7"/>
    <w:rsid w:val="008541F8"/>
    <w:rsid w:val="00954562"/>
    <w:rsid w:val="00C800D7"/>
    <w:rsid w:val="00FE7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9E7"/>
    <w:rPr>
      <w:color w:val="808080"/>
    </w:rPr>
  </w:style>
  <w:style w:type="paragraph" w:customStyle="1" w:styleId="D4657EE3BDAE5F48ABFA360869E8A6B5">
    <w:name w:val="D4657EE3BDAE5F48ABFA360869E8A6B5"/>
    <w:rsid w:val="004D19E7"/>
  </w:style>
  <w:style w:type="paragraph" w:customStyle="1" w:styleId="A96FC509619F4F4B9C0289FB21797802">
    <w:name w:val="A96FC509619F4F4B9C0289FB21797802"/>
    <w:rsid w:val="004D19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716</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Knowles</dc:creator>
  <cp:keywords/>
  <dc:description/>
  <cp:lastModifiedBy>Kaminsky, Leonard A.</cp:lastModifiedBy>
  <cp:revision>3</cp:revision>
  <dcterms:created xsi:type="dcterms:W3CDTF">2023-04-28T20:53:00Z</dcterms:created>
  <dcterms:modified xsi:type="dcterms:W3CDTF">2023-04-28T20:59:00Z</dcterms:modified>
</cp:coreProperties>
</file>