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2F" w:rsidRPr="00A73732" w:rsidRDefault="00C0592F" w:rsidP="00C0592F">
      <w:pPr>
        <w:rPr>
          <w:rFonts w:eastAsia="Calibri"/>
          <w:b/>
          <w:color w:val="auto"/>
          <w:kern w:val="0"/>
          <w:lang w:val="en-AU" w:eastAsia="en-US"/>
        </w:rPr>
      </w:pPr>
      <w:r w:rsidRPr="00A73732">
        <w:rPr>
          <w:rFonts w:eastAsia="Calibri"/>
          <w:b/>
          <w:color w:val="auto"/>
          <w:kern w:val="0"/>
          <w:lang w:val="en-AU" w:eastAsia="en-US"/>
        </w:rPr>
        <w:t>SDC Table 2. Assessment of Risk of Bias</w:t>
      </w:r>
    </w:p>
    <w:tbl>
      <w:tblPr>
        <w:tblW w:w="137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362"/>
        <w:gridCol w:w="1859"/>
        <w:gridCol w:w="1487"/>
        <w:gridCol w:w="1611"/>
        <w:gridCol w:w="992"/>
        <w:gridCol w:w="1487"/>
        <w:gridCol w:w="1611"/>
        <w:gridCol w:w="1123"/>
      </w:tblGrid>
      <w:tr w:rsidR="00C0592F" w:rsidRPr="00A73732" w:rsidTr="00F60530">
        <w:trPr>
          <w:trHeight w:val="136"/>
        </w:trPr>
        <w:tc>
          <w:tcPr>
            <w:tcW w:w="2225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Selection Bias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Performance Bias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Detection Bias</w:t>
            </w:r>
          </w:p>
        </w:tc>
        <w:tc>
          <w:tcPr>
            <w:tcW w:w="3098" w:type="dxa"/>
            <w:gridSpan w:val="2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Attrition Bias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b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Reporting Bias</w:t>
            </w:r>
          </w:p>
        </w:tc>
      </w:tr>
      <w:tr w:rsidR="00C0592F" w:rsidRPr="00A73732" w:rsidTr="00F60530">
        <w:trPr>
          <w:trHeight w:val="193"/>
        </w:trPr>
        <w:tc>
          <w:tcPr>
            <w:tcW w:w="2225" w:type="dxa"/>
            <w:shd w:val="clear" w:color="auto" w:fill="auto"/>
          </w:tcPr>
          <w:p w:rsidR="00C0592F" w:rsidRPr="00A73732" w:rsidRDefault="00C0592F" w:rsidP="00C7489F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Author (Year)</w:t>
            </w:r>
          </w:p>
        </w:tc>
        <w:tc>
          <w:tcPr>
            <w:tcW w:w="1362" w:type="dxa"/>
            <w:shd w:val="clear" w:color="auto" w:fill="auto"/>
          </w:tcPr>
          <w:p w:rsidR="00C0592F" w:rsidRPr="00A73732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Random Sequence Generation</w:t>
            </w:r>
          </w:p>
        </w:tc>
        <w:tc>
          <w:tcPr>
            <w:tcW w:w="1859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Allocation Concealment 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F6053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Blinding of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P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articipants and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P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ersonnel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F6053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Blinding of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O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utcome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A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ssessors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Patient-R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eported</w:t>
            </w:r>
          </w:p>
        </w:tc>
        <w:tc>
          <w:tcPr>
            <w:tcW w:w="992" w:type="dxa"/>
            <w:shd w:val="clear" w:color="auto" w:fill="auto"/>
          </w:tcPr>
          <w:p w:rsidR="00C0592F" w:rsidRPr="00A73732" w:rsidRDefault="00C0592F" w:rsidP="00F6053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Blinding of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O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utcome: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M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ortality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F6053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Incomplete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O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utcome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D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ata</w:t>
            </w:r>
            <w:r w:rsidR="00A237A3">
              <w:rPr>
                <w:rFonts w:eastAsia="Calibri"/>
                <w:b/>
                <w:color w:val="auto"/>
                <w:kern w:val="0"/>
                <w:lang w:val="en-AU" w:eastAsia="en-US"/>
              </w:rPr>
              <w:t>: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S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hort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-T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erm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O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utcomes </w:t>
            </w:r>
            <w:r w:rsidR="009B1FA9">
              <w:rPr>
                <w:rFonts w:eastAsia="Calibri"/>
                <w:b/>
                <w:color w:val="auto"/>
                <w:kern w:val="0"/>
                <w:lang w:val="en-AU" w:eastAsia="en-US"/>
              </w:rPr>
              <w:t>(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2-6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W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k</w:t>
            </w:r>
            <w:r w:rsidR="009B1FA9">
              <w:rPr>
                <w:rFonts w:eastAsia="Calibri"/>
                <w:b/>
                <w:color w:val="auto"/>
                <w:kern w:val="0"/>
                <w:lang w:val="en-AU" w:eastAsia="en-US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F6053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Incomplete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O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utcome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D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ata</w:t>
            </w:r>
            <w:r w:rsidR="00A237A3">
              <w:rPr>
                <w:rFonts w:eastAsia="Calibri"/>
                <w:b/>
                <w:color w:val="auto"/>
                <w:kern w:val="0"/>
                <w:lang w:val="en-AU" w:eastAsia="en-US"/>
              </w:rPr>
              <w:t>: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L</w:t>
            </w:r>
            <w:r w:rsidR="00F60530"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ong-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T</w:t>
            </w:r>
            <w:r w:rsidR="00F60530"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erm </w:t>
            </w:r>
            <w:r w:rsidR="009B1FA9">
              <w:rPr>
                <w:rFonts w:eastAsia="Calibri"/>
                <w:b/>
                <w:color w:val="auto"/>
                <w:kern w:val="0"/>
                <w:lang w:val="en-AU" w:eastAsia="en-US"/>
              </w:rPr>
              <w:t>(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&gt;6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W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k</w:t>
            </w:r>
            <w:r w:rsidR="009B1FA9">
              <w:rPr>
                <w:rFonts w:eastAsia="Calibri"/>
                <w:b/>
                <w:color w:val="auto"/>
                <w:kern w:val="0"/>
                <w:lang w:val="en-AU" w:eastAsia="en-US"/>
              </w:rPr>
              <w:t>)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F6053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 xml:space="preserve">Selective </w:t>
            </w:r>
            <w:r w:rsidR="00F60530">
              <w:rPr>
                <w:rFonts w:eastAsia="Calibri"/>
                <w:b/>
                <w:color w:val="auto"/>
                <w:kern w:val="0"/>
                <w:lang w:val="en-AU" w:eastAsia="en-US"/>
              </w:rPr>
              <w:t>R</w:t>
            </w:r>
            <w:r w:rsidRPr="00A73732">
              <w:rPr>
                <w:rFonts w:eastAsia="Calibri"/>
                <w:b/>
                <w:color w:val="auto"/>
                <w:kern w:val="0"/>
                <w:lang w:val="en-AU" w:eastAsia="en-US"/>
              </w:rPr>
              <w:t>eporting</w:t>
            </w:r>
          </w:p>
        </w:tc>
      </w:tr>
      <w:tr w:rsidR="00C0592F" w:rsidRPr="00A73732" w:rsidTr="00F60530">
        <w:trPr>
          <w:trHeight w:val="203"/>
        </w:trPr>
        <w:tc>
          <w:tcPr>
            <w:tcW w:w="2225" w:type="dxa"/>
            <w:shd w:val="clear" w:color="auto" w:fill="auto"/>
          </w:tcPr>
          <w:p w:rsidR="00C0592F" w:rsidRPr="00D65F7D" w:rsidRDefault="00C0592F" w:rsidP="00621425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noProof/>
                <w:color w:val="auto"/>
                <w:kern w:val="0"/>
                <w:lang w:val="en-AU" w:eastAsia="en-US"/>
              </w:rPr>
              <w:t>Mosca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 (2010)</w:t>
            </w:r>
            <w:r w:rsidR="003137F4"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25</w:t>
            </w:r>
            <w:r w:rsidR="00D65F7D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; </w:t>
            </w:r>
            <w:r w:rsidR="00287924" w:rsidRPr="00287924">
              <w:rPr>
                <w:rFonts w:eastAsia="Calibri"/>
              </w:rPr>
              <w:t>Christian</w:t>
            </w:r>
            <w:r w:rsidR="00621425">
              <w:rPr>
                <w:rFonts w:eastAsia="Calibri"/>
              </w:rPr>
              <w:t xml:space="preserve"> et al. (2007)</w:t>
            </w:r>
            <w:r w:rsidR="00287924" w:rsidRPr="00287924">
              <w:rPr>
                <w:rFonts w:eastAsia="Calibri"/>
                <w:vertAlign w:val="superscript"/>
              </w:rPr>
              <w:t>34</w:t>
            </w:r>
          </w:p>
        </w:tc>
        <w:tc>
          <w:tcPr>
            <w:tcW w:w="1362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F60530" w:rsidRPr="00A73732" w:rsidRDefault="00F60530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A237A3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Block design</w:t>
            </w:r>
            <w:r w:rsidR="00F60530">
              <w:rPr>
                <w:rFonts w:eastAsia="Calibri"/>
                <w:color w:val="auto"/>
                <w:kern w:val="0"/>
                <w:lang w:val="en-AU" w:eastAsia="en-US"/>
              </w:rPr>
              <w:t>;</w:t>
            </w: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 xml:space="preserve"> </w:t>
            </w:r>
            <w:r w:rsidR="00A237A3">
              <w:rPr>
                <w:rFonts w:eastAsia="Calibri"/>
                <w:color w:val="auto"/>
                <w:kern w:val="0"/>
                <w:lang w:val="en-AU" w:eastAsia="en-US"/>
              </w:rPr>
              <w:t>c</w:t>
            </w: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entral dial-in web-based system</w:t>
            </w:r>
          </w:p>
        </w:tc>
        <w:tc>
          <w:tcPr>
            <w:tcW w:w="1859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Unclear risk</w:t>
            </w:r>
          </w:p>
          <w:p w:rsidR="00A237A3" w:rsidRPr="00A73732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No information provided</w:t>
            </w:r>
          </w:p>
        </w:tc>
        <w:tc>
          <w:tcPr>
            <w:tcW w:w="1487" w:type="dxa"/>
            <w:shd w:val="clear" w:color="auto" w:fill="auto"/>
          </w:tcPr>
          <w:p w:rsidR="00C0592F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High risk</w:t>
            </w:r>
          </w:p>
          <w:p w:rsidR="00A237A3" w:rsidRPr="00A73732" w:rsidRDefault="00A237A3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Unable to blind participants; no information provided for study personnel</w:t>
            </w:r>
          </w:p>
        </w:tc>
        <w:tc>
          <w:tcPr>
            <w:tcW w:w="1611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Unclear risk</w:t>
            </w:r>
          </w:p>
          <w:p w:rsidR="00A237A3" w:rsidRPr="00A73732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No information provided</w:t>
            </w:r>
          </w:p>
        </w:tc>
        <w:tc>
          <w:tcPr>
            <w:tcW w:w="992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n/a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n/a</w:t>
            </w:r>
          </w:p>
          <w:p w:rsidR="00A237A3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Outcome</w:t>
            </w:r>
            <w:r w:rsidR="00A237A3">
              <w:rPr>
                <w:rFonts w:eastAsia="Calibri"/>
                <w:color w:val="auto"/>
                <w:kern w:val="0"/>
                <w:lang w:val="en-AU" w:eastAsia="en-US"/>
              </w:rPr>
              <w:t>s</w:t>
            </w: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 xml:space="preserve"> measured at 6 mo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A237A3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Intention to treat analysis used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</w:tr>
      <w:tr w:rsidR="00C0592F" w:rsidRPr="00A73732" w:rsidTr="00F60530">
        <w:trPr>
          <w:trHeight w:val="203"/>
        </w:trPr>
        <w:tc>
          <w:tcPr>
            <w:tcW w:w="2225" w:type="dxa"/>
            <w:shd w:val="clear" w:color="auto" w:fill="auto"/>
          </w:tcPr>
          <w:p w:rsidR="00C0592F" w:rsidRPr="00EE3794" w:rsidRDefault="00846C00" w:rsidP="00C7489F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Beckie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(2014)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28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; Beckie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>. (2010)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29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; Beckie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(2011)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32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;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 xml:space="preserve"> 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Beckie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(2010)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33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; Beckie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(2013)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35</w:t>
            </w:r>
            <w:r>
              <w:rPr>
                <w:rFonts w:eastAsia="Calibri"/>
                <w:color w:val="auto"/>
                <w:kern w:val="0"/>
                <w:lang w:val="en-AU" w:eastAsia="en-US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</w:tcPr>
          <w:p w:rsidR="00C0592F" w:rsidRPr="00A73732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 xml:space="preserve">Low risk </w:t>
            </w:r>
          </w:p>
          <w:p w:rsidR="00A237A3" w:rsidRDefault="00A237A3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A237A3" w:rsidP="00A237A3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B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ased coin randomization procedure</w:t>
            </w:r>
          </w:p>
        </w:tc>
        <w:tc>
          <w:tcPr>
            <w:tcW w:w="1859" w:type="dxa"/>
            <w:shd w:val="clear" w:color="auto" w:fill="auto"/>
          </w:tcPr>
          <w:p w:rsidR="00C0592F" w:rsidRPr="00A73732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A237A3" w:rsidRDefault="00A237A3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A237A3" w:rsidP="00A237A3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S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tatistician provided treatment assignment sheets that were placed in opaque envelopes, sealed and delivered to the project director</w:t>
            </w:r>
          </w:p>
        </w:tc>
        <w:tc>
          <w:tcPr>
            <w:tcW w:w="1487" w:type="dxa"/>
            <w:shd w:val="clear" w:color="auto" w:fill="auto"/>
          </w:tcPr>
          <w:p w:rsidR="00C0592F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High risk</w:t>
            </w:r>
          </w:p>
          <w:p w:rsidR="00A237A3" w:rsidRPr="00A73732" w:rsidRDefault="00A237A3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 xml:space="preserve">Unable to blind participants or </w:t>
            </w:r>
            <w:bookmarkStart w:id="0" w:name="_GoBack"/>
            <w:bookmarkEnd w:id="0"/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interventionist</w:t>
            </w:r>
          </w:p>
        </w:tc>
        <w:tc>
          <w:tcPr>
            <w:tcW w:w="1611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A237A3" w:rsidRPr="00A73732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 xml:space="preserve">Only project director </w:t>
            </w:r>
            <w:r w:rsidR="00A237A3">
              <w:rPr>
                <w:rFonts w:eastAsia="Calibri"/>
                <w:color w:val="auto"/>
                <w:kern w:val="0"/>
                <w:lang w:val="en-AU" w:eastAsia="en-US"/>
              </w:rPr>
              <w:t>a</w:t>
            </w: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ware of group assignment</w:t>
            </w:r>
          </w:p>
        </w:tc>
        <w:tc>
          <w:tcPr>
            <w:tcW w:w="992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n/a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C0592F" w:rsidRDefault="00C0592F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A237A3" w:rsidRPr="00A73732" w:rsidRDefault="00A237A3" w:rsidP="008B7570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A237A3" w:rsidP="00A237A3">
            <w:pPr>
              <w:ind w:left="-57" w:right="-113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I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ntention to treat analysis used</w:t>
            </w:r>
            <w:r w:rsidR="00C0592F" w:rsidRPr="00A73732"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3,4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; 9% difference in complete data (&lt;20%)</w:t>
            </w:r>
            <w:r w:rsidR="00C0592F" w:rsidRPr="00A73732"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5,8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; low attrition (1%)</w:t>
            </w:r>
            <w:r w:rsidR="00C0592F" w:rsidRPr="00A73732"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6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; 16% difference in group size, low attrition (6%)</w:t>
            </w:r>
            <w:r w:rsidR="00C0592F" w:rsidRPr="00A73732"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</w:tr>
      <w:tr w:rsidR="00C0592F" w:rsidRPr="00A73732" w:rsidTr="00F60530">
        <w:trPr>
          <w:trHeight w:val="203"/>
        </w:trPr>
        <w:tc>
          <w:tcPr>
            <w:tcW w:w="2225" w:type="dxa"/>
            <w:shd w:val="clear" w:color="auto" w:fill="auto"/>
          </w:tcPr>
          <w:p w:rsidR="00C0592F" w:rsidRPr="00EE3794" w:rsidRDefault="00846C00" w:rsidP="003137F4">
            <w:pPr>
              <w:rPr>
                <w:rFonts w:eastAsia="Calibri"/>
                <w:noProof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>Grace</w:t>
            </w:r>
            <w:r w:rsidR="00C7489F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et al.</w:t>
            </w:r>
            <w:r w:rsidR="00621425"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 (2016)</w:t>
            </w:r>
            <w:r>
              <w:rPr>
                <w:rFonts w:eastAsia="Calibri"/>
                <w:noProof/>
                <w:color w:val="auto"/>
                <w:kern w:val="0"/>
                <w:vertAlign w:val="superscript"/>
                <w:lang w:val="en-AU" w:eastAsia="en-US"/>
              </w:rPr>
              <w:t>26</w:t>
            </w:r>
            <w:r>
              <w:rPr>
                <w:rFonts w:eastAsia="Calibri"/>
                <w:noProof/>
                <w:color w:val="auto"/>
                <w:kern w:val="0"/>
                <w:lang w:val="en-AU" w:eastAsia="en-US"/>
              </w:rPr>
              <w:t xml:space="preserve">; </w:t>
            </w:r>
            <w:r w:rsidR="00287924" w:rsidRPr="00287924">
              <w:rPr>
                <w:rFonts w:eastAsia="Calibri"/>
                <w:noProof/>
              </w:rPr>
              <w:t>Midence</w:t>
            </w:r>
            <w:r w:rsidR="00C7489F">
              <w:rPr>
                <w:rFonts w:eastAsia="Calibri"/>
                <w:noProof/>
              </w:rPr>
              <w:t xml:space="preserve"> et al.</w:t>
            </w:r>
            <w:r w:rsidR="00621425">
              <w:rPr>
                <w:rFonts w:eastAsia="Calibri"/>
                <w:noProof/>
              </w:rPr>
              <w:t xml:space="preserve"> (2016)</w:t>
            </w:r>
            <w:r w:rsidR="00287924" w:rsidRPr="00287924">
              <w:rPr>
                <w:rFonts w:eastAsia="Calibri"/>
                <w:noProof/>
                <w:vertAlign w:val="superscript"/>
              </w:rPr>
              <w:t>31</w:t>
            </w:r>
            <w:r w:rsidR="00287924" w:rsidRPr="00287924">
              <w:rPr>
                <w:rFonts w:eastAsia="Calibri"/>
                <w:noProof/>
              </w:rPr>
              <w:t>; Andraos</w:t>
            </w:r>
            <w:r w:rsidR="00C7489F">
              <w:rPr>
                <w:rFonts w:eastAsia="Calibri"/>
                <w:noProof/>
              </w:rPr>
              <w:t xml:space="preserve"> et al.</w:t>
            </w:r>
            <w:r w:rsidR="00621425">
              <w:rPr>
                <w:rFonts w:eastAsia="Calibri"/>
                <w:noProof/>
              </w:rPr>
              <w:t xml:space="preserve"> (2015)</w:t>
            </w:r>
            <w:r w:rsidR="00287924" w:rsidRPr="00287924">
              <w:rPr>
                <w:rFonts w:eastAsia="Calibri"/>
                <w:noProof/>
                <w:vertAlign w:val="superscript"/>
              </w:rPr>
              <w:t>36</w:t>
            </w:r>
          </w:p>
          <w:p w:rsidR="003137F4" w:rsidRPr="003137F4" w:rsidRDefault="003137F4" w:rsidP="00B507CD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C0592F" w:rsidRPr="00A73732" w:rsidRDefault="00C0592F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Unclear risk</w:t>
            </w:r>
          </w:p>
          <w:p w:rsidR="00A237A3" w:rsidRDefault="00A237A3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A237A3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R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andomized</w:t>
            </w:r>
            <w:r>
              <w:rPr>
                <w:rFonts w:eastAsia="Calibri"/>
                <w:color w:val="auto"/>
                <w:kern w:val="0"/>
                <w:lang w:val="en-AU" w:eastAsia="en-US"/>
              </w:rPr>
              <w:t>;</w:t>
            </w:r>
          </w:p>
          <w:p w:rsidR="00C0592F" w:rsidRPr="00A73732" w:rsidRDefault="00A237A3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m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ethod not stated</w:t>
            </w:r>
          </w:p>
        </w:tc>
        <w:tc>
          <w:tcPr>
            <w:tcW w:w="1859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Unclear risk</w:t>
            </w:r>
          </w:p>
          <w:p w:rsidR="00A237A3" w:rsidRPr="00A73732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A237A3" w:rsidP="00A237A3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>
              <w:rPr>
                <w:rFonts w:eastAsia="Calibri"/>
                <w:color w:val="auto"/>
                <w:kern w:val="0"/>
                <w:lang w:val="en-AU" w:eastAsia="en-US"/>
              </w:rPr>
              <w:t>R</w:t>
            </w:r>
            <w:r w:rsidR="00C0592F" w:rsidRPr="00A73732">
              <w:rPr>
                <w:rFonts w:eastAsia="Calibri"/>
                <w:color w:val="auto"/>
                <w:kern w:val="0"/>
                <w:lang w:val="en-AU" w:eastAsia="en-US"/>
              </w:rPr>
              <w:t>ecruiters went online to ascertain randomization</w:t>
            </w:r>
          </w:p>
        </w:tc>
        <w:tc>
          <w:tcPr>
            <w:tcW w:w="1487" w:type="dxa"/>
            <w:shd w:val="clear" w:color="auto" w:fill="auto"/>
          </w:tcPr>
          <w:p w:rsidR="00C0592F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High risk</w:t>
            </w:r>
          </w:p>
          <w:p w:rsidR="00A237A3" w:rsidRPr="00A73732" w:rsidRDefault="00A237A3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Patients and CR sites informed of allocation</w:t>
            </w:r>
          </w:p>
        </w:tc>
        <w:tc>
          <w:tcPr>
            <w:tcW w:w="1611" w:type="dxa"/>
            <w:shd w:val="clear" w:color="auto" w:fill="auto"/>
          </w:tcPr>
          <w:p w:rsidR="00C0592F" w:rsidRDefault="00C0592F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A237A3" w:rsidRPr="00A73732" w:rsidRDefault="00A237A3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</w:p>
          <w:p w:rsidR="00C0592F" w:rsidRPr="00A73732" w:rsidRDefault="00C0592F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CR program members not aware of study objectives or which patients were enrolled in the trial</w:t>
            </w:r>
          </w:p>
        </w:tc>
        <w:tc>
          <w:tcPr>
            <w:tcW w:w="992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n/a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n/a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Intention to treat analysis used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</w:tr>
      <w:tr w:rsidR="00C0592F" w:rsidRPr="00A73732" w:rsidTr="00F60530">
        <w:trPr>
          <w:trHeight w:val="203"/>
        </w:trPr>
        <w:tc>
          <w:tcPr>
            <w:tcW w:w="2225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Total</w:t>
            </w:r>
          </w:p>
        </w:tc>
        <w:tc>
          <w:tcPr>
            <w:tcW w:w="1362" w:type="dxa"/>
            <w:shd w:val="clear" w:color="auto" w:fill="auto"/>
          </w:tcPr>
          <w:p w:rsidR="00C0592F" w:rsidRPr="00A73732" w:rsidRDefault="00C0592F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2 low risk</w:t>
            </w:r>
          </w:p>
          <w:p w:rsidR="00C0592F" w:rsidRPr="00A73732" w:rsidRDefault="00C0592F" w:rsidP="008B7570">
            <w:pPr>
              <w:ind w:left="-57" w:right="-57"/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1 unclear risk</w:t>
            </w:r>
          </w:p>
        </w:tc>
        <w:tc>
          <w:tcPr>
            <w:tcW w:w="1859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2 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1 unclear risk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3 high risk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2 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1 unclear risk</w:t>
            </w:r>
          </w:p>
        </w:tc>
        <w:tc>
          <w:tcPr>
            <w:tcW w:w="992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3 n/a</w:t>
            </w:r>
          </w:p>
        </w:tc>
        <w:tc>
          <w:tcPr>
            <w:tcW w:w="1487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1 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2 n/a</w:t>
            </w:r>
          </w:p>
        </w:tc>
        <w:tc>
          <w:tcPr>
            <w:tcW w:w="1611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3 low risk</w:t>
            </w:r>
          </w:p>
        </w:tc>
        <w:tc>
          <w:tcPr>
            <w:tcW w:w="1123" w:type="dxa"/>
            <w:shd w:val="clear" w:color="auto" w:fill="auto"/>
          </w:tcPr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  <w:r w:rsidRPr="00A73732">
              <w:rPr>
                <w:rFonts w:eastAsia="Calibri"/>
                <w:color w:val="auto"/>
                <w:kern w:val="0"/>
                <w:lang w:val="en-AU" w:eastAsia="en-US"/>
              </w:rPr>
              <w:t>3 low risk</w:t>
            </w:r>
          </w:p>
          <w:p w:rsidR="00C0592F" w:rsidRPr="00A73732" w:rsidRDefault="00C0592F" w:rsidP="008B7570">
            <w:pPr>
              <w:rPr>
                <w:rFonts w:eastAsia="Calibri"/>
                <w:color w:val="auto"/>
                <w:kern w:val="0"/>
                <w:lang w:val="en-AU" w:eastAsia="en-US"/>
              </w:rPr>
            </w:pPr>
          </w:p>
        </w:tc>
      </w:tr>
    </w:tbl>
    <w:p w:rsidR="00C0592F" w:rsidRPr="00A73732" w:rsidRDefault="00C0592F" w:rsidP="00C0592F">
      <w:pPr>
        <w:spacing w:after="160" w:line="259" w:lineRule="auto"/>
        <w:rPr>
          <w:rFonts w:eastAsia="Calibri"/>
          <w:color w:val="auto"/>
          <w:kern w:val="0"/>
          <w:lang w:val="en-AU" w:eastAsia="en-US"/>
        </w:rPr>
      </w:pPr>
      <w:r w:rsidRPr="00A73732">
        <w:rPr>
          <w:rFonts w:eastAsia="Calibri"/>
          <w:color w:val="auto"/>
          <w:kern w:val="0"/>
          <w:lang w:val="en-AU" w:eastAsia="en-US"/>
        </w:rPr>
        <w:t xml:space="preserve">Abbreviations: CR, cardiac rehabilitation; </w:t>
      </w:r>
      <w:proofErr w:type="gramStart"/>
      <w:r w:rsidRPr="00A73732">
        <w:rPr>
          <w:rFonts w:eastAsia="Calibri"/>
          <w:color w:val="auto"/>
          <w:kern w:val="0"/>
          <w:lang w:val="en-AU" w:eastAsia="en-US"/>
        </w:rPr>
        <w:t>n/a</w:t>
      </w:r>
      <w:proofErr w:type="gramEnd"/>
      <w:r w:rsidRPr="00A73732">
        <w:rPr>
          <w:rFonts w:eastAsia="Calibri"/>
          <w:color w:val="auto"/>
          <w:kern w:val="0"/>
          <w:lang w:val="en-AU" w:eastAsia="en-US"/>
        </w:rPr>
        <w:t>, not available.</w:t>
      </w:r>
    </w:p>
    <w:p w:rsidR="00D45726" w:rsidRDefault="00D45726"/>
    <w:sectPr w:rsidR="00D45726" w:rsidSect="00C05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Rao">
    <w15:presenceInfo w15:providerId="None" w15:userId="Angela Ra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0592F"/>
    <w:rsid w:val="00046772"/>
    <w:rsid w:val="000B4A15"/>
    <w:rsid w:val="00264974"/>
    <w:rsid w:val="00287924"/>
    <w:rsid w:val="003137F4"/>
    <w:rsid w:val="004069FF"/>
    <w:rsid w:val="005662D8"/>
    <w:rsid w:val="005E5424"/>
    <w:rsid w:val="006059BF"/>
    <w:rsid w:val="006129F0"/>
    <w:rsid w:val="00621425"/>
    <w:rsid w:val="0069678E"/>
    <w:rsid w:val="0077345C"/>
    <w:rsid w:val="00846C00"/>
    <w:rsid w:val="009B1FA9"/>
    <w:rsid w:val="00A237A3"/>
    <w:rsid w:val="00A9167D"/>
    <w:rsid w:val="00B05D6C"/>
    <w:rsid w:val="00B36D9D"/>
    <w:rsid w:val="00B507CD"/>
    <w:rsid w:val="00BC3447"/>
    <w:rsid w:val="00C0592F"/>
    <w:rsid w:val="00C7489F"/>
    <w:rsid w:val="00CC2365"/>
    <w:rsid w:val="00D45726"/>
    <w:rsid w:val="00D65F7D"/>
    <w:rsid w:val="00E77411"/>
    <w:rsid w:val="00EE3794"/>
    <w:rsid w:val="00F035E7"/>
    <w:rsid w:val="00F60530"/>
    <w:rsid w:val="00FD2B4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F"/>
    <w:rPr>
      <w:rFonts w:eastAsia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F4"/>
    <w:rPr>
      <w:rFonts w:ascii="Tahoma" w:eastAsia="Times New Roman" w:hAnsi="Tahoma" w:cs="Tahoma"/>
      <w:color w:val="000000"/>
      <w:kern w:val="28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2</cp:revision>
  <dcterms:created xsi:type="dcterms:W3CDTF">2017-12-06T20:58:00Z</dcterms:created>
  <dcterms:modified xsi:type="dcterms:W3CDTF">2017-12-06T20:58:00Z</dcterms:modified>
</cp:coreProperties>
</file>