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E37" w:rsidRPr="003900C7" w:rsidRDefault="001B4E37" w:rsidP="001B4E37">
      <w:pPr>
        <w:autoSpaceDE w:val="0"/>
        <w:autoSpaceDN w:val="0"/>
        <w:adjustRightInd w:val="0"/>
        <w:spacing w:line="480" w:lineRule="auto"/>
        <w:jc w:val="both"/>
        <w:rPr>
          <w:b/>
          <w:sz w:val="28"/>
          <w:szCs w:val="28"/>
        </w:rPr>
      </w:pPr>
      <w:r w:rsidRPr="00F12480">
        <w:rPr>
          <w:rFonts w:hint="eastAsia"/>
          <w:b/>
          <w:sz w:val="28"/>
          <w:szCs w:val="28"/>
        </w:rPr>
        <w:t>Supplementary</w:t>
      </w:r>
      <w:r w:rsidRPr="003900C7">
        <w:rPr>
          <w:rFonts w:hint="eastAsia"/>
          <w:b/>
          <w:snapToGrid w:val="0"/>
          <w:sz w:val="28"/>
          <w:szCs w:val="28"/>
        </w:rPr>
        <w:t xml:space="preserve"> Methods</w:t>
      </w:r>
      <w:r w:rsidR="00EE1B81">
        <w:rPr>
          <w:b/>
          <w:snapToGrid w:val="0"/>
          <w:sz w:val="28"/>
          <w:szCs w:val="28"/>
        </w:rPr>
        <w:t xml:space="preserve"> and Table</w:t>
      </w:r>
    </w:p>
    <w:p w:rsidR="001B4E37" w:rsidRPr="00B8642F" w:rsidRDefault="001B4E37" w:rsidP="00B8642F">
      <w:pPr>
        <w:rPr>
          <w:b/>
          <w:i/>
        </w:rPr>
      </w:pPr>
      <w:proofErr w:type="spellStart"/>
      <w:r w:rsidRPr="00B8642F">
        <w:rPr>
          <w:b/>
          <w:i/>
        </w:rPr>
        <w:t>Hemodynamics</w:t>
      </w:r>
      <w:proofErr w:type="spellEnd"/>
      <w:r w:rsidRPr="00B8642F">
        <w:rPr>
          <w:b/>
          <w:i/>
        </w:rPr>
        <w:t xml:space="preserve"> and infarct size measurements</w:t>
      </w:r>
    </w:p>
    <w:p w:rsidR="002B1CAA" w:rsidRPr="001B4E37" w:rsidRDefault="001B4E37" w:rsidP="00B8642F">
      <w:pPr>
        <w:ind w:firstLine="480"/>
        <w:jc w:val="both"/>
        <w:rPr>
          <w:szCs w:val="24"/>
        </w:rPr>
      </w:pPr>
      <w:r w:rsidRPr="001B4E37">
        <w:rPr>
          <w:szCs w:val="24"/>
        </w:rPr>
        <w:t xml:space="preserve">After the rats had been anesthetized with Zoletil-xylazine (20 mg/kg-9 mg/kg) intraperitoneally at the end of the study, the hemodynamic parameters were measured. A polyethylene Millar catheter was inserted into the left ventricle and connected to a transducer (Model SPR-407, Miller Instruments, </w:t>
      </w:r>
      <w:proofErr w:type="gramStart"/>
      <w:r w:rsidRPr="001B4E37">
        <w:rPr>
          <w:szCs w:val="24"/>
        </w:rPr>
        <w:t>Houston</w:t>
      </w:r>
      <w:proofErr w:type="gramEnd"/>
      <w:r w:rsidRPr="001B4E37">
        <w:rPr>
          <w:szCs w:val="24"/>
        </w:rPr>
        <w:t xml:space="preserve">, TX). LV systolic and diastolic pressures were recorded as the mean of five consecutive pressure cycle measurements as described previously </w:t>
      </w:r>
      <w:r w:rsidRPr="001B4E37">
        <w:rPr>
          <w:rFonts w:eastAsia="AdvGulliv-R"/>
          <w:kern w:val="0"/>
          <w:szCs w:val="24"/>
        </w:rPr>
        <w:t>(1)</w:t>
      </w:r>
      <w:r w:rsidRPr="001B4E37">
        <w:rPr>
          <w:kern w:val="0"/>
          <w:szCs w:val="24"/>
        </w:rPr>
        <w:t>.</w:t>
      </w:r>
      <w:r w:rsidRPr="001B4E37">
        <w:rPr>
          <w:szCs w:val="24"/>
        </w:rPr>
        <w:t xml:space="preserve"> In addition, the maximum rates of rise (+dP/d</w:t>
      </w:r>
      <w:r w:rsidRPr="001B4E37">
        <w:rPr>
          <w:i/>
          <w:iCs/>
          <w:szCs w:val="24"/>
        </w:rPr>
        <w:t>t</w:t>
      </w:r>
      <w:r w:rsidRPr="001B4E37">
        <w:rPr>
          <w:szCs w:val="24"/>
        </w:rPr>
        <w:t>) and decrease (-dP/d</w:t>
      </w:r>
      <w:r w:rsidRPr="001B4E37">
        <w:rPr>
          <w:i/>
          <w:iCs/>
          <w:szCs w:val="24"/>
        </w:rPr>
        <w:t>t</w:t>
      </w:r>
      <w:r w:rsidRPr="001B4E37">
        <w:rPr>
          <w:szCs w:val="24"/>
        </w:rPr>
        <w:t xml:space="preserve">) in LV pressure were also calculated. Electrophysiological tests were performed after the arterial pressure measurements had been made. After the electrophysiological tests had been completed, the atria and right ventricles of the hearts were trimmed off, and the left ventricles were rinsed in cold physiological saline, weighed, and flash frozen in liquid nitrogen. A section taken from the equator of the LV, fixed in 10% formalin, embedded in paraffin, and stained with hematoxylin and eosin and trichrome to determine the size of the infarct size as previously described </w:t>
      </w:r>
      <w:r w:rsidRPr="001B4E37">
        <w:rPr>
          <w:rFonts w:eastAsia="AdvGulliv-R"/>
          <w:kern w:val="0"/>
          <w:szCs w:val="24"/>
        </w:rPr>
        <w:t>(</w:t>
      </w:r>
      <w:r w:rsidR="003B2F14">
        <w:rPr>
          <w:rFonts w:eastAsia="AdvGulliv-R"/>
          <w:kern w:val="0"/>
          <w:szCs w:val="24"/>
        </w:rPr>
        <w:t>2</w:t>
      </w:r>
      <w:r w:rsidRPr="001B4E37">
        <w:rPr>
          <w:rFonts w:eastAsia="AdvGulliv-R"/>
          <w:kern w:val="0"/>
          <w:szCs w:val="24"/>
        </w:rPr>
        <w:t>)</w:t>
      </w:r>
      <w:r w:rsidRPr="001B4E37">
        <w:rPr>
          <w:szCs w:val="24"/>
        </w:rPr>
        <w:t>.</w:t>
      </w:r>
    </w:p>
    <w:p w:rsidR="001B4E37" w:rsidRPr="001B4E37" w:rsidRDefault="001B4E37" w:rsidP="001B4E37">
      <w:pPr>
        <w:pStyle w:val="Web"/>
        <w:spacing w:before="0" w:beforeAutospacing="0" w:after="0" w:afterAutospacing="0"/>
        <w:jc w:val="both"/>
        <w:rPr>
          <w:rStyle w:val="a4"/>
          <w:rFonts w:ascii="Times New Roman" w:hAnsi="Times New Roman"/>
          <w:i/>
          <w:iCs/>
        </w:rPr>
      </w:pPr>
      <w:r w:rsidRPr="001B4E37">
        <w:rPr>
          <w:rStyle w:val="a4"/>
          <w:rFonts w:ascii="Times New Roman" w:hAnsi="Times New Roman"/>
          <w:i/>
          <w:iCs/>
        </w:rPr>
        <w:t>Ex vivo electrophysiological studies</w:t>
      </w:r>
    </w:p>
    <w:p w:rsidR="001B4E37" w:rsidRPr="001B4E37" w:rsidRDefault="001B4E37" w:rsidP="001B4E37">
      <w:pPr>
        <w:autoSpaceDE w:val="0"/>
        <w:autoSpaceDN w:val="0"/>
        <w:adjustRightInd w:val="0"/>
        <w:ind w:firstLine="480"/>
        <w:jc w:val="both"/>
        <w:rPr>
          <w:szCs w:val="24"/>
        </w:rPr>
      </w:pPr>
      <w:r w:rsidRPr="001B4E37">
        <w:rPr>
          <w:rFonts w:eastAsia="StempelGaramond-Roman"/>
          <w:kern w:val="0"/>
          <w:szCs w:val="24"/>
        </w:rPr>
        <w:t>We then performed programmed electrical stimulation to evaluate the possible arrhythmogenic risk of</w:t>
      </w:r>
      <w:r w:rsidRPr="001B4E37">
        <w:rPr>
          <w:kern w:val="0"/>
          <w:szCs w:val="24"/>
        </w:rPr>
        <w:t xml:space="preserve"> </w:t>
      </w:r>
      <w:r w:rsidRPr="001B4E37">
        <w:rPr>
          <w:rFonts w:eastAsia="StempelGaramond-Roman"/>
          <w:kern w:val="0"/>
          <w:szCs w:val="24"/>
        </w:rPr>
        <w:t>sympathetic innervation. We used the Langendorff</w:t>
      </w:r>
      <w:r w:rsidRPr="001B4E37">
        <w:rPr>
          <w:kern w:val="0"/>
          <w:szCs w:val="24"/>
        </w:rPr>
        <w:t xml:space="preserve"> </w:t>
      </w:r>
      <w:r w:rsidRPr="001B4E37">
        <w:rPr>
          <w:rFonts w:eastAsia="StempelGaramond-Roman"/>
          <w:kern w:val="0"/>
          <w:szCs w:val="24"/>
        </w:rPr>
        <w:t>heart</w:t>
      </w:r>
      <w:r w:rsidRPr="001B4E37">
        <w:rPr>
          <w:kern w:val="0"/>
          <w:szCs w:val="24"/>
        </w:rPr>
        <w:t xml:space="preserve"> perfusion technique in order t</w:t>
      </w:r>
      <w:r w:rsidRPr="001B4E37">
        <w:rPr>
          <w:rFonts w:eastAsia="StempelGaramond-Roman"/>
          <w:kern w:val="0"/>
          <w:szCs w:val="24"/>
        </w:rPr>
        <w:t xml:space="preserve">o avoid any </w:t>
      </w:r>
      <w:bookmarkStart w:id="0" w:name="_GoBack"/>
      <w:bookmarkEnd w:id="0"/>
      <w:r w:rsidRPr="001B4E37">
        <w:rPr>
          <w:rFonts w:eastAsia="StempelGaramond-Roman"/>
          <w:kern w:val="0"/>
          <w:szCs w:val="24"/>
        </w:rPr>
        <w:t>potential confounding</w:t>
      </w:r>
      <w:r w:rsidRPr="001B4E37">
        <w:rPr>
          <w:kern w:val="0"/>
          <w:szCs w:val="24"/>
        </w:rPr>
        <w:t xml:space="preserve"> </w:t>
      </w:r>
      <w:r w:rsidRPr="001B4E37">
        <w:rPr>
          <w:rFonts w:eastAsia="StempelGaramond-Roman"/>
          <w:kern w:val="0"/>
          <w:szCs w:val="24"/>
        </w:rPr>
        <w:t xml:space="preserve">effects of post-MI </w:t>
      </w:r>
      <w:r w:rsidRPr="001B4E37">
        <w:rPr>
          <w:kern w:val="0"/>
          <w:szCs w:val="24"/>
        </w:rPr>
        <w:t>hormonal activation</w:t>
      </w:r>
      <w:r w:rsidRPr="001B4E37">
        <w:rPr>
          <w:rFonts w:eastAsia="StempelGaramond-Roman"/>
          <w:kern w:val="0"/>
          <w:szCs w:val="24"/>
        </w:rPr>
        <w:t xml:space="preserve"> on</w:t>
      </w:r>
      <w:r w:rsidRPr="001B4E37">
        <w:rPr>
          <w:kern w:val="0"/>
          <w:szCs w:val="24"/>
        </w:rPr>
        <w:t xml:space="preserve"> </w:t>
      </w:r>
      <w:r w:rsidRPr="001B4E37">
        <w:rPr>
          <w:rFonts w:eastAsia="StempelGaramond-Roman"/>
          <w:kern w:val="0"/>
          <w:szCs w:val="24"/>
        </w:rPr>
        <w:t>pacing-induce</w:t>
      </w:r>
      <w:r w:rsidRPr="001B4E37">
        <w:rPr>
          <w:kern w:val="0"/>
          <w:szCs w:val="24"/>
        </w:rPr>
        <w:t xml:space="preserve">d </w:t>
      </w:r>
      <w:r w:rsidRPr="001B4E37">
        <w:rPr>
          <w:rFonts w:eastAsia="StempelGaramond-Roman"/>
          <w:kern w:val="0"/>
          <w:szCs w:val="24"/>
        </w:rPr>
        <w:t>ventricular arrhythmias</w:t>
      </w:r>
      <w:r w:rsidRPr="001B4E37">
        <w:rPr>
          <w:kern w:val="0"/>
          <w:szCs w:val="24"/>
        </w:rPr>
        <w:t xml:space="preserve"> as previously reported </w:t>
      </w:r>
      <w:r w:rsidRPr="001B4E37">
        <w:rPr>
          <w:rFonts w:eastAsia="AdvGulliv-R"/>
          <w:kern w:val="0"/>
          <w:szCs w:val="24"/>
        </w:rPr>
        <w:t>(3)</w:t>
      </w:r>
      <w:r w:rsidRPr="001B4E37">
        <w:rPr>
          <w:rFonts w:eastAsia="StempelGaramond-Roman"/>
          <w:kern w:val="0"/>
          <w:szCs w:val="24"/>
        </w:rPr>
        <w:t xml:space="preserve">. Modified </w:t>
      </w:r>
      <w:proofErr w:type="spellStart"/>
      <w:r w:rsidRPr="001B4E37">
        <w:rPr>
          <w:rFonts w:eastAsia="StempelGaramond-Roman"/>
          <w:kern w:val="0"/>
          <w:szCs w:val="24"/>
        </w:rPr>
        <w:t>Tyrode’s</w:t>
      </w:r>
      <w:proofErr w:type="spellEnd"/>
      <w:r w:rsidRPr="001B4E37">
        <w:rPr>
          <w:kern w:val="0"/>
          <w:szCs w:val="24"/>
        </w:rPr>
        <w:t xml:space="preserve"> </w:t>
      </w:r>
      <w:r w:rsidRPr="001B4E37">
        <w:rPr>
          <w:rFonts w:eastAsia="StempelGaramond-Roman"/>
          <w:kern w:val="0"/>
          <w:szCs w:val="24"/>
        </w:rPr>
        <w:t>solution was used to perfuse the hearts at a constant flow rate of 4 ml/min and temperature of 37</w:t>
      </w:r>
      <w:r w:rsidRPr="001B4E37">
        <w:rPr>
          <w:rFonts w:eastAsia="MTSY"/>
          <w:kern w:val="0"/>
          <w:szCs w:val="24"/>
        </w:rPr>
        <w:sym w:font="Symbol" w:char="F0B0"/>
      </w:r>
      <w:r w:rsidRPr="001B4E37">
        <w:rPr>
          <w:rFonts w:eastAsia="StempelGaramond-Roman"/>
          <w:kern w:val="0"/>
          <w:szCs w:val="24"/>
        </w:rPr>
        <w:t>C. Ventricular and atrial epicardial electrocardiograms were continuously recorded. After</w:t>
      </w:r>
      <w:r w:rsidRPr="001B4E37">
        <w:rPr>
          <w:kern w:val="0"/>
          <w:szCs w:val="24"/>
        </w:rPr>
        <w:t xml:space="preserve"> </w:t>
      </w:r>
      <w:r w:rsidRPr="001B4E37">
        <w:rPr>
          <w:rFonts w:eastAsia="StempelGaramond-Roman"/>
          <w:kern w:val="0"/>
          <w:szCs w:val="24"/>
        </w:rPr>
        <w:t>the hearts had been perfused, they were observed for 10 minutes to allow the contraction and rhythm to stabilize.</w:t>
      </w:r>
      <w:r w:rsidRPr="001B4E37">
        <w:rPr>
          <w:kern w:val="0"/>
          <w:szCs w:val="24"/>
        </w:rPr>
        <w:t xml:space="preserve"> </w:t>
      </w:r>
      <w:r w:rsidRPr="001B4E37">
        <w:rPr>
          <w:szCs w:val="24"/>
        </w:rPr>
        <w:t>A Bloom stimulator (Fischer Imaging Corporation, Denver, CO, USA) was used to generate pacing pulses, with a 120-ms cycle length (S</w:t>
      </w:r>
      <w:r w:rsidRPr="001B4E37">
        <w:rPr>
          <w:szCs w:val="24"/>
          <w:vertAlign w:val="subscript"/>
        </w:rPr>
        <w:t>1</w:t>
      </w:r>
      <w:r w:rsidRPr="001B4E37">
        <w:rPr>
          <w:szCs w:val="24"/>
        </w:rPr>
        <w:t>) for eight beats, followed by one to three</w:t>
      </w:r>
      <w:r w:rsidRPr="001B4E37">
        <w:rPr>
          <w:szCs w:val="24"/>
          <w:vertAlign w:val="superscript"/>
        </w:rPr>
        <w:t xml:space="preserve"> </w:t>
      </w:r>
      <w:r w:rsidRPr="001B4E37">
        <w:rPr>
          <w:szCs w:val="24"/>
        </w:rPr>
        <w:t>extrastimuli (S</w:t>
      </w:r>
      <w:r w:rsidRPr="001B4E37">
        <w:rPr>
          <w:szCs w:val="24"/>
          <w:vertAlign w:val="subscript"/>
        </w:rPr>
        <w:t>2</w:t>
      </w:r>
      <w:r w:rsidRPr="001B4E37">
        <w:rPr>
          <w:szCs w:val="24"/>
        </w:rPr>
        <w:t>, S</w:t>
      </w:r>
      <w:r w:rsidRPr="001B4E37">
        <w:rPr>
          <w:szCs w:val="24"/>
          <w:vertAlign w:val="subscript"/>
        </w:rPr>
        <w:t>3</w:t>
      </w:r>
      <w:r w:rsidRPr="001B4E37">
        <w:rPr>
          <w:szCs w:val="24"/>
        </w:rPr>
        <w:t>, and S</w:t>
      </w:r>
      <w:r w:rsidRPr="001B4E37">
        <w:rPr>
          <w:szCs w:val="24"/>
          <w:vertAlign w:val="subscript"/>
        </w:rPr>
        <w:t>4</w:t>
      </w:r>
      <w:r w:rsidRPr="001B4E37">
        <w:rPr>
          <w:szCs w:val="24"/>
        </w:rPr>
        <w:t>) at shorter coupling intervals to induce ventricular arrhythmias.</w:t>
      </w:r>
      <w:r w:rsidRPr="001B4E37">
        <w:rPr>
          <w:szCs w:val="24"/>
          <w:vertAlign w:val="superscript"/>
        </w:rPr>
        <w:t xml:space="preserve"> </w:t>
      </w:r>
      <w:r w:rsidRPr="001B4E37">
        <w:rPr>
          <w:szCs w:val="24"/>
        </w:rPr>
        <w:t xml:space="preserve">The induction of ventricular tachyarrhythmia was defined as being the endpoint of ventricular pacing. Nonsustained ventricular tachyarrhythmias including ventricular fibrillation and tachycardia were considered to be those that lasted for </w:t>
      </w:r>
      <w:r w:rsidRPr="001B4E37">
        <w:rPr>
          <w:szCs w:val="24"/>
        </w:rPr>
        <w:sym w:font="Symbol" w:char="F0A3"/>
      </w:r>
      <w:r w:rsidRPr="001B4E37">
        <w:rPr>
          <w:szCs w:val="24"/>
        </w:rPr>
        <w:t xml:space="preserve">15 beats, and sustained ventricular tachyarrhythmias were considered to be those that lasted for &gt;15 beats. We used a modified arrhythmia scoring system as previously reported </w:t>
      </w:r>
      <w:r w:rsidRPr="001B4E37">
        <w:rPr>
          <w:rFonts w:eastAsia="AdvGulliv-R"/>
          <w:kern w:val="0"/>
          <w:szCs w:val="24"/>
        </w:rPr>
        <w:t>(4)</w:t>
      </w:r>
      <w:r w:rsidRPr="001B4E37">
        <w:rPr>
          <w:kern w:val="0"/>
          <w:szCs w:val="24"/>
        </w:rPr>
        <w:t>.</w:t>
      </w:r>
      <w:r w:rsidRPr="001B4E37">
        <w:rPr>
          <w:szCs w:val="24"/>
        </w:rPr>
        <w:t xml:space="preserve"> When more than one form of arrhythmia was observed in a single heart, the one with the highest score was used. The experiments were usually completed in </w:t>
      </w:r>
      <w:proofErr w:type="gramStart"/>
      <w:r w:rsidRPr="001B4E37">
        <w:rPr>
          <w:szCs w:val="24"/>
        </w:rPr>
        <w:t>under</w:t>
      </w:r>
      <w:proofErr w:type="gramEnd"/>
      <w:r w:rsidRPr="001B4E37">
        <w:rPr>
          <w:szCs w:val="24"/>
        </w:rPr>
        <w:t xml:space="preserve"> 10 minutes.</w:t>
      </w:r>
    </w:p>
    <w:p w:rsidR="001B4E37" w:rsidRPr="001B4E37" w:rsidRDefault="001B4E37" w:rsidP="001B4E37">
      <w:pPr>
        <w:pStyle w:val="4"/>
        <w:spacing w:line="240" w:lineRule="auto"/>
        <w:jc w:val="both"/>
        <w:rPr>
          <w:rFonts w:ascii="Times New Roman" w:hAnsi="Times New Roman" w:cs="Times New Roman"/>
          <w:b/>
          <w:i/>
          <w:sz w:val="24"/>
          <w:szCs w:val="24"/>
        </w:rPr>
      </w:pPr>
      <w:r w:rsidRPr="001B4E37">
        <w:rPr>
          <w:rFonts w:ascii="Times New Roman" w:hAnsi="Times New Roman" w:cs="Times New Roman"/>
          <w:b/>
          <w:i/>
          <w:sz w:val="24"/>
          <w:szCs w:val="24"/>
        </w:rPr>
        <w:lastRenderedPageBreak/>
        <w:t xml:space="preserve">Western blot analysis of </w:t>
      </w:r>
      <w:r w:rsidRPr="001B4E37">
        <w:rPr>
          <w:rFonts w:ascii="Times New Roman" w:eastAsiaTheme="minorEastAsia" w:hAnsi="Times New Roman" w:cs="Times New Roman"/>
          <w:b/>
          <w:i/>
          <w:kern w:val="0"/>
          <w:sz w:val="24"/>
          <w:szCs w:val="24"/>
        </w:rPr>
        <w:t>NF-</w:t>
      </w:r>
      <w:r w:rsidRPr="001B4E37">
        <w:rPr>
          <w:rFonts w:ascii="Times New Roman" w:eastAsia="AdvTT5235d5a9+03" w:hAnsi="Times New Roman" w:cs="Times New Roman"/>
          <w:b/>
          <w:i/>
          <w:kern w:val="0"/>
          <w:sz w:val="24"/>
          <w:szCs w:val="24"/>
        </w:rPr>
        <w:t>κ</w:t>
      </w:r>
      <w:r w:rsidRPr="001B4E37">
        <w:rPr>
          <w:rFonts w:ascii="Times New Roman" w:eastAsiaTheme="minorEastAsia" w:hAnsi="Times New Roman" w:cs="Times New Roman"/>
          <w:b/>
          <w:i/>
          <w:kern w:val="0"/>
          <w:sz w:val="24"/>
          <w:szCs w:val="24"/>
        </w:rPr>
        <w:t>B</w:t>
      </w:r>
      <w:r w:rsidRPr="001B4E37">
        <w:rPr>
          <w:rFonts w:ascii="Times New Roman" w:hAnsi="Times New Roman" w:cs="Times New Roman"/>
          <w:b/>
          <w:i/>
          <w:sz w:val="24"/>
          <w:szCs w:val="24"/>
        </w:rPr>
        <w:t>, NLRP3</w:t>
      </w:r>
      <w:r w:rsidRPr="001B4E37">
        <w:rPr>
          <w:rFonts w:ascii="Times New Roman" w:hAnsi="Times New Roman" w:cs="Times New Roman"/>
          <w:b/>
          <w:sz w:val="24"/>
          <w:szCs w:val="24"/>
        </w:rPr>
        <w:t xml:space="preserve">, </w:t>
      </w:r>
      <w:r w:rsidRPr="001B4E37">
        <w:rPr>
          <w:rFonts w:ascii="Times New Roman" w:eastAsiaTheme="minorEastAsia" w:hAnsi="Times New Roman" w:cs="Times New Roman"/>
          <w:b/>
          <w:i/>
          <w:kern w:val="0"/>
          <w:sz w:val="24"/>
          <w:szCs w:val="24"/>
        </w:rPr>
        <w:t xml:space="preserve">caspase-1, </w:t>
      </w:r>
      <w:r w:rsidRPr="001B4E37">
        <w:rPr>
          <w:rFonts w:ascii="Times New Roman" w:hAnsi="Times New Roman" w:cs="Times New Roman"/>
          <w:b/>
          <w:i/>
          <w:sz w:val="24"/>
          <w:szCs w:val="24"/>
        </w:rPr>
        <w:t>IL-1β and NGF</w:t>
      </w:r>
    </w:p>
    <w:p w:rsidR="001B4E37" w:rsidRPr="001B4E37" w:rsidRDefault="001B4E37" w:rsidP="001B4E37">
      <w:pPr>
        <w:autoSpaceDE w:val="0"/>
        <w:autoSpaceDN w:val="0"/>
        <w:adjustRightInd w:val="0"/>
        <w:ind w:firstLine="480"/>
        <w:jc w:val="both"/>
        <w:rPr>
          <w:szCs w:val="24"/>
        </w:rPr>
      </w:pPr>
      <w:r w:rsidRPr="001B4E37">
        <w:rPr>
          <w:szCs w:val="24"/>
        </w:rPr>
        <w:t xml:space="preserve">Protein levels of NLRP3, </w:t>
      </w:r>
      <w:r w:rsidRPr="001B4E37">
        <w:rPr>
          <w:rFonts w:eastAsiaTheme="minorEastAsia"/>
          <w:kern w:val="0"/>
          <w:szCs w:val="24"/>
        </w:rPr>
        <w:t>NF-</w:t>
      </w:r>
      <w:r w:rsidRPr="001B4E37">
        <w:rPr>
          <w:rFonts w:eastAsia="AdvTT5235d5a9+03"/>
          <w:kern w:val="0"/>
          <w:szCs w:val="24"/>
        </w:rPr>
        <w:t>κ</w:t>
      </w:r>
      <w:r w:rsidRPr="001B4E37">
        <w:rPr>
          <w:rFonts w:eastAsiaTheme="minorEastAsia"/>
          <w:kern w:val="0"/>
          <w:szCs w:val="24"/>
        </w:rPr>
        <w:t>B</w:t>
      </w:r>
      <w:r w:rsidRPr="001B4E37">
        <w:rPr>
          <w:szCs w:val="24"/>
        </w:rPr>
        <w:t xml:space="preserve">, </w:t>
      </w:r>
      <w:r w:rsidRPr="001B4E37">
        <w:rPr>
          <w:rFonts w:eastAsiaTheme="minorEastAsia"/>
          <w:kern w:val="0"/>
          <w:szCs w:val="24"/>
        </w:rPr>
        <w:t xml:space="preserve">caspase-1, and </w:t>
      </w:r>
      <w:r w:rsidRPr="001B4E37">
        <w:rPr>
          <w:szCs w:val="24"/>
        </w:rPr>
        <w:t xml:space="preserve">IL-1β were measured in myocardium from the border zone at day 3, and the protein level of NGF was measured in myocardium from the remote zone at day 28. The myocardium was homogenized in three volumes of </w:t>
      </w:r>
      <w:proofErr w:type="spellStart"/>
      <w:r w:rsidRPr="001B4E37">
        <w:rPr>
          <w:szCs w:val="24"/>
        </w:rPr>
        <w:t>Tris</w:t>
      </w:r>
      <w:proofErr w:type="spellEnd"/>
      <w:r w:rsidRPr="001B4E37">
        <w:rPr>
          <w:szCs w:val="24"/>
        </w:rPr>
        <w:t xml:space="preserve">-buffered saline containing </w:t>
      </w:r>
      <w:proofErr w:type="spellStart"/>
      <w:r w:rsidRPr="001B4E37">
        <w:rPr>
          <w:szCs w:val="24"/>
        </w:rPr>
        <w:t>phosphatase</w:t>
      </w:r>
      <w:proofErr w:type="spellEnd"/>
      <w:r w:rsidRPr="001B4E37">
        <w:rPr>
          <w:szCs w:val="24"/>
        </w:rPr>
        <w:t xml:space="preserve"> and protease inhibitors (25 </w:t>
      </w:r>
      <w:proofErr w:type="spellStart"/>
      <w:r w:rsidRPr="001B4E37">
        <w:rPr>
          <w:szCs w:val="24"/>
        </w:rPr>
        <w:t>mM</w:t>
      </w:r>
      <w:proofErr w:type="spellEnd"/>
      <w:r w:rsidRPr="001B4E37">
        <w:rPr>
          <w:szCs w:val="24"/>
        </w:rPr>
        <w:t xml:space="preserve"> </w:t>
      </w:r>
      <w:proofErr w:type="spellStart"/>
      <w:r w:rsidRPr="001B4E37">
        <w:rPr>
          <w:szCs w:val="24"/>
        </w:rPr>
        <w:t>Tris-HCl</w:t>
      </w:r>
      <w:proofErr w:type="spellEnd"/>
      <w:r w:rsidRPr="001B4E37">
        <w:rPr>
          <w:szCs w:val="24"/>
        </w:rPr>
        <w:t xml:space="preserve">, pH 7.4, 1 </w:t>
      </w:r>
      <w:proofErr w:type="spellStart"/>
      <w:r w:rsidRPr="001B4E37">
        <w:rPr>
          <w:szCs w:val="24"/>
        </w:rPr>
        <w:t>mM</w:t>
      </w:r>
      <w:proofErr w:type="spellEnd"/>
      <w:r w:rsidRPr="001B4E37">
        <w:rPr>
          <w:szCs w:val="24"/>
        </w:rPr>
        <w:t xml:space="preserve"> EDTA, 1 </w:t>
      </w:r>
      <w:proofErr w:type="spellStart"/>
      <w:r w:rsidRPr="001B4E37">
        <w:rPr>
          <w:szCs w:val="24"/>
        </w:rPr>
        <w:t>mM</w:t>
      </w:r>
      <w:proofErr w:type="spellEnd"/>
      <w:r w:rsidRPr="001B4E37">
        <w:rPr>
          <w:szCs w:val="24"/>
        </w:rPr>
        <w:t xml:space="preserve"> </w:t>
      </w:r>
      <w:proofErr w:type="spellStart"/>
      <w:r w:rsidRPr="001B4E37">
        <w:rPr>
          <w:szCs w:val="24"/>
        </w:rPr>
        <w:t>phenylmethylsulfonyl</w:t>
      </w:r>
      <w:proofErr w:type="spellEnd"/>
      <w:r w:rsidRPr="001B4E37">
        <w:rPr>
          <w:szCs w:val="24"/>
        </w:rPr>
        <w:t xml:space="preserve"> fluoride, 30 </w:t>
      </w:r>
      <w:proofErr w:type="spellStart"/>
      <w:r w:rsidRPr="001B4E37">
        <w:rPr>
          <w:szCs w:val="24"/>
        </w:rPr>
        <w:t>mM</w:t>
      </w:r>
      <w:proofErr w:type="spellEnd"/>
      <w:r w:rsidRPr="001B4E37">
        <w:rPr>
          <w:szCs w:val="24"/>
        </w:rPr>
        <w:t xml:space="preserve"> β-</w:t>
      </w:r>
      <w:proofErr w:type="spellStart"/>
      <w:r w:rsidRPr="001B4E37">
        <w:rPr>
          <w:szCs w:val="24"/>
        </w:rPr>
        <w:t>glycerophosphate</w:t>
      </w:r>
      <w:proofErr w:type="spellEnd"/>
      <w:r w:rsidRPr="001B4E37">
        <w:rPr>
          <w:szCs w:val="24"/>
        </w:rPr>
        <w:t xml:space="preserve">, 1 </w:t>
      </w:r>
      <w:proofErr w:type="spellStart"/>
      <w:r w:rsidRPr="001B4E37">
        <w:rPr>
          <w:szCs w:val="24"/>
        </w:rPr>
        <w:t>mM</w:t>
      </w:r>
      <w:proofErr w:type="spellEnd"/>
      <w:r w:rsidRPr="001B4E37">
        <w:rPr>
          <w:szCs w:val="24"/>
        </w:rPr>
        <w:t xml:space="preserve"> EGTA, 150 </w:t>
      </w:r>
      <w:proofErr w:type="spellStart"/>
      <w:r w:rsidRPr="001B4E37">
        <w:rPr>
          <w:szCs w:val="24"/>
        </w:rPr>
        <w:t>mM</w:t>
      </w:r>
      <w:proofErr w:type="spellEnd"/>
      <w:r w:rsidRPr="001B4E37">
        <w:rPr>
          <w:szCs w:val="24"/>
        </w:rPr>
        <w:t xml:space="preserve"> </w:t>
      </w:r>
      <w:proofErr w:type="spellStart"/>
      <w:r w:rsidRPr="001B4E37">
        <w:rPr>
          <w:szCs w:val="24"/>
        </w:rPr>
        <w:t>NaCl</w:t>
      </w:r>
      <w:proofErr w:type="spellEnd"/>
      <w:r w:rsidRPr="001B4E37">
        <w:rPr>
          <w:szCs w:val="24"/>
        </w:rPr>
        <w:t xml:space="preserve">, 5 </w:t>
      </w:r>
      <w:proofErr w:type="spellStart"/>
      <w:r w:rsidRPr="001B4E37">
        <w:rPr>
          <w:szCs w:val="24"/>
        </w:rPr>
        <w:t>mM</w:t>
      </w:r>
      <w:proofErr w:type="spellEnd"/>
      <w:r w:rsidRPr="001B4E37">
        <w:rPr>
          <w:szCs w:val="24"/>
        </w:rPr>
        <w:t xml:space="preserve"> sodium pyrophosphate, 30 </w:t>
      </w:r>
      <w:proofErr w:type="spellStart"/>
      <w:r w:rsidRPr="001B4E37">
        <w:rPr>
          <w:szCs w:val="24"/>
        </w:rPr>
        <w:t>mM</w:t>
      </w:r>
      <w:proofErr w:type="spellEnd"/>
      <w:r w:rsidRPr="001B4E37">
        <w:rPr>
          <w:szCs w:val="24"/>
        </w:rPr>
        <w:t xml:space="preserve"> sodium fluoride). </w:t>
      </w:r>
      <w:r w:rsidRPr="001B4E37">
        <w:rPr>
          <w:rFonts w:eastAsiaTheme="minorEastAsia"/>
          <w:kern w:val="0"/>
          <w:szCs w:val="24"/>
        </w:rPr>
        <w:t xml:space="preserve">The homogenates and supernatant were centrifuged for 10 minutes at 500×g and 4°C and 2000×g for 10 minutes, respectively. The pellets were </w:t>
      </w:r>
      <w:proofErr w:type="spellStart"/>
      <w:r w:rsidRPr="001B4E37">
        <w:rPr>
          <w:rFonts w:eastAsiaTheme="minorEastAsia"/>
          <w:kern w:val="0"/>
          <w:szCs w:val="24"/>
        </w:rPr>
        <w:t>resuspended</w:t>
      </w:r>
      <w:proofErr w:type="spellEnd"/>
      <w:r w:rsidRPr="001B4E37">
        <w:rPr>
          <w:rFonts w:eastAsiaTheme="minorEastAsia"/>
          <w:kern w:val="0"/>
          <w:szCs w:val="24"/>
        </w:rPr>
        <w:t xml:space="preserve"> in the same buffer and used as the nuclear fraction. The supernatant was then centrifuged for 1 h at 40,000×g and subsequently used as the cytosolic fraction.</w:t>
      </w:r>
      <w:r w:rsidRPr="001B4E37">
        <w:rPr>
          <w:szCs w:val="24"/>
        </w:rPr>
        <w:t xml:space="preserve"> After separation of 20 </w:t>
      </w:r>
      <w:r w:rsidRPr="001B4E37">
        <w:rPr>
          <w:szCs w:val="24"/>
        </w:rPr>
        <w:sym w:font="Symbol" w:char="F06D"/>
      </w:r>
      <w:r w:rsidRPr="001B4E37">
        <w:rPr>
          <w:szCs w:val="24"/>
        </w:rPr>
        <w:t xml:space="preserve">g of protein using 10% SDS-PAGE, the proteins were </w:t>
      </w:r>
      <w:proofErr w:type="spellStart"/>
      <w:r w:rsidRPr="001B4E37">
        <w:rPr>
          <w:szCs w:val="24"/>
        </w:rPr>
        <w:t>electrotransferred</w:t>
      </w:r>
      <w:proofErr w:type="spellEnd"/>
      <w:r w:rsidRPr="001B4E37">
        <w:rPr>
          <w:szCs w:val="24"/>
        </w:rPr>
        <w:t xml:space="preserve"> onto a nitrocellulose membrane and incubated with antibodies. After rinsing the membrane with a blocking solution, it was incubated for 2 hours at room temperature. Antigen-antibody complexes were detected using 5-bromo-4-chloro-3-indolyl-phosphate and </w:t>
      </w:r>
      <w:proofErr w:type="spellStart"/>
      <w:r w:rsidRPr="001B4E37">
        <w:rPr>
          <w:szCs w:val="24"/>
        </w:rPr>
        <w:t>nitroblue</w:t>
      </w:r>
      <w:proofErr w:type="spellEnd"/>
      <w:r w:rsidRPr="001B4E37">
        <w:rPr>
          <w:szCs w:val="24"/>
        </w:rPr>
        <w:t xml:space="preserve"> </w:t>
      </w:r>
      <w:proofErr w:type="spellStart"/>
      <w:r w:rsidRPr="001B4E37">
        <w:rPr>
          <w:szCs w:val="24"/>
        </w:rPr>
        <w:t>tetrazolium</w:t>
      </w:r>
      <w:proofErr w:type="spellEnd"/>
      <w:r w:rsidRPr="001B4E37">
        <w:rPr>
          <w:szCs w:val="24"/>
        </w:rPr>
        <w:t xml:space="preserve"> chloride (Sigma). </w:t>
      </w:r>
      <w:proofErr w:type="gramStart"/>
      <w:r w:rsidRPr="001B4E37">
        <w:rPr>
          <w:szCs w:val="24"/>
        </w:rPr>
        <w:t>A scanning densitometer was then used to volume-integrated films within the linear range of the exposure.</w:t>
      </w:r>
      <w:proofErr w:type="gramEnd"/>
      <w:r w:rsidRPr="001B4E37">
        <w:rPr>
          <w:szCs w:val="24"/>
        </w:rPr>
        <w:t xml:space="preserve"> All experiments were repeated three times, and the results were expressed as mean values.</w:t>
      </w:r>
    </w:p>
    <w:p w:rsidR="001B4E37" w:rsidRPr="001B4E37" w:rsidRDefault="001B4E37" w:rsidP="003B2F14">
      <w:pPr>
        <w:ind w:firstLine="480"/>
        <w:jc w:val="both"/>
        <w:rPr>
          <w:szCs w:val="24"/>
        </w:rPr>
      </w:pPr>
      <w:r w:rsidRPr="001B4E37">
        <w:rPr>
          <w:szCs w:val="24"/>
        </w:rPr>
        <w:t xml:space="preserve">The following primary antibodies were used in this study: </w:t>
      </w:r>
      <w:r w:rsidRPr="001B4E37">
        <w:rPr>
          <w:rFonts w:eastAsiaTheme="minorEastAsia"/>
          <w:kern w:val="0"/>
          <w:szCs w:val="24"/>
        </w:rPr>
        <w:t>NF-</w:t>
      </w:r>
      <w:r w:rsidRPr="001B4E37">
        <w:rPr>
          <w:rFonts w:eastAsia="AdvTT5235d5a9+03"/>
          <w:kern w:val="0"/>
          <w:szCs w:val="24"/>
        </w:rPr>
        <w:t>κ</w:t>
      </w:r>
      <w:r w:rsidRPr="001B4E37">
        <w:rPr>
          <w:rFonts w:eastAsiaTheme="minorEastAsia"/>
          <w:kern w:val="0"/>
          <w:szCs w:val="24"/>
        </w:rPr>
        <w:t xml:space="preserve">B (p65) (nuclear fraction, </w:t>
      </w:r>
      <w:r w:rsidRPr="001B4E37">
        <w:rPr>
          <w:szCs w:val="24"/>
        </w:rPr>
        <w:t>Santa-Cruz Biotechnology</w:t>
      </w:r>
      <w:r w:rsidRPr="001B4E37">
        <w:rPr>
          <w:rFonts w:eastAsiaTheme="minorEastAsia"/>
          <w:kern w:val="0"/>
          <w:szCs w:val="24"/>
        </w:rPr>
        <w:t>),</w:t>
      </w:r>
      <w:r w:rsidRPr="001B4E37">
        <w:rPr>
          <w:szCs w:val="24"/>
        </w:rPr>
        <w:t xml:space="preserve"> NLRP3 (Santa-Cruz Biotechnology), cleaved caspase-1 (Santa-Cruz Biotechnology)</w:t>
      </w:r>
      <w:r w:rsidRPr="001B4E37">
        <w:rPr>
          <w:rFonts w:eastAsiaTheme="minorEastAsia"/>
          <w:kern w:val="0"/>
          <w:szCs w:val="24"/>
        </w:rPr>
        <w:t xml:space="preserve">, </w:t>
      </w:r>
      <w:r w:rsidRPr="001B4E37">
        <w:rPr>
          <w:szCs w:val="24"/>
        </w:rPr>
        <w:t>cleaved IL-1β (Cell Signaling Technology), NGF (</w:t>
      </w:r>
      <w:proofErr w:type="spellStart"/>
      <w:r w:rsidRPr="001B4E37">
        <w:rPr>
          <w:szCs w:val="24"/>
        </w:rPr>
        <w:t>Chemicon</w:t>
      </w:r>
      <w:proofErr w:type="spellEnd"/>
      <w:r w:rsidRPr="001B4E37">
        <w:rPr>
          <w:szCs w:val="24"/>
        </w:rPr>
        <w:t>), and β-actin (Sigma-Aldrich).</w:t>
      </w:r>
    </w:p>
    <w:p w:rsidR="001B4E37" w:rsidRPr="001B4E37" w:rsidRDefault="001B4E37" w:rsidP="001B4E37">
      <w:pPr>
        <w:pStyle w:val="4"/>
        <w:spacing w:line="240" w:lineRule="auto"/>
        <w:jc w:val="both"/>
        <w:rPr>
          <w:rFonts w:ascii="Times New Roman" w:hAnsi="Times New Roman" w:cs="Times New Roman"/>
          <w:b/>
          <w:i/>
          <w:sz w:val="24"/>
          <w:szCs w:val="24"/>
        </w:rPr>
      </w:pPr>
      <w:r w:rsidRPr="001B4E37">
        <w:rPr>
          <w:rFonts w:ascii="Times New Roman" w:hAnsi="Times New Roman" w:cs="Times New Roman"/>
          <w:b/>
          <w:i/>
          <w:sz w:val="24"/>
          <w:szCs w:val="24"/>
        </w:rPr>
        <w:t>Immunohistochemical studies of NF-</w:t>
      </w:r>
      <w:r w:rsidRPr="001B4E37">
        <w:rPr>
          <w:rFonts w:ascii="Times New Roman" w:hAnsi="Times New Roman" w:cs="Times New Roman"/>
          <w:b/>
          <w:i/>
          <w:sz w:val="24"/>
          <w:szCs w:val="24"/>
        </w:rPr>
        <w:sym w:font="Symbol" w:char="F06B"/>
      </w:r>
      <w:r w:rsidRPr="001B4E37">
        <w:rPr>
          <w:rFonts w:ascii="Times New Roman" w:hAnsi="Times New Roman" w:cs="Times New Roman"/>
          <w:b/>
          <w:i/>
          <w:sz w:val="24"/>
          <w:szCs w:val="24"/>
        </w:rPr>
        <w:t xml:space="preserve">B, NLRP3, CD68, IL-1β, tyrosine </w:t>
      </w:r>
      <w:proofErr w:type="spellStart"/>
      <w:r w:rsidRPr="001B4E37">
        <w:rPr>
          <w:rFonts w:ascii="Times New Roman" w:hAnsi="Times New Roman" w:cs="Times New Roman"/>
          <w:b/>
          <w:i/>
          <w:sz w:val="24"/>
          <w:szCs w:val="24"/>
        </w:rPr>
        <w:t>hydroxylase</w:t>
      </w:r>
      <w:proofErr w:type="spellEnd"/>
      <w:r w:rsidRPr="001B4E37">
        <w:rPr>
          <w:rFonts w:ascii="Times New Roman" w:hAnsi="Times New Roman" w:cs="Times New Roman"/>
          <w:b/>
          <w:i/>
          <w:sz w:val="24"/>
          <w:szCs w:val="24"/>
        </w:rPr>
        <w:t xml:space="preserve">, growth associated factor 43 and </w:t>
      </w:r>
      <w:proofErr w:type="spellStart"/>
      <w:r w:rsidRPr="001B4E37">
        <w:rPr>
          <w:rFonts w:ascii="Times New Roman" w:hAnsi="Times New Roman" w:cs="Times New Roman"/>
          <w:b/>
          <w:i/>
          <w:sz w:val="24"/>
          <w:szCs w:val="24"/>
        </w:rPr>
        <w:t>neurofilament</w:t>
      </w:r>
      <w:proofErr w:type="spellEnd"/>
    </w:p>
    <w:p w:rsidR="001B4E37" w:rsidRPr="001B4E37" w:rsidRDefault="001B4E37" w:rsidP="001B4E37">
      <w:pPr>
        <w:autoSpaceDE w:val="0"/>
        <w:autoSpaceDN w:val="0"/>
        <w:adjustRightInd w:val="0"/>
        <w:ind w:firstLine="480"/>
        <w:jc w:val="both"/>
        <w:rPr>
          <w:szCs w:val="24"/>
        </w:rPr>
      </w:pPr>
      <w:r w:rsidRPr="001B4E37">
        <w:rPr>
          <w:szCs w:val="24"/>
        </w:rPr>
        <w:t>To better understand NF-</w:t>
      </w:r>
      <w:r w:rsidRPr="001B4E37">
        <w:rPr>
          <w:szCs w:val="24"/>
        </w:rPr>
        <w:sym w:font="Symbol" w:char="F06B"/>
      </w:r>
      <w:r w:rsidRPr="001B4E37">
        <w:rPr>
          <w:szCs w:val="24"/>
        </w:rPr>
        <w:t xml:space="preserve">B functionality, immunohistochemical staining was employed using an antibody (Santa-Cruz Biotechnology) against the nuclear localization sequence of the p65 subunit at the day 3 from the border zone. We counted 200 cells in each field of view to measure the ratio of positively stained cells. </w:t>
      </w:r>
    </w:p>
    <w:p w:rsidR="001B4E37" w:rsidRPr="001B4E37" w:rsidRDefault="001B4E37" w:rsidP="001B4E37">
      <w:pPr>
        <w:autoSpaceDE w:val="0"/>
        <w:autoSpaceDN w:val="0"/>
        <w:adjustRightInd w:val="0"/>
        <w:ind w:firstLine="480"/>
        <w:jc w:val="both"/>
        <w:rPr>
          <w:i/>
          <w:szCs w:val="24"/>
        </w:rPr>
      </w:pPr>
      <w:r w:rsidRPr="001B4E37">
        <w:rPr>
          <w:szCs w:val="24"/>
        </w:rPr>
        <w:t xml:space="preserve">To confirm inflammasome activation in the myocardium, </w:t>
      </w:r>
      <w:r w:rsidRPr="001B4E37">
        <w:rPr>
          <w:rFonts w:eastAsiaTheme="minorEastAsia"/>
          <w:kern w:val="0"/>
          <w:szCs w:val="24"/>
        </w:rPr>
        <w:t xml:space="preserve">double-staining with NLRP3 and </w:t>
      </w:r>
      <w:r w:rsidRPr="001B4E37">
        <w:rPr>
          <w:szCs w:val="24"/>
        </w:rPr>
        <w:t>IL-1β was performed at the day 3 from the border zone.</w:t>
      </w:r>
      <w:r w:rsidRPr="001B4E37">
        <w:rPr>
          <w:i/>
          <w:szCs w:val="24"/>
        </w:rPr>
        <w:t xml:space="preserve"> </w:t>
      </w:r>
    </w:p>
    <w:p w:rsidR="001B4E37" w:rsidRPr="001B4E37" w:rsidRDefault="001B4E37" w:rsidP="001B4E37">
      <w:pPr>
        <w:tabs>
          <w:tab w:val="left" w:pos="2835"/>
        </w:tabs>
        <w:autoSpaceDE w:val="0"/>
        <w:autoSpaceDN w:val="0"/>
        <w:adjustRightInd w:val="0"/>
        <w:ind w:firstLine="480"/>
        <w:jc w:val="both"/>
        <w:rPr>
          <w:bCs/>
          <w:szCs w:val="24"/>
        </w:rPr>
      </w:pPr>
      <w:r w:rsidRPr="001B4E37">
        <w:rPr>
          <w:rFonts w:eastAsiaTheme="minorEastAsia"/>
          <w:kern w:val="0"/>
          <w:szCs w:val="24"/>
        </w:rPr>
        <w:t xml:space="preserve">During the inflammatory phase of wound healing, macrophages have been shown to be a major source of IL-1β (5). Therefore, we then double-stained macrophages with IL-1β to evaluate the function of macrophages </w:t>
      </w:r>
      <w:r w:rsidRPr="001B4E37">
        <w:rPr>
          <w:szCs w:val="24"/>
        </w:rPr>
        <w:t>from the border zone</w:t>
      </w:r>
      <w:r w:rsidRPr="001B4E37">
        <w:rPr>
          <w:rFonts w:eastAsiaTheme="minorEastAsia"/>
          <w:kern w:val="0"/>
          <w:szCs w:val="24"/>
        </w:rPr>
        <w:t xml:space="preserve"> </w:t>
      </w:r>
      <w:r w:rsidRPr="001B4E37">
        <w:rPr>
          <w:szCs w:val="24"/>
        </w:rPr>
        <w:t xml:space="preserve">at day 3. </w:t>
      </w:r>
      <w:r w:rsidRPr="001B4E37">
        <w:rPr>
          <w:bCs/>
          <w:szCs w:val="24"/>
        </w:rPr>
        <w:t xml:space="preserve">Five-µm thick </w:t>
      </w:r>
      <w:proofErr w:type="spellStart"/>
      <w:r w:rsidRPr="001B4E37">
        <w:rPr>
          <w:bCs/>
          <w:szCs w:val="24"/>
        </w:rPr>
        <w:t>cryosections</w:t>
      </w:r>
      <w:proofErr w:type="spellEnd"/>
      <w:r w:rsidRPr="001B4E37">
        <w:rPr>
          <w:bCs/>
          <w:szCs w:val="24"/>
        </w:rPr>
        <w:t xml:space="preserve"> were prepared and incubated with antibodies against CD68 (a general marker of all macrophages; </w:t>
      </w:r>
      <w:proofErr w:type="spellStart"/>
      <w:r w:rsidRPr="001B4E37">
        <w:rPr>
          <w:szCs w:val="24"/>
        </w:rPr>
        <w:t>Abcam</w:t>
      </w:r>
      <w:proofErr w:type="spellEnd"/>
      <w:r w:rsidRPr="001B4E37">
        <w:rPr>
          <w:szCs w:val="24"/>
        </w:rPr>
        <w:t>, Cambridge, MA</w:t>
      </w:r>
      <w:r w:rsidRPr="001B4E37">
        <w:rPr>
          <w:bCs/>
          <w:szCs w:val="24"/>
        </w:rPr>
        <w:t>) and IL-1</w:t>
      </w:r>
      <w:r w:rsidRPr="001B4E37">
        <w:rPr>
          <w:szCs w:val="24"/>
        </w:rPr>
        <w:t xml:space="preserve">β </w:t>
      </w:r>
      <w:r w:rsidRPr="001B4E37">
        <w:rPr>
          <w:bCs/>
          <w:szCs w:val="24"/>
        </w:rPr>
        <w:t>(</w:t>
      </w:r>
      <w:r w:rsidRPr="001B4E37">
        <w:rPr>
          <w:szCs w:val="24"/>
        </w:rPr>
        <w:t>Cell Signaling Technology</w:t>
      </w:r>
      <w:r w:rsidRPr="001B4E37">
        <w:rPr>
          <w:bCs/>
          <w:szCs w:val="24"/>
        </w:rPr>
        <w:t xml:space="preserve">). These antibodies have been tested for specificity in rats. </w:t>
      </w:r>
      <w:proofErr w:type="gramStart"/>
      <w:r w:rsidRPr="001B4E37">
        <w:rPr>
          <w:bCs/>
          <w:szCs w:val="24"/>
        </w:rPr>
        <w:t>Directly</w:t>
      </w:r>
      <w:r w:rsidRPr="001B4E37">
        <w:rPr>
          <w:bCs/>
          <w:szCs w:val="24"/>
          <w:vertAlign w:val="superscript"/>
        </w:rPr>
        <w:t xml:space="preserve"> </w:t>
      </w:r>
      <w:r w:rsidRPr="001B4E37">
        <w:rPr>
          <w:bCs/>
          <w:szCs w:val="24"/>
        </w:rPr>
        <w:t xml:space="preserve">conjugated antibodies with identical </w:t>
      </w:r>
      <w:proofErr w:type="spellStart"/>
      <w:r w:rsidRPr="001B4E37">
        <w:rPr>
          <w:bCs/>
          <w:szCs w:val="24"/>
        </w:rPr>
        <w:t>isotypes</w:t>
      </w:r>
      <w:proofErr w:type="spellEnd"/>
      <w:r w:rsidRPr="001B4E37">
        <w:rPr>
          <w:bCs/>
          <w:szCs w:val="24"/>
        </w:rPr>
        <w:t xml:space="preserve"> were used as </w:t>
      </w:r>
      <w:r w:rsidRPr="001B4E37">
        <w:rPr>
          <w:bCs/>
          <w:szCs w:val="24"/>
        </w:rPr>
        <w:lastRenderedPageBreak/>
        <w:t>negative controls.</w:t>
      </w:r>
      <w:proofErr w:type="gramEnd"/>
      <w:r w:rsidRPr="001B4E37">
        <w:rPr>
          <w:szCs w:val="24"/>
        </w:rPr>
        <w:t xml:space="preserve"> The average of 10 </w:t>
      </w:r>
      <w:r w:rsidRPr="001B4E37">
        <w:rPr>
          <w:kern w:val="0"/>
          <w:szCs w:val="24"/>
        </w:rPr>
        <w:t>random scans per section was used for analysis. The results were quantified as the ratio of positively stained area to the total area</w:t>
      </w:r>
      <w:r w:rsidRPr="001B4E37">
        <w:rPr>
          <w:szCs w:val="24"/>
        </w:rPr>
        <w:t xml:space="preserve"> at </w:t>
      </w:r>
      <w:proofErr w:type="gramStart"/>
      <w:r w:rsidRPr="001B4E37">
        <w:rPr>
          <w:szCs w:val="24"/>
        </w:rPr>
        <w:t>400</w:t>
      </w:r>
      <w:r w:rsidRPr="001B4E37">
        <w:rPr>
          <w:szCs w:val="24"/>
        </w:rPr>
        <w:sym w:font="Symbol" w:char="F0B4"/>
      </w:r>
      <w:r w:rsidRPr="001B4E37">
        <w:rPr>
          <w:szCs w:val="24"/>
        </w:rPr>
        <w:t xml:space="preserve"> magnification</w:t>
      </w:r>
      <w:proofErr w:type="gramEnd"/>
      <w:r w:rsidRPr="001B4E37">
        <w:rPr>
          <w:kern w:val="0"/>
          <w:szCs w:val="24"/>
        </w:rPr>
        <w:t>.</w:t>
      </w:r>
    </w:p>
    <w:p w:rsidR="001B4E37" w:rsidRDefault="001B4E37" w:rsidP="001B4E37">
      <w:pPr>
        <w:jc w:val="both"/>
        <w:rPr>
          <w:kern w:val="0"/>
          <w:szCs w:val="24"/>
        </w:rPr>
      </w:pPr>
      <w:r w:rsidRPr="001B4E37">
        <w:rPr>
          <w:szCs w:val="24"/>
        </w:rPr>
        <w:t xml:space="preserve"> </w:t>
      </w:r>
      <w:r>
        <w:rPr>
          <w:szCs w:val="24"/>
        </w:rPr>
        <w:tab/>
      </w:r>
      <w:r w:rsidRPr="001B4E37">
        <w:rPr>
          <w:szCs w:val="24"/>
        </w:rPr>
        <w:t xml:space="preserve">Myocardium from the remote zone at day 28 was subjected to </w:t>
      </w:r>
      <w:proofErr w:type="spellStart"/>
      <w:r w:rsidRPr="001B4E37">
        <w:rPr>
          <w:szCs w:val="24"/>
        </w:rPr>
        <w:t>i</w:t>
      </w:r>
      <w:r w:rsidRPr="001B4E37">
        <w:rPr>
          <w:kern w:val="0"/>
          <w:szCs w:val="24"/>
        </w:rPr>
        <w:t>mmunofluorescence</w:t>
      </w:r>
      <w:proofErr w:type="spellEnd"/>
      <w:r w:rsidRPr="001B4E37">
        <w:rPr>
          <w:kern w:val="0"/>
          <w:szCs w:val="24"/>
        </w:rPr>
        <w:t xml:space="preserve"> staining</w:t>
      </w:r>
      <w:r w:rsidRPr="001B4E37">
        <w:rPr>
          <w:szCs w:val="24"/>
        </w:rPr>
        <w:t xml:space="preserve"> to evaluate the quantification and spatial distribution of sympathetic nerve fibers</w:t>
      </w:r>
      <w:r w:rsidRPr="001B4E37">
        <w:rPr>
          <w:bCs/>
          <w:iCs/>
          <w:szCs w:val="24"/>
        </w:rPr>
        <w:t>.</w:t>
      </w:r>
      <w:r w:rsidRPr="001B4E37">
        <w:rPr>
          <w:szCs w:val="24"/>
        </w:rPr>
        <w:t xml:space="preserve"> Five-µm thick sections of paraffin-embedded tissues were prepared and incubated with anti-growth associated protein 43 (a marker of nerve sprouting, </w:t>
      </w:r>
      <w:r w:rsidRPr="001B4E37">
        <w:rPr>
          <w:kern w:val="0"/>
          <w:szCs w:val="24"/>
        </w:rPr>
        <w:t xml:space="preserve">1:400; </w:t>
      </w:r>
      <w:proofErr w:type="spellStart"/>
      <w:r w:rsidRPr="001B4E37">
        <w:rPr>
          <w:kern w:val="0"/>
          <w:szCs w:val="24"/>
        </w:rPr>
        <w:t>Chemicon</w:t>
      </w:r>
      <w:proofErr w:type="spellEnd"/>
      <w:r w:rsidRPr="001B4E37">
        <w:rPr>
          <w:kern w:val="0"/>
          <w:szCs w:val="24"/>
        </w:rPr>
        <w:t xml:space="preserve">, </w:t>
      </w:r>
      <w:r w:rsidRPr="001B4E37">
        <w:rPr>
          <w:szCs w:val="24"/>
        </w:rPr>
        <w:t xml:space="preserve">CA, USA), </w:t>
      </w:r>
      <w:r w:rsidRPr="001B4E37">
        <w:rPr>
          <w:kern w:val="0"/>
          <w:szCs w:val="24"/>
        </w:rPr>
        <w:t>anti-</w:t>
      </w:r>
      <w:r w:rsidRPr="001B4E37">
        <w:rPr>
          <w:szCs w:val="24"/>
        </w:rPr>
        <w:t xml:space="preserve">tyrosine </w:t>
      </w:r>
      <w:proofErr w:type="spellStart"/>
      <w:r w:rsidRPr="001B4E37">
        <w:rPr>
          <w:szCs w:val="24"/>
        </w:rPr>
        <w:t>hydroxylase</w:t>
      </w:r>
      <w:proofErr w:type="spellEnd"/>
      <w:r w:rsidRPr="001B4E37">
        <w:rPr>
          <w:szCs w:val="24"/>
        </w:rPr>
        <w:t xml:space="preserve"> (1:200; </w:t>
      </w:r>
      <w:proofErr w:type="spellStart"/>
      <w:r w:rsidRPr="001B4E37">
        <w:rPr>
          <w:szCs w:val="24"/>
        </w:rPr>
        <w:t>Chemicon</w:t>
      </w:r>
      <w:proofErr w:type="spellEnd"/>
      <w:r w:rsidRPr="001B4E37">
        <w:rPr>
          <w:szCs w:val="24"/>
        </w:rPr>
        <w:t>, CA, USA), and anti-</w:t>
      </w:r>
      <w:proofErr w:type="spellStart"/>
      <w:r w:rsidRPr="001B4E37">
        <w:rPr>
          <w:szCs w:val="24"/>
        </w:rPr>
        <w:t>neurofilament</w:t>
      </w:r>
      <w:proofErr w:type="spellEnd"/>
      <w:r w:rsidRPr="001B4E37">
        <w:rPr>
          <w:szCs w:val="24"/>
        </w:rPr>
        <w:t xml:space="preserve"> antibodies (a marker of sympathetic nerves, 1:1000; </w:t>
      </w:r>
      <w:proofErr w:type="spellStart"/>
      <w:r w:rsidRPr="001B4E37">
        <w:rPr>
          <w:szCs w:val="24"/>
        </w:rPr>
        <w:t>Chemicon</w:t>
      </w:r>
      <w:proofErr w:type="spellEnd"/>
      <w:r w:rsidRPr="001B4E37">
        <w:rPr>
          <w:szCs w:val="24"/>
        </w:rPr>
        <w:t xml:space="preserve">, CA, USA) in 0.5% bovine serum albumin in phosphate-buffered saline overnight at 37°C. Monoclonal goat anti-mouse </w:t>
      </w:r>
      <w:proofErr w:type="spellStart"/>
      <w:r w:rsidRPr="001B4E37">
        <w:rPr>
          <w:szCs w:val="24"/>
        </w:rPr>
        <w:t>IgG</w:t>
      </w:r>
      <w:proofErr w:type="spellEnd"/>
      <w:r w:rsidRPr="001B4E37">
        <w:rPr>
          <w:szCs w:val="24"/>
        </w:rPr>
        <w:t xml:space="preserve"> conjugated to </w:t>
      </w:r>
      <w:proofErr w:type="spellStart"/>
      <w:r w:rsidRPr="001B4E37">
        <w:rPr>
          <w:szCs w:val="24"/>
        </w:rPr>
        <w:t>rhodamine</w:t>
      </w:r>
      <w:proofErr w:type="spellEnd"/>
      <w:r w:rsidRPr="001B4E37">
        <w:rPr>
          <w:szCs w:val="24"/>
        </w:rPr>
        <w:t xml:space="preserve"> for growth associated protein 43 and </w:t>
      </w:r>
      <w:proofErr w:type="spellStart"/>
      <w:r w:rsidRPr="001B4E37">
        <w:rPr>
          <w:szCs w:val="24"/>
        </w:rPr>
        <w:t>neurofilaments</w:t>
      </w:r>
      <w:proofErr w:type="spellEnd"/>
      <w:r w:rsidRPr="001B4E37">
        <w:rPr>
          <w:szCs w:val="24"/>
        </w:rPr>
        <w:t xml:space="preserve">, and </w:t>
      </w:r>
      <w:proofErr w:type="spellStart"/>
      <w:r w:rsidRPr="001B4E37">
        <w:rPr>
          <w:szCs w:val="24"/>
        </w:rPr>
        <w:t>fluorescein</w:t>
      </w:r>
      <w:proofErr w:type="spellEnd"/>
      <w:r w:rsidRPr="001B4E37">
        <w:rPr>
          <w:szCs w:val="24"/>
        </w:rPr>
        <w:t xml:space="preserve"> </w:t>
      </w:r>
      <w:proofErr w:type="spellStart"/>
      <w:r w:rsidRPr="001B4E37">
        <w:rPr>
          <w:szCs w:val="24"/>
        </w:rPr>
        <w:t>isothiocyanate</w:t>
      </w:r>
      <w:proofErr w:type="spellEnd"/>
      <w:r w:rsidRPr="001B4E37">
        <w:rPr>
          <w:szCs w:val="24"/>
        </w:rPr>
        <w:t xml:space="preserve"> for tyrosine </w:t>
      </w:r>
      <w:proofErr w:type="spellStart"/>
      <w:r w:rsidRPr="001B4E37">
        <w:rPr>
          <w:szCs w:val="24"/>
        </w:rPr>
        <w:t>hydroxylase</w:t>
      </w:r>
      <w:proofErr w:type="spellEnd"/>
      <w:r w:rsidRPr="001B4E37">
        <w:rPr>
          <w:szCs w:val="24"/>
        </w:rPr>
        <w:t xml:space="preserve"> was used as the second antibody. </w:t>
      </w:r>
      <w:proofErr w:type="gramStart"/>
      <w:r w:rsidRPr="001B4E37">
        <w:rPr>
          <w:szCs w:val="24"/>
        </w:rPr>
        <w:t>Directly</w:t>
      </w:r>
      <w:r w:rsidRPr="001B4E37">
        <w:rPr>
          <w:szCs w:val="24"/>
          <w:vertAlign w:val="superscript"/>
        </w:rPr>
        <w:t xml:space="preserve"> </w:t>
      </w:r>
      <w:r w:rsidRPr="001B4E37">
        <w:rPr>
          <w:szCs w:val="24"/>
        </w:rPr>
        <w:t xml:space="preserve">conjugated antibodies with identical </w:t>
      </w:r>
      <w:proofErr w:type="spellStart"/>
      <w:r w:rsidRPr="001B4E37">
        <w:rPr>
          <w:szCs w:val="24"/>
        </w:rPr>
        <w:t>isotypes</w:t>
      </w:r>
      <w:proofErr w:type="spellEnd"/>
      <w:r w:rsidRPr="001B4E37">
        <w:rPr>
          <w:szCs w:val="24"/>
        </w:rPr>
        <w:t xml:space="preserve"> were used as negative controls.</w:t>
      </w:r>
      <w:proofErr w:type="gramEnd"/>
      <w:r w:rsidRPr="001B4E37">
        <w:rPr>
          <w:szCs w:val="24"/>
        </w:rPr>
        <w:t xml:space="preserve"> Nerve density was measured on tracings used computerized planimetry (</w:t>
      </w:r>
      <w:r w:rsidRPr="001B4E37">
        <w:rPr>
          <w:kern w:val="0"/>
          <w:szCs w:val="24"/>
        </w:rPr>
        <w:t>Image Pro Plus, Media Cybernetics, Silver Spring, Maryland, USA</w:t>
      </w:r>
      <w:r w:rsidRPr="001B4E37">
        <w:rPr>
          <w:szCs w:val="24"/>
        </w:rPr>
        <w:t>) as described previously</w:t>
      </w:r>
      <w:r w:rsidRPr="001B4E37">
        <w:rPr>
          <w:rFonts w:eastAsia="AdvGulliv-R"/>
          <w:kern w:val="0"/>
          <w:szCs w:val="24"/>
        </w:rPr>
        <w:t xml:space="preserve"> (6)</w:t>
      </w:r>
      <w:r w:rsidRPr="001B4E37">
        <w:rPr>
          <w:kern w:val="0"/>
          <w:szCs w:val="24"/>
        </w:rPr>
        <w:t>, and</w:t>
      </w:r>
      <w:r w:rsidRPr="001B4E37">
        <w:rPr>
          <w:szCs w:val="24"/>
        </w:rPr>
        <w:t xml:space="preserve"> qualitatively estimated from 10 randomly selected fields at a magnification of 400</w:t>
      </w:r>
      <w:r w:rsidRPr="001B4E37">
        <w:rPr>
          <w:szCs w:val="24"/>
        </w:rPr>
        <w:sym w:font="Symbol" w:char="F0B4"/>
      </w:r>
      <w:r w:rsidRPr="001B4E37">
        <w:rPr>
          <w:szCs w:val="24"/>
        </w:rPr>
        <w:t xml:space="preserve">. The results were expressed as </w:t>
      </w:r>
      <w:r w:rsidRPr="001B4E37">
        <w:rPr>
          <w:kern w:val="0"/>
          <w:szCs w:val="24"/>
        </w:rPr>
        <w:t xml:space="preserve">the ratio of </w:t>
      </w:r>
      <w:r w:rsidRPr="001B4E37">
        <w:rPr>
          <w:szCs w:val="24"/>
        </w:rPr>
        <w:t>labeled nerve fiber</w:t>
      </w:r>
      <w:r w:rsidRPr="001B4E37">
        <w:rPr>
          <w:kern w:val="0"/>
          <w:szCs w:val="24"/>
        </w:rPr>
        <w:t xml:space="preserve"> area to total area.</w:t>
      </w:r>
    </w:p>
    <w:p w:rsidR="00C36BEA" w:rsidRDefault="00C36BEA" w:rsidP="001B4E37">
      <w:pPr>
        <w:jc w:val="both"/>
        <w:rPr>
          <w:kern w:val="0"/>
          <w:szCs w:val="24"/>
        </w:rPr>
      </w:pPr>
    </w:p>
    <w:p w:rsidR="00C36BEA" w:rsidRPr="00C36BEA" w:rsidRDefault="00C36BEA" w:rsidP="001B4E37">
      <w:pPr>
        <w:jc w:val="both"/>
        <w:rPr>
          <w:b/>
          <w:kern w:val="0"/>
          <w:sz w:val="28"/>
          <w:szCs w:val="28"/>
        </w:rPr>
      </w:pPr>
      <w:r w:rsidRPr="00C36BEA">
        <w:rPr>
          <w:b/>
          <w:sz w:val="28"/>
          <w:szCs w:val="28"/>
        </w:rPr>
        <w:t>Supplementary Table</w:t>
      </w:r>
    </w:p>
    <w:p w:rsidR="00C36BEA" w:rsidRPr="00FA5708" w:rsidRDefault="00C36BEA" w:rsidP="00AB4B72">
      <w:pPr>
        <w:jc w:val="both"/>
        <w:rPr>
          <w:b/>
        </w:rPr>
      </w:pPr>
      <w:r w:rsidRPr="00FA5708">
        <w:t>Cardiac morphology,</w:t>
      </w:r>
      <w:r w:rsidRPr="00FA5708">
        <w:rPr>
          <w:rFonts w:hint="eastAsia"/>
        </w:rPr>
        <w:t xml:space="preserve"> </w:t>
      </w:r>
      <w:proofErr w:type="spellStart"/>
      <w:r w:rsidRPr="00FA5708">
        <w:rPr>
          <w:rFonts w:hint="eastAsia"/>
        </w:rPr>
        <w:t>h</w:t>
      </w:r>
      <w:r w:rsidRPr="00FA5708">
        <w:t>emodynamics</w:t>
      </w:r>
      <w:proofErr w:type="spellEnd"/>
      <w:r w:rsidRPr="00FA5708">
        <w:t xml:space="preserve"> and tissue NE concentrations</w:t>
      </w:r>
      <w:r w:rsidRPr="00FA5708">
        <w:rPr>
          <w:rFonts w:hint="eastAsia"/>
        </w:rPr>
        <w:t xml:space="preserve"> at </w:t>
      </w:r>
      <w:r>
        <w:t>3 days post MI</w:t>
      </w:r>
    </w:p>
    <w:tbl>
      <w:tblPr>
        <w:tblW w:w="8108" w:type="dxa"/>
        <w:tblBorders>
          <w:top w:val="single" w:sz="4" w:space="0" w:color="auto"/>
          <w:bottom w:val="single" w:sz="4" w:space="0" w:color="auto"/>
        </w:tblBorders>
        <w:tblLayout w:type="fixed"/>
        <w:tblCellMar>
          <w:left w:w="28" w:type="dxa"/>
          <w:right w:w="28" w:type="dxa"/>
        </w:tblCellMar>
        <w:tblLook w:val="0000"/>
      </w:tblPr>
      <w:tblGrid>
        <w:gridCol w:w="1780"/>
        <w:gridCol w:w="1225"/>
        <w:gridCol w:w="1184"/>
        <w:gridCol w:w="92"/>
        <w:gridCol w:w="567"/>
        <w:gridCol w:w="1559"/>
        <w:gridCol w:w="1701"/>
      </w:tblGrid>
      <w:tr w:rsidR="00C36BEA" w:rsidRPr="00FA5708" w:rsidTr="00D23F7F">
        <w:tc>
          <w:tcPr>
            <w:tcW w:w="1780" w:type="dxa"/>
            <w:tcBorders>
              <w:top w:val="single" w:sz="4" w:space="0" w:color="auto"/>
              <w:bottom w:val="nil"/>
            </w:tcBorders>
          </w:tcPr>
          <w:p w:rsidR="00C36BEA" w:rsidRPr="00FA5708" w:rsidRDefault="00C36BEA" w:rsidP="00AB4B72">
            <w:pPr>
              <w:rPr>
                <w:b/>
              </w:rPr>
            </w:pPr>
          </w:p>
        </w:tc>
        <w:tc>
          <w:tcPr>
            <w:tcW w:w="1225" w:type="dxa"/>
            <w:tcBorders>
              <w:top w:val="single" w:sz="4" w:space="0" w:color="auto"/>
              <w:bottom w:val="nil"/>
            </w:tcBorders>
          </w:tcPr>
          <w:p w:rsidR="00C36BEA" w:rsidRPr="00FA5708" w:rsidRDefault="00C36BEA" w:rsidP="00AB4B72">
            <w:pPr>
              <w:rPr>
                <w:b/>
              </w:rPr>
            </w:pPr>
            <w:r w:rsidRPr="00FA5708">
              <w:rPr>
                <w:rFonts w:hint="eastAsia"/>
                <w:b/>
              </w:rPr>
              <w:t>Sham</w:t>
            </w:r>
          </w:p>
        </w:tc>
        <w:tc>
          <w:tcPr>
            <w:tcW w:w="1184" w:type="dxa"/>
            <w:tcBorders>
              <w:top w:val="single" w:sz="4" w:space="0" w:color="auto"/>
              <w:bottom w:val="nil"/>
            </w:tcBorders>
          </w:tcPr>
          <w:p w:rsidR="00C36BEA" w:rsidRPr="00FA5708" w:rsidRDefault="00C36BEA" w:rsidP="00AB4B72">
            <w:pPr>
              <w:rPr>
                <w:b/>
              </w:rPr>
            </w:pPr>
          </w:p>
        </w:tc>
        <w:tc>
          <w:tcPr>
            <w:tcW w:w="92" w:type="dxa"/>
            <w:tcBorders>
              <w:top w:val="single" w:sz="4" w:space="0" w:color="auto"/>
              <w:bottom w:val="nil"/>
            </w:tcBorders>
          </w:tcPr>
          <w:p w:rsidR="00C36BEA" w:rsidRPr="00FA5708" w:rsidRDefault="00C36BEA" w:rsidP="00AB4B72">
            <w:pPr>
              <w:rPr>
                <w:b/>
              </w:rPr>
            </w:pPr>
          </w:p>
        </w:tc>
        <w:tc>
          <w:tcPr>
            <w:tcW w:w="567" w:type="dxa"/>
            <w:tcBorders>
              <w:top w:val="single" w:sz="4" w:space="0" w:color="auto"/>
              <w:bottom w:val="nil"/>
            </w:tcBorders>
          </w:tcPr>
          <w:p w:rsidR="00C36BEA" w:rsidRPr="00FA5708" w:rsidRDefault="00C36BEA" w:rsidP="00AB4B72">
            <w:pPr>
              <w:rPr>
                <w:b/>
              </w:rPr>
            </w:pPr>
          </w:p>
        </w:tc>
        <w:tc>
          <w:tcPr>
            <w:tcW w:w="3260" w:type="dxa"/>
            <w:gridSpan w:val="2"/>
            <w:tcBorders>
              <w:top w:val="single" w:sz="4" w:space="0" w:color="auto"/>
              <w:bottom w:val="nil"/>
            </w:tcBorders>
          </w:tcPr>
          <w:p w:rsidR="00C36BEA" w:rsidRPr="00FA5708" w:rsidRDefault="00C36BEA" w:rsidP="00AB4B72">
            <w:pPr>
              <w:rPr>
                <w:b/>
              </w:rPr>
            </w:pPr>
            <w:r w:rsidRPr="00FA5708">
              <w:rPr>
                <w:b/>
              </w:rPr>
              <w:t>Infarction</w:t>
            </w:r>
          </w:p>
        </w:tc>
      </w:tr>
      <w:tr w:rsidR="00C36BEA" w:rsidRPr="00FA5708" w:rsidTr="00D23F7F">
        <w:tc>
          <w:tcPr>
            <w:tcW w:w="1780" w:type="dxa"/>
            <w:tcBorders>
              <w:top w:val="nil"/>
              <w:bottom w:val="single" w:sz="4" w:space="0" w:color="auto"/>
            </w:tcBorders>
          </w:tcPr>
          <w:p w:rsidR="00C36BEA" w:rsidRPr="00FA5708" w:rsidRDefault="00C36BEA" w:rsidP="00AB4B72">
            <w:pPr>
              <w:rPr>
                <w:b/>
              </w:rPr>
            </w:pPr>
            <w:r w:rsidRPr="00FA5708">
              <w:rPr>
                <w:b/>
              </w:rPr>
              <w:t>Parameters</w:t>
            </w:r>
          </w:p>
        </w:tc>
        <w:tc>
          <w:tcPr>
            <w:tcW w:w="1225" w:type="dxa"/>
            <w:tcBorders>
              <w:top w:val="single" w:sz="4" w:space="0" w:color="auto"/>
              <w:bottom w:val="single" w:sz="4" w:space="0" w:color="auto"/>
            </w:tcBorders>
          </w:tcPr>
          <w:p w:rsidR="00C36BEA" w:rsidRPr="00FA5708" w:rsidRDefault="00C36BEA" w:rsidP="00AB4B72">
            <w:pPr>
              <w:rPr>
                <w:b/>
              </w:rPr>
            </w:pPr>
            <w:r w:rsidRPr="00FA5708">
              <w:rPr>
                <w:rFonts w:hint="eastAsia"/>
                <w:b/>
              </w:rPr>
              <w:t>Saline</w:t>
            </w:r>
          </w:p>
        </w:tc>
        <w:tc>
          <w:tcPr>
            <w:tcW w:w="1184" w:type="dxa"/>
            <w:tcBorders>
              <w:top w:val="single" w:sz="4" w:space="0" w:color="auto"/>
              <w:bottom w:val="single" w:sz="4" w:space="0" w:color="auto"/>
            </w:tcBorders>
          </w:tcPr>
          <w:p w:rsidR="00C36BEA" w:rsidRPr="00FA5708" w:rsidRDefault="00C36BEA" w:rsidP="00AB4B72">
            <w:pPr>
              <w:rPr>
                <w:b/>
              </w:rPr>
            </w:pPr>
            <w:r w:rsidRPr="00FA5708">
              <w:rPr>
                <w:b/>
              </w:rPr>
              <w:t>Taurine</w:t>
            </w:r>
          </w:p>
        </w:tc>
        <w:tc>
          <w:tcPr>
            <w:tcW w:w="92" w:type="dxa"/>
            <w:tcBorders>
              <w:top w:val="single" w:sz="4" w:space="0" w:color="auto"/>
              <w:bottom w:val="single" w:sz="4" w:space="0" w:color="auto"/>
            </w:tcBorders>
          </w:tcPr>
          <w:p w:rsidR="00C36BEA" w:rsidRPr="00FA5708" w:rsidRDefault="00C36BEA" w:rsidP="00AB4B72">
            <w:pPr>
              <w:rPr>
                <w:b/>
              </w:rPr>
            </w:pPr>
          </w:p>
        </w:tc>
        <w:tc>
          <w:tcPr>
            <w:tcW w:w="567" w:type="dxa"/>
            <w:tcBorders>
              <w:top w:val="nil"/>
              <w:bottom w:val="single" w:sz="4" w:space="0" w:color="auto"/>
            </w:tcBorders>
          </w:tcPr>
          <w:p w:rsidR="00C36BEA" w:rsidRPr="00FA5708" w:rsidRDefault="00C36BEA" w:rsidP="00AB4B72">
            <w:pPr>
              <w:rPr>
                <w:b/>
              </w:rPr>
            </w:pPr>
          </w:p>
        </w:tc>
        <w:tc>
          <w:tcPr>
            <w:tcW w:w="1559" w:type="dxa"/>
            <w:tcBorders>
              <w:top w:val="single" w:sz="4" w:space="0" w:color="auto"/>
              <w:bottom w:val="single" w:sz="4" w:space="0" w:color="auto"/>
            </w:tcBorders>
          </w:tcPr>
          <w:p w:rsidR="00C36BEA" w:rsidRPr="00FA5708" w:rsidRDefault="00C36BEA" w:rsidP="00AB4B72">
            <w:pPr>
              <w:rPr>
                <w:b/>
              </w:rPr>
            </w:pPr>
            <w:r w:rsidRPr="00FA5708">
              <w:rPr>
                <w:rFonts w:hint="eastAsia"/>
                <w:b/>
              </w:rPr>
              <w:t>Vehicle</w:t>
            </w:r>
          </w:p>
        </w:tc>
        <w:tc>
          <w:tcPr>
            <w:tcW w:w="1701" w:type="dxa"/>
            <w:tcBorders>
              <w:top w:val="single" w:sz="4" w:space="0" w:color="auto"/>
              <w:bottom w:val="single" w:sz="4" w:space="0" w:color="auto"/>
            </w:tcBorders>
          </w:tcPr>
          <w:p w:rsidR="00C36BEA" w:rsidRPr="00FA5708" w:rsidRDefault="00C36BEA" w:rsidP="00AB4B72">
            <w:pPr>
              <w:rPr>
                <w:b/>
              </w:rPr>
            </w:pPr>
            <w:r w:rsidRPr="00FA5708">
              <w:rPr>
                <w:b/>
              </w:rPr>
              <w:t>Taurine</w:t>
            </w:r>
          </w:p>
        </w:tc>
      </w:tr>
      <w:tr w:rsidR="00C36BEA" w:rsidRPr="00FA5708" w:rsidTr="00D23F7F">
        <w:tc>
          <w:tcPr>
            <w:tcW w:w="1780" w:type="dxa"/>
            <w:tcBorders>
              <w:top w:val="nil"/>
            </w:tcBorders>
          </w:tcPr>
          <w:p w:rsidR="00C36BEA" w:rsidRPr="00FA5708" w:rsidRDefault="00C36BEA" w:rsidP="00AB4B72">
            <w:pPr>
              <w:rPr>
                <w:sz w:val="20"/>
              </w:rPr>
            </w:pPr>
            <w:r w:rsidRPr="00FA5708">
              <w:rPr>
                <w:sz w:val="20"/>
              </w:rPr>
              <w:t>No. of rats</w:t>
            </w:r>
          </w:p>
        </w:tc>
        <w:tc>
          <w:tcPr>
            <w:tcW w:w="1225" w:type="dxa"/>
            <w:tcBorders>
              <w:top w:val="nil"/>
            </w:tcBorders>
          </w:tcPr>
          <w:p w:rsidR="00C36BEA" w:rsidRPr="00FA5708" w:rsidRDefault="005D065E" w:rsidP="00AB4B72">
            <w:pPr>
              <w:rPr>
                <w:sz w:val="20"/>
              </w:rPr>
            </w:pPr>
            <w:r>
              <w:rPr>
                <w:sz w:val="20"/>
              </w:rPr>
              <w:t>7</w:t>
            </w:r>
          </w:p>
        </w:tc>
        <w:tc>
          <w:tcPr>
            <w:tcW w:w="1184" w:type="dxa"/>
            <w:tcBorders>
              <w:top w:val="nil"/>
            </w:tcBorders>
          </w:tcPr>
          <w:p w:rsidR="00C36BEA" w:rsidRPr="00FA5708" w:rsidRDefault="005D065E" w:rsidP="00AB4B72">
            <w:pPr>
              <w:rPr>
                <w:sz w:val="20"/>
              </w:rPr>
            </w:pPr>
            <w:r>
              <w:rPr>
                <w:sz w:val="20"/>
              </w:rPr>
              <w:t>7</w:t>
            </w:r>
          </w:p>
        </w:tc>
        <w:tc>
          <w:tcPr>
            <w:tcW w:w="92" w:type="dxa"/>
            <w:tcBorders>
              <w:top w:val="nil"/>
            </w:tcBorders>
          </w:tcPr>
          <w:p w:rsidR="00C36BEA" w:rsidRPr="00FA5708" w:rsidRDefault="00C36BEA" w:rsidP="00AB4B72">
            <w:pPr>
              <w:rPr>
                <w:sz w:val="20"/>
              </w:rPr>
            </w:pPr>
          </w:p>
        </w:tc>
        <w:tc>
          <w:tcPr>
            <w:tcW w:w="567" w:type="dxa"/>
            <w:tcBorders>
              <w:top w:val="nil"/>
            </w:tcBorders>
          </w:tcPr>
          <w:p w:rsidR="00C36BEA" w:rsidRPr="00FA5708" w:rsidRDefault="00C36BEA" w:rsidP="00AB4B72">
            <w:pPr>
              <w:rPr>
                <w:sz w:val="20"/>
              </w:rPr>
            </w:pPr>
          </w:p>
        </w:tc>
        <w:tc>
          <w:tcPr>
            <w:tcW w:w="1559" w:type="dxa"/>
            <w:tcBorders>
              <w:top w:val="nil"/>
            </w:tcBorders>
          </w:tcPr>
          <w:p w:rsidR="00C36BEA" w:rsidRPr="00FA5708" w:rsidRDefault="005D065E" w:rsidP="00AB4B72">
            <w:pPr>
              <w:rPr>
                <w:sz w:val="20"/>
              </w:rPr>
            </w:pPr>
            <w:r>
              <w:rPr>
                <w:sz w:val="20"/>
              </w:rPr>
              <w:t>7</w:t>
            </w:r>
          </w:p>
        </w:tc>
        <w:tc>
          <w:tcPr>
            <w:tcW w:w="1701" w:type="dxa"/>
            <w:tcBorders>
              <w:top w:val="nil"/>
            </w:tcBorders>
          </w:tcPr>
          <w:p w:rsidR="00C36BEA" w:rsidRPr="00FA5708" w:rsidRDefault="005D065E" w:rsidP="00AB4B72">
            <w:pPr>
              <w:rPr>
                <w:sz w:val="20"/>
              </w:rPr>
            </w:pPr>
            <w:r>
              <w:rPr>
                <w:sz w:val="20"/>
              </w:rPr>
              <w:t>8</w:t>
            </w:r>
          </w:p>
        </w:tc>
      </w:tr>
      <w:tr w:rsidR="00C36BEA" w:rsidRPr="00FA5708" w:rsidTr="00D23F7F">
        <w:tc>
          <w:tcPr>
            <w:tcW w:w="1780" w:type="dxa"/>
            <w:tcBorders>
              <w:top w:val="nil"/>
            </w:tcBorders>
          </w:tcPr>
          <w:p w:rsidR="00C36BEA" w:rsidRPr="00FA5708" w:rsidRDefault="00C36BEA" w:rsidP="00AB4B72">
            <w:pPr>
              <w:rPr>
                <w:sz w:val="20"/>
              </w:rPr>
            </w:pPr>
            <w:r w:rsidRPr="00FA5708">
              <w:rPr>
                <w:sz w:val="20"/>
              </w:rPr>
              <w:t>Body weight, g</w:t>
            </w:r>
          </w:p>
        </w:tc>
        <w:tc>
          <w:tcPr>
            <w:tcW w:w="1225" w:type="dxa"/>
            <w:tcBorders>
              <w:top w:val="nil"/>
            </w:tcBorders>
          </w:tcPr>
          <w:p w:rsidR="00C36BEA" w:rsidRPr="00FA5708" w:rsidRDefault="00C36BEA" w:rsidP="00AB4B72">
            <w:pPr>
              <w:rPr>
                <w:sz w:val="20"/>
              </w:rPr>
            </w:pPr>
            <w:r w:rsidRPr="00FA5708">
              <w:rPr>
                <w:sz w:val="20"/>
              </w:rPr>
              <w:t>3</w:t>
            </w:r>
            <w:r w:rsidR="005D065E">
              <w:rPr>
                <w:sz w:val="20"/>
              </w:rPr>
              <w:t>52</w:t>
            </w:r>
            <w:r w:rsidRPr="00FA5708">
              <w:rPr>
                <w:sz w:val="20"/>
              </w:rPr>
              <w:t xml:space="preserve"> </w:t>
            </w:r>
            <w:r w:rsidRPr="00FA5708">
              <w:rPr>
                <w:sz w:val="20"/>
              </w:rPr>
              <w:sym w:font="Symbol" w:char="F0B1"/>
            </w:r>
            <w:r w:rsidRPr="00FA5708">
              <w:rPr>
                <w:sz w:val="20"/>
              </w:rPr>
              <w:t xml:space="preserve"> 1</w:t>
            </w:r>
            <w:r w:rsidR="005D065E">
              <w:rPr>
                <w:sz w:val="20"/>
              </w:rPr>
              <w:t>4</w:t>
            </w:r>
          </w:p>
        </w:tc>
        <w:tc>
          <w:tcPr>
            <w:tcW w:w="1184" w:type="dxa"/>
            <w:tcBorders>
              <w:top w:val="nil"/>
            </w:tcBorders>
          </w:tcPr>
          <w:p w:rsidR="00C36BEA" w:rsidRPr="00FA5708" w:rsidRDefault="00C36BEA" w:rsidP="00AB4B72">
            <w:pPr>
              <w:rPr>
                <w:sz w:val="20"/>
              </w:rPr>
            </w:pPr>
            <w:r w:rsidRPr="00FA5708">
              <w:rPr>
                <w:sz w:val="20"/>
              </w:rPr>
              <w:t>3</w:t>
            </w:r>
            <w:r w:rsidR="005D065E">
              <w:rPr>
                <w:sz w:val="20"/>
              </w:rPr>
              <w:t>62</w:t>
            </w:r>
            <w:r w:rsidRPr="00FA5708">
              <w:rPr>
                <w:sz w:val="20"/>
              </w:rPr>
              <w:t xml:space="preserve"> </w:t>
            </w:r>
            <w:r w:rsidRPr="00FA5708">
              <w:rPr>
                <w:sz w:val="20"/>
              </w:rPr>
              <w:sym w:font="Symbol" w:char="F0B1"/>
            </w:r>
            <w:r w:rsidRPr="00FA5708">
              <w:rPr>
                <w:sz w:val="20"/>
              </w:rPr>
              <w:t xml:space="preserve"> 1</w:t>
            </w:r>
            <w:r w:rsidR="005D065E">
              <w:rPr>
                <w:sz w:val="20"/>
              </w:rPr>
              <w:t>8</w:t>
            </w:r>
          </w:p>
        </w:tc>
        <w:tc>
          <w:tcPr>
            <w:tcW w:w="92" w:type="dxa"/>
            <w:tcBorders>
              <w:top w:val="nil"/>
            </w:tcBorders>
          </w:tcPr>
          <w:p w:rsidR="00C36BEA" w:rsidRPr="00FA5708" w:rsidRDefault="00C36BEA" w:rsidP="00AB4B72">
            <w:pPr>
              <w:rPr>
                <w:sz w:val="20"/>
              </w:rPr>
            </w:pPr>
          </w:p>
        </w:tc>
        <w:tc>
          <w:tcPr>
            <w:tcW w:w="567" w:type="dxa"/>
            <w:tcBorders>
              <w:top w:val="nil"/>
            </w:tcBorders>
          </w:tcPr>
          <w:p w:rsidR="00C36BEA" w:rsidRPr="00FA5708" w:rsidRDefault="00C36BEA" w:rsidP="00AB4B72">
            <w:pPr>
              <w:rPr>
                <w:sz w:val="20"/>
              </w:rPr>
            </w:pPr>
          </w:p>
        </w:tc>
        <w:tc>
          <w:tcPr>
            <w:tcW w:w="1559" w:type="dxa"/>
            <w:tcBorders>
              <w:top w:val="nil"/>
            </w:tcBorders>
          </w:tcPr>
          <w:p w:rsidR="00C36BEA" w:rsidRPr="00FA5708" w:rsidRDefault="00C36BEA" w:rsidP="00AB4B72">
            <w:pPr>
              <w:rPr>
                <w:sz w:val="20"/>
              </w:rPr>
            </w:pPr>
            <w:r w:rsidRPr="00FA5708">
              <w:rPr>
                <w:sz w:val="20"/>
              </w:rPr>
              <w:t>3</w:t>
            </w:r>
            <w:r w:rsidR="005D065E">
              <w:rPr>
                <w:sz w:val="20"/>
              </w:rPr>
              <w:t>48</w:t>
            </w:r>
            <w:r w:rsidRPr="00FA5708">
              <w:rPr>
                <w:sz w:val="20"/>
              </w:rPr>
              <w:t xml:space="preserve"> </w:t>
            </w:r>
            <w:r w:rsidRPr="00FA5708">
              <w:rPr>
                <w:sz w:val="20"/>
              </w:rPr>
              <w:sym w:font="Symbol" w:char="F0B1"/>
            </w:r>
            <w:r w:rsidRPr="00FA5708">
              <w:rPr>
                <w:sz w:val="20"/>
              </w:rPr>
              <w:t xml:space="preserve"> 1</w:t>
            </w:r>
            <w:r w:rsidR="005D065E">
              <w:rPr>
                <w:sz w:val="20"/>
              </w:rPr>
              <w:t>9</w:t>
            </w:r>
          </w:p>
        </w:tc>
        <w:tc>
          <w:tcPr>
            <w:tcW w:w="1701" w:type="dxa"/>
            <w:tcBorders>
              <w:top w:val="nil"/>
            </w:tcBorders>
          </w:tcPr>
          <w:p w:rsidR="00C36BEA" w:rsidRPr="00FA5708" w:rsidRDefault="00C36BEA" w:rsidP="00AB4B72">
            <w:pPr>
              <w:rPr>
                <w:sz w:val="20"/>
              </w:rPr>
            </w:pPr>
            <w:r w:rsidRPr="00FA5708">
              <w:rPr>
                <w:sz w:val="20"/>
              </w:rPr>
              <w:t>3</w:t>
            </w:r>
            <w:r w:rsidR="005D065E">
              <w:rPr>
                <w:sz w:val="20"/>
              </w:rPr>
              <w:t>51</w:t>
            </w:r>
            <w:r w:rsidRPr="00FA5708">
              <w:rPr>
                <w:sz w:val="20"/>
              </w:rPr>
              <w:t xml:space="preserve"> </w:t>
            </w:r>
            <w:r w:rsidRPr="00FA5708">
              <w:rPr>
                <w:sz w:val="20"/>
              </w:rPr>
              <w:sym w:font="Symbol" w:char="F0B1"/>
            </w:r>
            <w:r w:rsidRPr="00FA5708">
              <w:rPr>
                <w:sz w:val="20"/>
              </w:rPr>
              <w:t xml:space="preserve"> 15</w:t>
            </w:r>
          </w:p>
        </w:tc>
      </w:tr>
      <w:tr w:rsidR="00C36BEA" w:rsidRPr="00FA5708" w:rsidTr="00D23F7F">
        <w:tc>
          <w:tcPr>
            <w:tcW w:w="1780" w:type="dxa"/>
            <w:tcBorders>
              <w:top w:val="nil"/>
            </w:tcBorders>
          </w:tcPr>
          <w:p w:rsidR="00C36BEA" w:rsidRPr="00FA5708" w:rsidRDefault="00C36BEA" w:rsidP="00AB4B72">
            <w:pPr>
              <w:rPr>
                <w:sz w:val="20"/>
              </w:rPr>
            </w:pPr>
            <w:r w:rsidRPr="00FA5708">
              <w:rPr>
                <w:sz w:val="20"/>
              </w:rPr>
              <w:t xml:space="preserve">Heart rate, </w:t>
            </w:r>
            <w:proofErr w:type="spellStart"/>
            <w:r w:rsidRPr="00FA5708">
              <w:rPr>
                <w:sz w:val="20"/>
              </w:rPr>
              <w:t>bpm</w:t>
            </w:r>
            <w:proofErr w:type="spellEnd"/>
          </w:p>
        </w:tc>
        <w:tc>
          <w:tcPr>
            <w:tcW w:w="1225" w:type="dxa"/>
            <w:tcBorders>
              <w:top w:val="nil"/>
            </w:tcBorders>
          </w:tcPr>
          <w:p w:rsidR="00C36BEA" w:rsidRPr="00FA5708" w:rsidRDefault="00C36BEA" w:rsidP="00AB4B72">
            <w:pPr>
              <w:rPr>
                <w:sz w:val="20"/>
              </w:rPr>
            </w:pPr>
            <w:r w:rsidRPr="00FA5708">
              <w:rPr>
                <w:sz w:val="20"/>
              </w:rPr>
              <w:t>3</w:t>
            </w:r>
            <w:r w:rsidR="005D065E">
              <w:rPr>
                <w:sz w:val="20"/>
              </w:rPr>
              <w:t>95</w:t>
            </w:r>
            <w:r w:rsidRPr="00FA5708">
              <w:rPr>
                <w:sz w:val="20"/>
              </w:rPr>
              <w:t xml:space="preserve"> </w:t>
            </w:r>
            <w:r w:rsidRPr="00FA5708">
              <w:rPr>
                <w:sz w:val="20"/>
              </w:rPr>
              <w:sym w:font="Symbol" w:char="F0B1"/>
            </w:r>
            <w:r w:rsidRPr="00FA5708">
              <w:rPr>
                <w:sz w:val="20"/>
              </w:rPr>
              <w:t xml:space="preserve"> 2</w:t>
            </w:r>
            <w:r w:rsidR="005D065E">
              <w:rPr>
                <w:sz w:val="20"/>
              </w:rPr>
              <w:t>2</w:t>
            </w:r>
          </w:p>
        </w:tc>
        <w:tc>
          <w:tcPr>
            <w:tcW w:w="1184" w:type="dxa"/>
            <w:tcBorders>
              <w:top w:val="nil"/>
            </w:tcBorders>
          </w:tcPr>
          <w:p w:rsidR="00C36BEA" w:rsidRPr="00FA5708" w:rsidRDefault="00C36BEA" w:rsidP="00AB4B72">
            <w:pPr>
              <w:rPr>
                <w:sz w:val="20"/>
              </w:rPr>
            </w:pPr>
            <w:r w:rsidRPr="00FA5708">
              <w:rPr>
                <w:sz w:val="20"/>
              </w:rPr>
              <w:t>3</w:t>
            </w:r>
            <w:r w:rsidR="005D065E">
              <w:rPr>
                <w:sz w:val="20"/>
              </w:rPr>
              <w:t>73</w:t>
            </w:r>
            <w:r w:rsidRPr="00FA5708">
              <w:rPr>
                <w:sz w:val="20"/>
              </w:rPr>
              <w:t xml:space="preserve"> </w:t>
            </w:r>
            <w:r w:rsidRPr="00FA5708">
              <w:rPr>
                <w:sz w:val="20"/>
              </w:rPr>
              <w:sym w:font="Symbol" w:char="F0B1"/>
            </w:r>
            <w:r w:rsidRPr="00FA5708">
              <w:rPr>
                <w:sz w:val="20"/>
              </w:rPr>
              <w:t xml:space="preserve"> </w:t>
            </w:r>
            <w:r w:rsidR="008B1748">
              <w:rPr>
                <w:sz w:val="20"/>
              </w:rPr>
              <w:t>2</w:t>
            </w:r>
            <w:r w:rsidR="005D065E">
              <w:rPr>
                <w:sz w:val="20"/>
              </w:rPr>
              <w:t>9</w:t>
            </w:r>
          </w:p>
        </w:tc>
        <w:tc>
          <w:tcPr>
            <w:tcW w:w="92" w:type="dxa"/>
            <w:tcBorders>
              <w:top w:val="nil"/>
            </w:tcBorders>
          </w:tcPr>
          <w:p w:rsidR="00C36BEA" w:rsidRPr="00FA5708" w:rsidRDefault="00C36BEA" w:rsidP="00AB4B72">
            <w:pPr>
              <w:rPr>
                <w:sz w:val="20"/>
              </w:rPr>
            </w:pPr>
          </w:p>
        </w:tc>
        <w:tc>
          <w:tcPr>
            <w:tcW w:w="567" w:type="dxa"/>
            <w:tcBorders>
              <w:top w:val="nil"/>
            </w:tcBorders>
          </w:tcPr>
          <w:p w:rsidR="00C36BEA" w:rsidRPr="00FA5708" w:rsidRDefault="00C36BEA" w:rsidP="00AB4B72">
            <w:pPr>
              <w:rPr>
                <w:sz w:val="20"/>
              </w:rPr>
            </w:pPr>
          </w:p>
        </w:tc>
        <w:tc>
          <w:tcPr>
            <w:tcW w:w="1559" w:type="dxa"/>
            <w:tcBorders>
              <w:top w:val="nil"/>
            </w:tcBorders>
          </w:tcPr>
          <w:p w:rsidR="00C36BEA" w:rsidRPr="00FA5708" w:rsidRDefault="005D065E" w:rsidP="00AB4B72">
            <w:pPr>
              <w:rPr>
                <w:sz w:val="20"/>
              </w:rPr>
            </w:pPr>
            <w:r>
              <w:rPr>
                <w:sz w:val="20"/>
              </w:rPr>
              <w:t>405</w:t>
            </w:r>
            <w:r w:rsidR="00C36BEA" w:rsidRPr="00FA5708">
              <w:rPr>
                <w:sz w:val="20"/>
              </w:rPr>
              <w:t xml:space="preserve"> </w:t>
            </w:r>
            <w:r w:rsidR="00C36BEA" w:rsidRPr="00FA5708">
              <w:rPr>
                <w:sz w:val="20"/>
              </w:rPr>
              <w:sym w:font="Symbol" w:char="F0B1"/>
            </w:r>
            <w:r w:rsidR="00C36BEA" w:rsidRPr="00FA5708">
              <w:rPr>
                <w:sz w:val="20"/>
              </w:rPr>
              <w:t xml:space="preserve"> </w:t>
            </w:r>
            <w:r>
              <w:rPr>
                <w:sz w:val="20"/>
              </w:rPr>
              <w:t>24</w:t>
            </w:r>
          </w:p>
        </w:tc>
        <w:tc>
          <w:tcPr>
            <w:tcW w:w="1701" w:type="dxa"/>
            <w:tcBorders>
              <w:top w:val="nil"/>
            </w:tcBorders>
          </w:tcPr>
          <w:p w:rsidR="00C36BEA" w:rsidRPr="00FA5708" w:rsidRDefault="00C36BEA" w:rsidP="00AB4B72">
            <w:pPr>
              <w:rPr>
                <w:sz w:val="20"/>
              </w:rPr>
            </w:pPr>
            <w:r w:rsidRPr="00FA5708">
              <w:rPr>
                <w:sz w:val="20"/>
              </w:rPr>
              <w:t>4</w:t>
            </w:r>
            <w:r w:rsidR="005D065E">
              <w:rPr>
                <w:sz w:val="20"/>
              </w:rPr>
              <w:t>11</w:t>
            </w:r>
            <w:r w:rsidRPr="00FA5708">
              <w:rPr>
                <w:sz w:val="20"/>
              </w:rPr>
              <w:t xml:space="preserve"> </w:t>
            </w:r>
            <w:r w:rsidRPr="00FA5708">
              <w:rPr>
                <w:sz w:val="20"/>
              </w:rPr>
              <w:sym w:font="Symbol" w:char="F0B1"/>
            </w:r>
            <w:r w:rsidRPr="00FA5708">
              <w:rPr>
                <w:sz w:val="20"/>
              </w:rPr>
              <w:t xml:space="preserve"> </w:t>
            </w:r>
            <w:r w:rsidR="005D065E">
              <w:rPr>
                <w:sz w:val="20"/>
              </w:rPr>
              <w:t>21</w:t>
            </w:r>
          </w:p>
        </w:tc>
      </w:tr>
      <w:tr w:rsidR="00C36BEA" w:rsidRPr="00FA5708" w:rsidTr="00D23F7F">
        <w:tc>
          <w:tcPr>
            <w:tcW w:w="1780" w:type="dxa"/>
            <w:tcBorders>
              <w:top w:val="nil"/>
            </w:tcBorders>
          </w:tcPr>
          <w:p w:rsidR="00C36BEA" w:rsidRPr="00FA5708" w:rsidRDefault="00C36BEA" w:rsidP="00AB4B72">
            <w:pPr>
              <w:rPr>
                <w:sz w:val="20"/>
              </w:rPr>
            </w:pPr>
            <w:r w:rsidRPr="00FA5708">
              <w:rPr>
                <w:sz w:val="20"/>
              </w:rPr>
              <w:t>LVESP, mm Hg</w:t>
            </w:r>
          </w:p>
        </w:tc>
        <w:tc>
          <w:tcPr>
            <w:tcW w:w="1225" w:type="dxa"/>
            <w:tcBorders>
              <w:top w:val="nil"/>
            </w:tcBorders>
          </w:tcPr>
          <w:p w:rsidR="00C36BEA" w:rsidRPr="00FA5708" w:rsidRDefault="005D065E" w:rsidP="00AB4B72">
            <w:pPr>
              <w:rPr>
                <w:sz w:val="20"/>
              </w:rPr>
            </w:pPr>
            <w:r>
              <w:rPr>
                <w:sz w:val="20"/>
              </w:rPr>
              <w:t>109</w:t>
            </w:r>
            <w:r w:rsidR="00C36BEA" w:rsidRPr="00FA5708">
              <w:rPr>
                <w:sz w:val="20"/>
              </w:rPr>
              <w:t xml:space="preserve"> </w:t>
            </w:r>
            <w:r w:rsidR="00C36BEA" w:rsidRPr="00FA5708">
              <w:rPr>
                <w:sz w:val="20"/>
              </w:rPr>
              <w:sym w:font="Symbol" w:char="F0B1"/>
            </w:r>
            <w:r w:rsidR="00C36BEA" w:rsidRPr="00FA5708">
              <w:rPr>
                <w:sz w:val="20"/>
              </w:rPr>
              <w:t xml:space="preserve"> </w:t>
            </w:r>
            <w:r>
              <w:rPr>
                <w:sz w:val="20"/>
              </w:rPr>
              <w:t>8</w:t>
            </w:r>
          </w:p>
        </w:tc>
        <w:tc>
          <w:tcPr>
            <w:tcW w:w="1184" w:type="dxa"/>
            <w:tcBorders>
              <w:top w:val="nil"/>
            </w:tcBorders>
          </w:tcPr>
          <w:p w:rsidR="00C36BEA" w:rsidRPr="00FA5708" w:rsidRDefault="00C36BEA" w:rsidP="00AB4B72">
            <w:pPr>
              <w:rPr>
                <w:sz w:val="20"/>
              </w:rPr>
            </w:pPr>
            <w:r w:rsidRPr="00FA5708">
              <w:rPr>
                <w:sz w:val="20"/>
              </w:rPr>
              <w:t>10</w:t>
            </w:r>
            <w:r w:rsidR="005D065E">
              <w:rPr>
                <w:sz w:val="20"/>
              </w:rPr>
              <w:t>7</w:t>
            </w:r>
            <w:r w:rsidRPr="00FA5708">
              <w:rPr>
                <w:sz w:val="20"/>
              </w:rPr>
              <w:t xml:space="preserve"> </w:t>
            </w:r>
            <w:r w:rsidRPr="00FA5708">
              <w:rPr>
                <w:sz w:val="20"/>
              </w:rPr>
              <w:sym w:font="Symbol" w:char="F0B1"/>
            </w:r>
            <w:r w:rsidRPr="00FA5708">
              <w:rPr>
                <w:sz w:val="20"/>
              </w:rPr>
              <w:t xml:space="preserve"> </w:t>
            </w:r>
            <w:r w:rsidR="005D065E">
              <w:rPr>
                <w:sz w:val="20"/>
              </w:rPr>
              <w:t>9</w:t>
            </w:r>
          </w:p>
        </w:tc>
        <w:tc>
          <w:tcPr>
            <w:tcW w:w="92" w:type="dxa"/>
            <w:tcBorders>
              <w:top w:val="nil"/>
            </w:tcBorders>
          </w:tcPr>
          <w:p w:rsidR="00C36BEA" w:rsidRPr="00FA5708" w:rsidRDefault="00C36BEA" w:rsidP="00AB4B72">
            <w:pPr>
              <w:rPr>
                <w:sz w:val="20"/>
              </w:rPr>
            </w:pPr>
          </w:p>
        </w:tc>
        <w:tc>
          <w:tcPr>
            <w:tcW w:w="567" w:type="dxa"/>
            <w:tcBorders>
              <w:top w:val="nil"/>
            </w:tcBorders>
          </w:tcPr>
          <w:p w:rsidR="00C36BEA" w:rsidRPr="00FA5708" w:rsidRDefault="00C36BEA" w:rsidP="00AB4B72">
            <w:pPr>
              <w:rPr>
                <w:sz w:val="20"/>
              </w:rPr>
            </w:pPr>
          </w:p>
        </w:tc>
        <w:tc>
          <w:tcPr>
            <w:tcW w:w="1559" w:type="dxa"/>
            <w:tcBorders>
              <w:top w:val="nil"/>
            </w:tcBorders>
          </w:tcPr>
          <w:p w:rsidR="00C36BEA" w:rsidRPr="00FA5708" w:rsidRDefault="005D065E" w:rsidP="00AB4B72">
            <w:pPr>
              <w:rPr>
                <w:sz w:val="20"/>
              </w:rPr>
            </w:pPr>
            <w:r>
              <w:rPr>
                <w:sz w:val="20"/>
              </w:rPr>
              <w:t>98</w:t>
            </w:r>
            <w:r w:rsidR="00C36BEA" w:rsidRPr="00FA5708">
              <w:rPr>
                <w:sz w:val="20"/>
              </w:rPr>
              <w:t xml:space="preserve"> </w:t>
            </w:r>
            <w:r w:rsidR="00C36BEA" w:rsidRPr="00FA5708">
              <w:rPr>
                <w:sz w:val="20"/>
              </w:rPr>
              <w:sym w:font="Symbol" w:char="F0B1"/>
            </w:r>
            <w:r w:rsidR="00C36BEA" w:rsidRPr="00FA5708">
              <w:rPr>
                <w:sz w:val="20"/>
              </w:rPr>
              <w:t xml:space="preserve"> </w:t>
            </w:r>
            <w:r>
              <w:rPr>
                <w:sz w:val="20"/>
              </w:rPr>
              <w:t>11</w:t>
            </w:r>
          </w:p>
        </w:tc>
        <w:tc>
          <w:tcPr>
            <w:tcW w:w="1701" w:type="dxa"/>
            <w:tcBorders>
              <w:top w:val="nil"/>
            </w:tcBorders>
          </w:tcPr>
          <w:p w:rsidR="00C36BEA" w:rsidRPr="00FA5708" w:rsidRDefault="005D065E" w:rsidP="00AB4B72">
            <w:pPr>
              <w:rPr>
                <w:sz w:val="20"/>
              </w:rPr>
            </w:pPr>
            <w:r>
              <w:rPr>
                <w:sz w:val="20"/>
              </w:rPr>
              <w:t>101</w:t>
            </w:r>
            <w:r w:rsidR="00C36BEA" w:rsidRPr="00FA5708">
              <w:rPr>
                <w:sz w:val="20"/>
              </w:rPr>
              <w:t xml:space="preserve"> </w:t>
            </w:r>
            <w:r w:rsidR="00C36BEA" w:rsidRPr="00FA5708">
              <w:rPr>
                <w:sz w:val="20"/>
              </w:rPr>
              <w:sym w:font="Symbol" w:char="F0B1"/>
            </w:r>
            <w:r w:rsidR="00C36BEA" w:rsidRPr="00FA5708">
              <w:rPr>
                <w:sz w:val="20"/>
              </w:rPr>
              <w:t xml:space="preserve"> </w:t>
            </w:r>
            <w:r>
              <w:rPr>
                <w:sz w:val="20"/>
              </w:rPr>
              <w:t>12</w:t>
            </w:r>
          </w:p>
        </w:tc>
      </w:tr>
      <w:tr w:rsidR="00C36BEA" w:rsidRPr="00FA5708" w:rsidTr="00D23F7F">
        <w:tc>
          <w:tcPr>
            <w:tcW w:w="1780" w:type="dxa"/>
          </w:tcPr>
          <w:p w:rsidR="00C36BEA" w:rsidRPr="00FA5708" w:rsidRDefault="00C36BEA" w:rsidP="00AB4B72">
            <w:pPr>
              <w:rPr>
                <w:sz w:val="20"/>
              </w:rPr>
            </w:pPr>
            <w:r w:rsidRPr="00FA5708">
              <w:rPr>
                <w:sz w:val="20"/>
              </w:rPr>
              <w:t>LVEDP, mm Hg</w:t>
            </w:r>
          </w:p>
        </w:tc>
        <w:tc>
          <w:tcPr>
            <w:tcW w:w="1225" w:type="dxa"/>
          </w:tcPr>
          <w:p w:rsidR="00C36BEA" w:rsidRPr="00FA5708" w:rsidRDefault="00C36BEA" w:rsidP="00AB4B72">
            <w:pPr>
              <w:rPr>
                <w:sz w:val="20"/>
              </w:rPr>
            </w:pPr>
            <w:r w:rsidRPr="00FA5708">
              <w:rPr>
                <w:sz w:val="20"/>
              </w:rPr>
              <w:t xml:space="preserve">5 </w:t>
            </w:r>
            <w:r w:rsidRPr="00FA5708">
              <w:rPr>
                <w:sz w:val="20"/>
              </w:rPr>
              <w:sym w:font="Symbol" w:char="F0B1"/>
            </w:r>
            <w:r w:rsidRPr="00FA5708">
              <w:rPr>
                <w:sz w:val="20"/>
              </w:rPr>
              <w:t xml:space="preserve"> 1</w:t>
            </w:r>
          </w:p>
        </w:tc>
        <w:tc>
          <w:tcPr>
            <w:tcW w:w="1184" w:type="dxa"/>
          </w:tcPr>
          <w:p w:rsidR="00C36BEA" w:rsidRPr="00FA5708" w:rsidRDefault="00C36BEA" w:rsidP="00AB4B72">
            <w:pPr>
              <w:rPr>
                <w:sz w:val="20"/>
              </w:rPr>
            </w:pPr>
            <w:r w:rsidRPr="00FA5708">
              <w:rPr>
                <w:sz w:val="20"/>
              </w:rPr>
              <w:t xml:space="preserve">5 </w:t>
            </w:r>
            <w:r w:rsidRPr="00FA5708">
              <w:rPr>
                <w:sz w:val="20"/>
              </w:rPr>
              <w:sym w:font="Symbol" w:char="F0B1"/>
            </w:r>
            <w:r w:rsidRPr="00FA5708">
              <w:rPr>
                <w:sz w:val="20"/>
              </w:rPr>
              <w:t xml:space="preserve"> </w:t>
            </w:r>
            <w:r w:rsidR="005D065E">
              <w:rPr>
                <w:sz w:val="20"/>
              </w:rPr>
              <w:t>3</w:t>
            </w:r>
          </w:p>
        </w:tc>
        <w:tc>
          <w:tcPr>
            <w:tcW w:w="92" w:type="dxa"/>
          </w:tcPr>
          <w:p w:rsidR="00C36BEA" w:rsidRPr="00FA5708" w:rsidRDefault="00C36BEA" w:rsidP="00AB4B72">
            <w:pPr>
              <w:rPr>
                <w:sz w:val="20"/>
              </w:rPr>
            </w:pPr>
          </w:p>
        </w:tc>
        <w:tc>
          <w:tcPr>
            <w:tcW w:w="567" w:type="dxa"/>
          </w:tcPr>
          <w:p w:rsidR="00C36BEA" w:rsidRPr="00FA5708" w:rsidRDefault="00C36BEA" w:rsidP="00AB4B72">
            <w:pPr>
              <w:rPr>
                <w:sz w:val="20"/>
              </w:rPr>
            </w:pPr>
            <w:r w:rsidRPr="00FA5708">
              <w:rPr>
                <w:sz w:val="20"/>
              </w:rPr>
              <w:t xml:space="preserve"> </w:t>
            </w:r>
          </w:p>
        </w:tc>
        <w:tc>
          <w:tcPr>
            <w:tcW w:w="1559" w:type="dxa"/>
          </w:tcPr>
          <w:p w:rsidR="00C36BEA" w:rsidRPr="00FA5708" w:rsidRDefault="005D065E" w:rsidP="00AB4B72">
            <w:pPr>
              <w:rPr>
                <w:sz w:val="20"/>
              </w:rPr>
            </w:pPr>
            <w:r>
              <w:rPr>
                <w:sz w:val="20"/>
              </w:rPr>
              <w:t>21</w:t>
            </w:r>
            <w:r w:rsidR="00C36BEA" w:rsidRPr="00FA5708">
              <w:rPr>
                <w:sz w:val="20"/>
              </w:rPr>
              <w:t xml:space="preserve"> </w:t>
            </w:r>
            <w:r w:rsidR="00C36BEA" w:rsidRPr="00FA5708">
              <w:rPr>
                <w:sz w:val="20"/>
              </w:rPr>
              <w:sym w:font="Symbol" w:char="F0B1"/>
            </w:r>
            <w:r w:rsidR="00C36BEA" w:rsidRPr="00FA5708">
              <w:rPr>
                <w:sz w:val="20"/>
              </w:rPr>
              <w:t xml:space="preserve"> </w:t>
            </w:r>
            <w:r>
              <w:rPr>
                <w:sz w:val="20"/>
              </w:rPr>
              <w:t>5</w:t>
            </w:r>
            <w:r w:rsidR="00C36BEA" w:rsidRPr="00FA5708">
              <w:rPr>
                <w:sz w:val="20"/>
              </w:rPr>
              <w:t>*</w:t>
            </w:r>
          </w:p>
        </w:tc>
        <w:tc>
          <w:tcPr>
            <w:tcW w:w="1701" w:type="dxa"/>
          </w:tcPr>
          <w:p w:rsidR="00C36BEA" w:rsidRPr="00FA5708" w:rsidRDefault="005D065E" w:rsidP="00AB4B72">
            <w:pPr>
              <w:rPr>
                <w:sz w:val="20"/>
              </w:rPr>
            </w:pPr>
            <w:r>
              <w:rPr>
                <w:sz w:val="20"/>
              </w:rPr>
              <w:t>18</w:t>
            </w:r>
            <w:r w:rsidR="00C36BEA" w:rsidRPr="00FA5708">
              <w:rPr>
                <w:sz w:val="20"/>
              </w:rPr>
              <w:t xml:space="preserve"> </w:t>
            </w:r>
            <w:r w:rsidR="00C36BEA" w:rsidRPr="00FA5708">
              <w:rPr>
                <w:sz w:val="20"/>
              </w:rPr>
              <w:sym w:font="Symbol" w:char="F0B1"/>
            </w:r>
            <w:r w:rsidR="00C36BEA" w:rsidRPr="00FA5708">
              <w:rPr>
                <w:sz w:val="20"/>
              </w:rPr>
              <w:t xml:space="preserve"> </w:t>
            </w:r>
            <w:r>
              <w:rPr>
                <w:sz w:val="20"/>
              </w:rPr>
              <w:t>8</w:t>
            </w:r>
            <w:r w:rsidR="00C36BEA" w:rsidRPr="00FA5708">
              <w:rPr>
                <w:sz w:val="20"/>
              </w:rPr>
              <w:t>*</w:t>
            </w:r>
          </w:p>
        </w:tc>
      </w:tr>
      <w:tr w:rsidR="00C36BEA" w:rsidRPr="00FA5708" w:rsidTr="00D23F7F">
        <w:tc>
          <w:tcPr>
            <w:tcW w:w="1780" w:type="dxa"/>
            <w:tcBorders>
              <w:top w:val="nil"/>
            </w:tcBorders>
          </w:tcPr>
          <w:p w:rsidR="00C36BEA" w:rsidRPr="00FA5708" w:rsidRDefault="00C36BEA" w:rsidP="00AB4B72">
            <w:pPr>
              <w:rPr>
                <w:sz w:val="20"/>
              </w:rPr>
            </w:pPr>
            <w:r w:rsidRPr="00FA5708">
              <w:rPr>
                <w:sz w:val="20"/>
              </w:rPr>
              <w:t>+</w:t>
            </w:r>
            <w:proofErr w:type="spellStart"/>
            <w:r w:rsidRPr="00FA5708">
              <w:rPr>
                <w:sz w:val="20"/>
              </w:rPr>
              <w:t>dp</w:t>
            </w:r>
            <w:proofErr w:type="spellEnd"/>
            <w:r w:rsidRPr="00FA5708">
              <w:rPr>
                <w:sz w:val="20"/>
              </w:rPr>
              <w:t>/d</w:t>
            </w:r>
            <w:r w:rsidRPr="00FA5708">
              <w:rPr>
                <w:i/>
                <w:iCs/>
                <w:sz w:val="20"/>
              </w:rPr>
              <w:t>t</w:t>
            </w:r>
            <w:r w:rsidRPr="00FA5708">
              <w:rPr>
                <w:sz w:val="20"/>
              </w:rPr>
              <w:t>, mm Hg/sec</w:t>
            </w:r>
          </w:p>
        </w:tc>
        <w:tc>
          <w:tcPr>
            <w:tcW w:w="1225" w:type="dxa"/>
            <w:tcBorders>
              <w:top w:val="nil"/>
            </w:tcBorders>
          </w:tcPr>
          <w:p w:rsidR="00C36BEA" w:rsidRPr="00FA5708" w:rsidRDefault="00C36BEA" w:rsidP="00AB4B72">
            <w:pPr>
              <w:rPr>
                <w:sz w:val="20"/>
              </w:rPr>
            </w:pPr>
            <w:r w:rsidRPr="00FA5708">
              <w:rPr>
                <w:sz w:val="20"/>
              </w:rPr>
              <w:t>7</w:t>
            </w:r>
            <w:r w:rsidR="005D065E">
              <w:rPr>
                <w:sz w:val="20"/>
              </w:rPr>
              <w:t>988</w:t>
            </w:r>
            <w:r w:rsidRPr="00FA5708">
              <w:rPr>
                <w:sz w:val="20"/>
              </w:rPr>
              <w:t xml:space="preserve"> </w:t>
            </w:r>
            <w:r w:rsidRPr="00FA5708">
              <w:rPr>
                <w:sz w:val="20"/>
              </w:rPr>
              <w:sym w:font="Symbol" w:char="F0B1"/>
            </w:r>
            <w:r w:rsidRPr="00FA5708">
              <w:rPr>
                <w:sz w:val="20"/>
              </w:rPr>
              <w:t xml:space="preserve"> </w:t>
            </w:r>
            <w:r w:rsidR="005D065E">
              <w:rPr>
                <w:sz w:val="20"/>
              </w:rPr>
              <w:t>302</w:t>
            </w:r>
          </w:p>
        </w:tc>
        <w:tc>
          <w:tcPr>
            <w:tcW w:w="1184" w:type="dxa"/>
            <w:tcBorders>
              <w:top w:val="nil"/>
            </w:tcBorders>
          </w:tcPr>
          <w:p w:rsidR="00C36BEA" w:rsidRPr="00FA5708" w:rsidRDefault="005D065E" w:rsidP="00AB4B72">
            <w:pPr>
              <w:rPr>
                <w:sz w:val="20"/>
              </w:rPr>
            </w:pPr>
            <w:r>
              <w:rPr>
                <w:sz w:val="20"/>
              </w:rPr>
              <w:t>8152</w:t>
            </w:r>
            <w:r w:rsidR="00C36BEA" w:rsidRPr="00FA5708">
              <w:rPr>
                <w:sz w:val="20"/>
              </w:rPr>
              <w:t xml:space="preserve"> </w:t>
            </w:r>
            <w:r w:rsidR="00C36BEA" w:rsidRPr="00FA5708">
              <w:rPr>
                <w:sz w:val="20"/>
              </w:rPr>
              <w:sym w:font="Symbol" w:char="F0B1"/>
            </w:r>
            <w:r w:rsidR="00C36BEA" w:rsidRPr="00FA5708">
              <w:rPr>
                <w:sz w:val="20"/>
              </w:rPr>
              <w:t xml:space="preserve"> 3</w:t>
            </w:r>
            <w:r>
              <w:rPr>
                <w:sz w:val="20"/>
              </w:rPr>
              <w:t>42</w:t>
            </w:r>
          </w:p>
        </w:tc>
        <w:tc>
          <w:tcPr>
            <w:tcW w:w="92" w:type="dxa"/>
            <w:tcBorders>
              <w:top w:val="nil"/>
            </w:tcBorders>
          </w:tcPr>
          <w:p w:rsidR="00C36BEA" w:rsidRPr="00FA5708" w:rsidRDefault="00C36BEA" w:rsidP="00AB4B72">
            <w:pPr>
              <w:rPr>
                <w:sz w:val="20"/>
              </w:rPr>
            </w:pPr>
          </w:p>
        </w:tc>
        <w:tc>
          <w:tcPr>
            <w:tcW w:w="567" w:type="dxa"/>
            <w:tcBorders>
              <w:top w:val="nil"/>
            </w:tcBorders>
          </w:tcPr>
          <w:p w:rsidR="00C36BEA" w:rsidRPr="00FA5708" w:rsidRDefault="00C36BEA" w:rsidP="00AB4B72">
            <w:pPr>
              <w:rPr>
                <w:sz w:val="20"/>
              </w:rPr>
            </w:pPr>
          </w:p>
        </w:tc>
        <w:tc>
          <w:tcPr>
            <w:tcW w:w="1559" w:type="dxa"/>
            <w:tcBorders>
              <w:top w:val="nil"/>
            </w:tcBorders>
          </w:tcPr>
          <w:p w:rsidR="00C36BEA" w:rsidRPr="00FA5708" w:rsidRDefault="00C36BEA" w:rsidP="00AB4B72">
            <w:pPr>
              <w:rPr>
                <w:sz w:val="20"/>
              </w:rPr>
            </w:pPr>
            <w:r w:rsidRPr="00FA5708">
              <w:rPr>
                <w:sz w:val="20"/>
              </w:rPr>
              <w:t>2</w:t>
            </w:r>
            <w:r w:rsidR="005D065E">
              <w:rPr>
                <w:sz w:val="20"/>
              </w:rPr>
              <w:t>652</w:t>
            </w:r>
            <w:r w:rsidRPr="00FA5708">
              <w:rPr>
                <w:sz w:val="20"/>
              </w:rPr>
              <w:t xml:space="preserve"> </w:t>
            </w:r>
            <w:r w:rsidRPr="00FA5708">
              <w:rPr>
                <w:sz w:val="20"/>
              </w:rPr>
              <w:sym w:font="Symbol" w:char="F0B1"/>
            </w:r>
            <w:r w:rsidRPr="00FA5708">
              <w:rPr>
                <w:sz w:val="20"/>
              </w:rPr>
              <w:t xml:space="preserve"> 2</w:t>
            </w:r>
            <w:r w:rsidR="005D065E">
              <w:rPr>
                <w:sz w:val="20"/>
              </w:rPr>
              <w:t>98</w:t>
            </w:r>
            <w:r w:rsidRPr="00FA5708">
              <w:rPr>
                <w:sz w:val="20"/>
              </w:rPr>
              <w:t>*</w:t>
            </w:r>
          </w:p>
        </w:tc>
        <w:tc>
          <w:tcPr>
            <w:tcW w:w="1701" w:type="dxa"/>
            <w:tcBorders>
              <w:top w:val="nil"/>
            </w:tcBorders>
          </w:tcPr>
          <w:p w:rsidR="00C36BEA" w:rsidRPr="00FA5708" w:rsidRDefault="005D065E" w:rsidP="00AB4B72">
            <w:pPr>
              <w:rPr>
                <w:sz w:val="20"/>
              </w:rPr>
            </w:pPr>
            <w:r>
              <w:rPr>
                <w:sz w:val="20"/>
              </w:rPr>
              <w:t>3266</w:t>
            </w:r>
            <w:r w:rsidR="00C36BEA" w:rsidRPr="00FA5708">
              <w:rPr>
                <w:sz w:val="20"/>
              </w:rPr>
              <w:t xml:space="preserve"> </w:t>
            </w:r>
            <w:r w:rsidR="00C36BEA" w:rsidRPr="00FA5708">
              <w:rPr>
                <w:sz w:val="20"/>
              </w:rPr>
              <w:sym w:font="Symbol" w:char="F0B1"/>
            </w:r>
            <w:r w:rsidR="00C36BEA" w:rsidRPr="00FA5708">
              <w:rPr>
                <w:sz w:val="20"/>
              </w:rPr>
              <w:t xml:space="preserve"> </w:t>
            </w:r>
            <w:r>
              <w:rPr>
                <w:sz w:val="20"/>
              </w:rPr>
              <w:t>316</w:t>
            </w:r>
            <w:r w:rsidR="00C36BEA" w:rsidRPr="00FA5708">
              <w:rPr>
                <w:sz w:val="20"/>
              </w:rPr>
              <w:t>*†</w:t>
            </w:r>
          </w:p>
        </w:tc>
      </w:tr>
      <w:tr w:rsidR="00C36BEA" w:rsidRPr="00FA5708" w:rsidTr="00D23F7F">
        <w:tc>
          <w:tcPr>
            <w:tcW w:w="1780" w:type="dxa"/>
            <w:tcBorders>
              <w:top w:val="nil"/>
            </w:tcBorders>
          </w:tcPr>
          <w:p w:rsidR="00C36BEA" w:rsidRPr="00FA5708" w:rsidRDefault="00C36BEA" w:rsidP="00AB4B72">
            <w:pPr>
              <w:rPr>
                <w:sz w:val="20"/>
              </w:rPr>
            </w:pPr>
            <w:r w:rsidRPr="00FA5708">
              <w:rPr>
                <w:sz w:val="20"/>
              </w:rPr>
              <w:t>-</w:t>
            </w:r>
            <w:proofErr w:type="spellStart"/>
            <w:r w:rsidRPr="00FA5708">
              <w:rPr>
                <w:sz w:val="20"/>
              </w:rPr>
              <w:t>dp</w:t>
            </w:r>
            <w:proofErr w:type="spellEnd"/>
            <w:r w:rsidRPr="00FA5708">
              <w:rPr>
                <w:sz w:val="20"/>
              </w:rPr>
              <w:t>/d</w:t>
            </w:r>
            <w:r w:rsidRPr="00FA5708">
              <w:rPr>
                <w:i/>
                <w:iCs/>
                <w:sz w:val="20"/>
              </w:rPr>
              <w:t>t</w:t>
            </w:r>
            <w:r w:rsidRPr="00FA5708">
              <w:rPr>
                <w:sz w:val="20"/>
              </w:rPr>
              <w:t>, mm Hg/sec</w:t>
            </w:r>
          </w:p>
        </w:tc>
        <w:tc>
          <w:tcPr>
            <w:tcW w:w="1225" w:type="dxa"/>
            <w:tcBorders>
              <w:top w:val="nil"/>
            </w:tcBorders>
          </w:tcPr>
          <w:p w:rsidR="00C36BEA" w:rsidRPr="00FA5708" w:rsidRDefault="005D065E" w:rsidP="00AB4B72">
            <w:pPr>
              <w:rPr>
                <w:sz w:val="20"/>
              </w:rPr>
            </w:pPr>
            <w:r>
              <w:rPr>
                <w:sz w:val="20"/>
              </w:rPr>
              <w:t>7128</w:t>
            </w:r>
            <w:r w:rsidR="00C36BEA" w:rsidRPr="00FA5708">
              <w:rPr>
                <w:sz w:val="20"/>
              </w:rPr>
              <w:t xml:space="preserve"> </w:t>
            </w:r>
            <w:r w:rsidR="00C36BEA" w:rsidRPr="00FA5708">
              <w:rPr>
                <w:sz w:val="20"/>
              </w:rPr>
              <w:sym w:font="Symbol" w:char="F0B1"/>
            </w:r>
            <w:r w:rsidR="00C36BEA" w:rsidRPr="00FA5708">
              <w:rPr>
                <w:sz w:val="20"/>
              </w:rPr>
              <w:t xml:space="preserve"> 2</w:t>
            </w:r>
            <w:r>
              <w:rPr>
                <w:sz w:val="20"/>
              </w:rPr>
              <w:t>79</w:t>
            </w:r>
          </w:p>
        </w:tc>
        <w:tc>
          <w:tcPr>
            <w:tcW w:w="1184" w:type="dxa"/>
            <w:tcBorders>
              <w:top w:val="nil"/>
            </w:tcBorders>
          </w:tcPr>
          <w:p w:rsidR="00C36BEA" w:rsidRPr="00FA5708" w:rsidRDefault="005D065E" w:rsidP="00AB4B72">
            <w:pPr>
              <w:rPr>
                <w:sz w:val="20"/>
              </w:rPr>
            </w:pPr>
            <w:r>
              <w:rPr>
                <w:sz w:val="20"/>
              </w:rPr>
              <w:t>7082</w:t>
            </w:r>
            <w:r w:rsidR="00C36BEA" w:rsidRPr="00FA5708">
              <w:rPr>
                <w:sz w:val="20"/>
              </w:rPr>
              <w:t xml:space="preserve"> </w:t>
            </w:r>
            <w:r w:rsidR="00C36BEA" w:rsidRPr="00FA5708">
              <w:rPr>
                <w:sz w:val="20"/>
              </w:rPr>
              <w:sym w:font="Symbol" w:char="F0B1"/>
            </w:r>
            <w:r w:rsidR="00C36BEA" w:rsidRPr="00FA5708">
              <w:rPr>
                <w:sz w:val="20"/>
              </w:rPr>
              <w:t xml:space="preserve"> </w:t>
            </w:r>
            <w:r>
              <w:rPr>
                <w:sz w:val="20"/>
              </w:rPr>
              <w:t>322</w:t>
            </w:r>
          </w:p>
        </w:tc>
        <w:tc>
          <w:tcPr>
            <w:tcW w:w="92" w:type="dxa"/>
            <w:tcBorders>
              <w:top w:val="nil"/>
            </w:tcBorders>
          </w:tcPr>
          <w:p w:rsidR="00C36BEA" w:rsidRPr="00FA5708" w:rsidRDefault="00C36BEA" w:rsidP="00AB4B72">
            <w:pPr>
              <w:rPr>
                <w:sz w:val="20"/>
              </w:rPr>
            </w:pPr>
          </w:p>
        </w:tc>
        <w:tc>
          <w:tcPr>
            <w:tcW w:w="567" w:type="dxa"/>
            <w:tcBorders>
              <w:top w:val="nil"/>
            </w:tcBorders>
          </w:tcPr>
          <w:p w:rsidR="00C36BEA" w:rsidRPr="00FA5708" w:rsidRDefault="00C36BEA" w:rsidP="00AB4B72">
            <w:pPr>
              <w:rPr>
                <w:sz w:val="20"/>
              </w:rPr>
            </w:pPr>
          </w:p>
        </w:tc>
        <w:tc>
          <w:tcPr>
            <w:tcW w:w="1559" w:type="dxa"/>
            <w:tcBorders>
              <w:top w:val="nil"/>
            </w:tcBorders>
          </w:tcPr>
          <w:p w:rsidR="00C36BEA" w:rsidRPr="00FA5708" w:rsidRDefault="00C36BEA" w:rsidP="00AB4B72">
            <w:pPr>
              <w:rPr>
                <w:sz w:val="20"/>
              </w:rPr>
            </w:pPr>
            <w:r w:rsidRPr="00FA5708">
              <w:rPr>
                <w:sz w:val="20"/>
              </w:rPr>
              <w:t>2</w:t>
            </w:r>
            <w:r w:rsidR="005D065E">
              <w:rPr>
                <w:sz w:val="20"/>
              </w:rPr>
              <w:t>064</w:t>
            </w:r>
            <w:r w:rsidRPr="00FA5708">
              <w:rPr>
                <w:sz w:val="20"/>
              </w:rPr>
              <w:t xml:space="preserve"> </w:t>
            </w:r>
            <w:r w:rsidRPr="00FA5708">
              <w:rPr>
                <w:sz w:val="20"/>
              </w:rPr>
              <w:sym w:font="Symbol" w:char="F0B1"/>
            </w:r>
            <w:r w:rsidRPr="00FA5708">
              <w:rPr>
                <w:sz w:val="20"/>
              </w:rPr>
              <w:t xml:space="preserve"> </w:t>
            </w:r>
            <w:r w:rsidR="005D065E">
              <w:rPr>
                <w:sz w:val="20"/>
              </w:rPr>
              <w:t>302</w:t>
            </w:r>
            <w:r w:rsidRPr="00FA5708">
              <w:rPr>
                <w:sz w:val="20"/>
              </w:rPr>
              <w:t>*</w:t>
            </w:r>
          </w:p>
        </w:tc>
        <w:tc>
          <w:tcPr>
            <w:tcW w:w="1701" w:type="dxa"/>
            <w:tcBorders>
              <w:top w:val="nil"/>
            </w:tcBorders>
          </w:tcPr>
          <w:p w:rsidR="00C36BEA" w:rsidRPr="00FA5708" w:rsidRDefault="00C36BEA" w:rsidP="00AB4B72">
            <w:pPr>
              <w:rPr>
                <w:sz w:val="20"/>
              </w:rPr>
            </w:pPr>
            <w:r w:rsidRPr="00FA5708">
              <w:rPr>
                <w:sz w:val="20"/>
              </w:rPr>
              <w:t>2</w:t>
            </w:r>
            <w:r w:rsidR="005D065E">
              <w:rPr>
                <w:sz w:val="20"/>
              </w:rPr>
              <w:t>872</w:t>
            </w:r>
            <w:r w:rsidRPr="00FA5708">
              <w:rPr>
                <w:sz w:val="20"/>
              </w:rPr>
              <w:t xml:space="preserve"> </w:t>
            </w:r>
            <w:r w:rsidRPr="00FA5708">
              <w:rPr>
                <w:sz w:val="20"/>
              </w:rPr>
              <w:sym w:font="Symbol" w:char="F0B1"/>
            </w:r>
            <w:r w:rsidRPr="00FA5708">
              <w:rPr>
                <w:sz w:val="20"/>
              </w:rPr>
              <w:t xml:space="preserve"> 2</w:t>
            </w:r>
            <w:r w:rsidR="005D065E">
              <w:rPr>
                <w:sz w:val="20"/>
              </w:rPr>
              <w:t>89</w:t>
            </w:r>
            <w:r w:rsidRPr="00FA5708">
              <w:rPr>
                <w:sz w:val="20"/>
              </w:rPr>
              <w:t>*†</w:t>
            </w:r>
          </w:p>
        </w:tc>
      </w:tr>
      <w:tr w:rsidR="00C36BEA" w:rsidRPr="00FA5708" w:rsidTr="00D23F7F">
        <w:tc>
          <w:tcPr>
            <w:tcW w:w="1780" w:type="dxa"/>
            <w:tcBorders>
              <w:top w:val="nil"/>
            </w:tcBorders>
          </w:tcPr>
          <w:p w:rsidR="00C36BEA" w:rsidRPr="00FA5708" w:rsidRDefault="00C36BEA" w:rsidP="00AB4B72">
            <w:pPr>
              <w:rPr>
                <w:sz w:val="20"/>
              </w:rPr>
            </w:pPr>
            <w:r w:rsidRPr="00FA5708">
              <w:rPr>
                <w:sz w:val="20"/>
              </w:rPr>
              <w:t>Infarct size, %</w:t>
            </w:r>
          </w:p>
        </w:tc>
        <w:tc>
          <w:tcPr>
            <w:tcW w:w="1225" w:type="dxa"/>
            <w:tcBorders>
              <w:top w:val="nil"/>
            </w:tcBorders>
          </w:tcPr>
          <w:p w:rsidR="00C36BEA" w:rsidRPr="00FA5708" w:rsidRDefault="00C36BEA" w:rsidP="00AB4B72">
            <w:pPr>
              <w:rPr>
                <w:sz w:val="20"/>
              </w:rPr>
            </w:pPr>
            <w:r w:rsidRPr="00FA5708">
              <w:rPr>
                <w:sz w:val="20"/>
              </w:rPr>
              <w:t>…</w:t>
            </w:r>
          </w:p>
        </w:tc>
        <w:tc>
          <w:tcPr>
            <w:tcW w:w="1184" w:type="dxa"/>
            <w:tcBorders>
              <w:top w:val="nil"/>
            </w:tcBorders>
          </w:tcPr>
          <w:p w:rsidR="00C36BEA" w:rsidRPr="00FA5708" w:rsidRDefault="00C36BEA" w:rsidP="00AB4B72">
            <w:pPr>
              <w:rPr>
                <w:sz w:val="20"/>
              </w:rPr>
            </w:pPr>
            <w:r w:rsidRPr="00FA5708">
              <w:rPr>
                <w:sz w:val="20"/>
              </w:rPr>
              <w:t>…</w:t>
            </w:r>
          </w:p>
        </w:tc>
        <w:tc>
          <w:tcPr>
            <w:tcW w:w="92" w:type="dxa"/>
            <w:tcBorders>
              <w:top w:val="nil"/>
            </w:tcBorders>
          </w:tcPr>
          <w:p w:rsidR="00C36BEA" w:rsidRPr="00FA5708" w:rsidRDefault="00C36BEA" w:rsidP="00AB4B72">
            <w:pPr>
              <w:rPr>
                <w:sz w:val="20"/>
              </w:rPr>
            </w:pPr>
          </w:p>
        </w:tc>
        <w:tc>
          <w:tcPr>
            <w:tcW w:w="567" w:type="dxa"/>
            <w:tcBorders>
              <w:top w:val="nil"/>
            </w:tcBorders>
          </w:tcPr>
          <w:p w:rsidR="00C36BEA" w:rsidRPr="00FA5708" w:rsidRDefault="00C36BEA" w:rsidP="00AB4B72">
            <w:pPr>
              <w:rPr>
                <w:sz w:val="20"/>
              </w:rPr>
            </w:pPr>
          </w:p>
        </w:tc>
        <w:tc>
          <w:tcPr>
            <w:tcW w:w="1559" w:type="dxa"/>
            <w:tcBorders>
              <w:top w:val="nil"/>
            </w:tcBorders>
          </w:tcPr>
          <w:p w:rsidR="00C36BEA" w:rsidRPr="00FA5708" w:rsidRDefault="005D065E" w:rsidP="00AB4B72">
            <w:pPr>
              <w:rPr>
                <w:sz w:val="20"/>
              </w:rPr>
            </w:pPr>
            <w:r>
              <w:rPr>
                <w:sz w:val="20"/>
              </w:rPr>
              <w:t>37</w:t>
            </w:r>
            <w:r w:rsidR="00C36BEA" w:rsidRPr="00FA5708">
              <w:rPr>
                <w:sz w:val="20"/>
              </w:rPr>
              <w:t xml:space="preserve"> </w:t>
            </w:r>
            <w:r w:rsidR="00C36BEA" w:rsidRPr="00FA5708">
              <w:rPr>
                <w:sz w:val="20"/>
              </w:rPr>
              <w:sym w:font="Symbol" w:char="F0B1"/>
            </w:r>
            <w:r w:rsidR="00C36BEA" w:rsidRPr="00FA5708">
              <w:rPr>
                <w:sz w:val="20"/>
              </w:rPr>
              <w:t xml:space="preserve"> </w:t>
            </w:r>
            <w:r>
              <w:rPr>
                <w:sz w:val="20"/>
              </w:rPr>
              <w:t>2</w:t>
            </w:r>
          </w:p>
        </w:tc>
        <w:tc>
          <w:tcPr>
            <w:tcW w:w="1701" w:type="dxa"/>
            <w:tcBorders>
              <w:top w:val="nil"/>
            </w:tcBorders>
          </w:tcPr>
          <w:p w:rsidR="00C36BEA" w:rsidRPr="00FA5708" w:rsidRDefault="005D065E" w:rsidP="00AB4B72">
            <w:pPr>
              <w:rPr>
                <w:sz w:val="20"/>
              </w:rPr>
            </w:pPr>
            <w:r>
              <w:rPr>
                <w:sz w:val="20"/>
              </w:rPr>
              <w:t>38</w:t>
            </w:r>
            <w:r w:rsidR="00C36BEA" w:rsidRPr="00FA5708">
              <w:rPr>
                <w:sz w:val="20"/>
              </w:rPr>
              <w:t xml:space="preserve"> </w:t>
            </w:r>
            <w:r w:rsidR="00C36BEA" w:rsidRPr="00FA5708">
              <w:rPr>
                <w:sz w:val="20"/>
              </w:rPr>
              <w:sym w:font="Symbol" w:char="F0B1"/>
            </w:r>
            <w:r w:rsidR="00C36BEA" w:rsidRPr="00FA5708">
              <w:rPr>
                <w:sz w:val="20"/>
              </w:rPr>
              <w:t xml:space="preserve"> </w:t>
            </w:r>
            <w:r>
              <w:rPr>
                <w:sz w:val="20"/>
              </w:rPr>
              <w:t>5</w:t>
            </w:r>
          </w:p>
        </w:tc>
      </w:tr>
      <w:tr w:rsidR="00C36BEA" w:rsidRPr="00FA5708" w:rsidTr="00D23F7F">
        <w:tc>
          <w:tcPr>
            <w:tcW w:w="1780" w:type="dxa"/>
            <w:tcBorders>
              <w:top w:val="nil"/>
            </w:tcBorders>
          </w:tcPr>
          <w:p w:rsidR="00C36BEA" w:rsidRPr="00FA5708" w:rsidRDefault="00C36BEA" w:rsidP="00AB4B72">
            <w:pPr>
              <w:rPr>
                <w:sz w:val="20"/>
              </w:rPr>
            </w:pPr>
            <w:r w:rsidRPr="00FA5708">
              <w:rPr>
                <w:sz w:val="20"/>
              </w:rPr>
              <w:t>LVW/BW, mg/g</w:t>
            </w:r>
          </w:p>
        </w:tc>
        <w:tc>
          <w:tcPr>
            <w:tcW w:w="1225" w:type="dxa"/>
            <w:tcBorders>
              <w:top w:val="nil"/>
            </w:tcBorders>
          </w:tcPr>
          <w:p w:rsidR="00C36BEA" w:rsidRPr="00FA5708" w:rsidRDefault="005D065E" w:rsidP="00AB4B72">
            <w:pPr>
              <w:rPr>
                <w:sz w:val="20"/>
              </w:rPr>
            </w:pPr>
            <w:r>
              <w:rPr>
                <w:sz w:val="20"/>
              </w:rPr>
              <w:t>1.99</w:t>
            </w:r>
            <w:r w:rsidR="00C36BEA" w:rsidRPr="00FA5708">
              <w:rPr>
                <w:sz w:val="20"/>
              </w:rPr>
              <w:t xml:space="preserve"> </w:t>
            </w:r>
            <w:r w:rsidR="00C36BEA" w:rsidRPr="00FA5708">
              <w:rPr>
                <w:sz w:val="20"/>
              </w:rPr>
              <w:sym w:font="Symbol" w:char="F0B1"/>
            </w:r>
            <w:r w:rsidR="00C36BEA" w:rsidRPr="00FA5708">
              <w:rPr>
                <w:sz w:val="20"/>
              </w:rPr>
              <w:t xml:space="preserve"> 0.</w:t>
            </w:r>
            <w:r>
              <w:rPr>
                <w:sz w:val="20"/>
              </w:rPr>
              <w:t>21</w:t>
            </w:r>
          </w:p>
        </w:tc>
        <w:tc>
          <w:tcPr>
            <w:tcW w:w="1184" w:type="dxa"/>
            <w:tcBorders>
              <w:top w:val="nil"/>
            </w:tcBorders>
          </w:tcPr>
          <w:p w:rsidR="00C36BEA" w:rsidRPr="00FA5708" w:rsidRDefault="005D065E" w:rsidP="00AB4B72">
            <w:pPr>
              <w:rPr>
                <w:sz w:val="20"/>
              </w:rPr>
            </w:pPr>
            <w:r>
              <w:rPr>
                <w:sz w:val="20"/>
              </w:rPr>
              <w:t>2.0</w:t>
            </w:r>
            <w:r w:rsidR="00C36BEA" w:rsidRPr="00FA5708">
              <w:rPr>
                <w:sz w:val="20"/>
              </w:rPr>
              <w:t xml:space="preserve">5 </w:t>
            </w:r>
            <w:r w:rsidR="00C36BEA" w:rsidRPr="00FA5708">
              <w:rPr>
                <w:sz w:val="20"/>
              </w:rPr>
              <w:sym w:font="Symbol" w:char="F0B1"/>
            </w:r>
            <w:r w:rsidR="00C36BEA" w:rsidRPr="00FA5708">
              <w:rPr>
                <w:sz w:val="20"/>
              </w:rPr>
              <w:t xml:space="preserve"> 0.</w:t>
            </w:r>
            <w:r>
              <w:rPr>
                <w:sz w:val="20"/>
              </w:rPr>
              <w:t>31</w:t>
            </w:r>
            <w:r w:rsidR="00C36BEA" w:rsidRPr="00FA5708">
              <w:rPr>
                <w:sz w:val="20"/>
              </w:rPr>
              <w:t xml:space="preserve"> </w:t>
            </w:r>
          </w:p>
        </w:tc>
        <w:tc>
          <w:tcPr>
            <w:tcW w:w="92" w:type="dxa"/>
            <w:tcBorders>
              <w:top w:val="nil"/>
            </w:tcBorders>
          </w:tcPr>
          <w:p w:rsidR="00C36BEA" w:rsidRPr="00FA5708" w:rsidRDefault="00C36BEA" w:rsidP="00AB4B72">
            <w:pPr>
              <w:rPr>
                <w:sz w:val="20"/>
              </w:rPr>
            </w:pPr>
          </w:p>
        </w:tc>
        <w:tc>
          <w:tcPr>
            <w:tcW w:w="567" w:type="dxa"/>
            <w:tcBorders>
              <w:top w:val="nil"/>
            </w:tcBorders>
          </w:tcPr>
          <w:p w:rsidR="00C36BEA" w:rsidRPr="00FA5708" w:rsidRDefault="00C36BEA" w:rsidP="00AB4B72">
            <w:pPr>
              <w:rPr>
                <w:sz w:val="20"/>
              </w:rPr>
            </w:pPr>
          </w:p>
        </w:tc>
        <w:tc>
          <w:tcPr>
            <w:tcW w:w="1559" w:type="dxa"/>
            <w:tcBorders>
              <w:top w:val="nil"/>
            </w:tcBorders>
          </w:tcPr>
          <w:p w:rsidR="00C36BEA" w:rsidRPr="00FA5708" w:rsidRDefault="00C36BEA" w:rsidP="00AB4B72">
            <w:pPr>
              <w:rPr>
                <w:sz w:val="20"/>
              </w:rPr>
            </w:pPr>
            <w:r w:rsidRPr="00FA5708">
              <w:rPr>
                <w:sz w:val="20"/>
              </w:rPr>
              <w:t>3.</w:t>
            </w:r>
            <w:r w:rsidR="005D065E">
              <w:rPr>
                <w:sz w:val="20"/>
              </w:rPr>
              <w:t>62</w:t>
            </w:r>
            <w:r w:rsidRPr="00FA5708">
              <w:rPr>
                <w:sz w:val="20"/>
              </w:rPr>
              <w:t xml:space="preserve"> </w:t>
            </w:r>
            <w:r w:rsidRPr="00FA5708">
              <w:rPr>
                <w:sz w:val="20"/>
              </w:rPr>
              <w:sym w:font="Symbol" w:char="F0B1"/>
            </w:r>
            <w:r w:rsidRPr="00FA5708">
              <w:rPr>
                <w:sz w:val="20"/>
              </w:rPr>
              <w:t xml:space="preserve"> 0.</w:t>
            </w:r>
            <w:r w:rsidR="005D065E">
              <w:rPr>
                <w:sz w:val="20"/>
              </w:rPr>
              <w:t>57</w:t>
            </w:r>
            <w:r w:rsidRPr="00FA5708">
              <w:rPr>
                <w:sz w:val="20"/>
              </w:rPr>
              <w:t>*</w:t>
            </w:r>
          </w:p>
        </w:tc>
        <w:tc>
          <w:tcPr>
            <w:tcW w:w="1701" w:type="dxa"/>
            <w:tcBorders>
              <w:top w:val="nil"/>
            </w:tcBorders>
          </w:tcPr>
          <w:p w:rsidR="00C36BEA" w:rsidRPr="00FA5708" w:rsidRDefault="005D065E" w:rsidP="00AB4B72">
            <w:pPr>
              <w:rPr>
                <w:sz w:val="20"/>
              </w:rPr>
            </w:pPr>
            <w:r>
              <w:rPr>
                <w:sz w:val="20"/>
              </w:rPr>
              <w:t>3.3</w:t>
            </w:r>
            <w:r w:rsidR="00C36BEA" w:rsidRPr="00FA5708">
              <w:rPr>
                <w:sz w:val="20"/>
              </w:rPr>
              <w:t xml:space="preserve">9 </w:t>
            </w:r>
            <w:r w:rsidR="00C36BEA" w:rsidRPr="00FA5708">
              <w:rPr>
                <w:sz w:val="20"/>
              </w:rPr>
              <w:sym w:font="Symbol" w:char="F0B1"/>
            </w:r>
            <w:r w:rsidR="00C36BEA" w:rsidRPr="00FA5708">
              <w:rPr>
                <w:sz w:val="20"/>
              </w:rPr>
              <w:t xml:space="preserve"> 0.</w:t>
            </w:r>
            <w:r>
              <w:rPr>
                <w:sz w:val="20"/>
              </w:rPr>
              <w:t>62</w:t>
            </w:r>
            <w:r w:rsidR="00C36BEA" w:rsidRPr="00FA5708">
              <w:rPr>
                <w:sz w:val="20"/>
              </w:rPr>
              <w:t>*</w:t>
            </w:r>
          </w:p>
        </w:tc>
      </w:tr>
      <w:tr w:rsidR="00C36BEA" w:rsidRPr="00FA5708" w:rsidTr="00D23F7F">
        <w:tc>
          <w:tcPr>
            <w:tcW w:w="1780" w:type="dxa"/>
            <w:tcBorders>
              <w:top w:val="nil"/>
              <w:bottom w:val="nil"/>
            </w:tcBorders>
          </w:tcPr>
          <w:p w:rsidR="00C36BEA" w:rsidRPr="00FA5708" w:rsidRDefault="00C36BEA" w:rsidP="00AB4B72">
            <w:pPr>
              <w:rPr>
                <w:sz w:val="20"/>
              </w:rPr>
            </w:pPr>
            <w:r w:rsidRPr="00FA5708">
              <w:rPr>
                <w:sz w:val="20"/>
              </w:rPr>
              <w:t>RVW/BW, mg/g</w:t>
            </w:r>
          </w:p>
        </w:tc>
        <w:tc>
          <w:tcPr>
            <w:tcW w:w="1225" w:type="dxa"/>
            <w:tcBorders>
              <w:top w:val="nil"/>
              <w:bottom w:val="nil"/>
            </w:tcBorders>
          </w:tcPr>
          <w:p w:rsidR="00C36BEA" w:rsidRPr="00FA5708" w:rsidRDefault="00C36BEA" w:rsidP="00AB4B72">
            <w:pPr>
              <w:rPr>
                <w:sz w:val="20"/>
              </w:rPr>
            </w:pPr>
            <w:r w:rsidRPr="00FA5708">
              <w:rPr>
                <w:sz w:val="20"/>
              </w:rPr>
              <w:t>0.</w:t>
            </w:r>
            <w:r w:rsidR="00E5531C">
              <w:rPr>
                <w:sz w:val="20"/>
              </w:rPr>
              <w:t>64</w:t>
            </w:r>
            <w:r w:rsidRPr="00FA5708">
              <w:rPr>
                <w:sz w:val="20"/>
              </w:rPr>
              <w:t xml:space="preserve"> </w:t>
            </w:r>
            <w:r w:rsidRPr="00FA5708">
              <w:rPr>
                <w:sz w:val="20"/>
              </w:rPr>
              <w:sym w:font="Symbol" w:char="F0B1"/>
            </w:r>
            <w:r w:rsidRPr="00FA5708">
              <w:rPr>
                <w:sz w:val="20"/>
              </w:rPr>
              <w:t xml:space="preserve"> 0.</w:t>
            </w:r>
            <w:r w:rsidR="00E5531C">
              <w:rPr>
                <w:sz w:val="20"/>
              </w:rPr>
              <w:t>21</w:t>
            </w:r>
          </w:p>
        </w:tc>
        <w:tc>
          <w:tcPr>
            <w:tcW w:w="1184" w:type="dxa"/>
            <w:tcBorders>
              <w:top w:val="nil"/>
              <w:bottom w:val="nil"/>
            </w:tcBorders>
          </w:tcPr>
          <w:p w:rsidR="00C36BEA" w:rsidRPr="00FA5708" w:rsidRDefault="00C36BEA" w:rsidP="00AB4B72">
            <w:pPr>
              <w:rPr>
                <w:sz w:val="20"/>
              </w:rPr>
            </w:pPr>
            <w:r w:rsidRPr="00FA5708">
              <w:rPr>
                <w:sz w:val="20"/>
              </w:rPr>
              <w:t>0.</w:t>
            </w:r>
            <w:r w:rsidR="00E5531C">
              <w:rPr>
                <w:sz w:val="20"/>
              </w:rPr>
              <w:t>71</w:t>
            </w:r>
            <w:r w:rsidRPr="00FA5708">
              <w:rPr>
                <w:sz w:val="20"/>
              </w:rPr>
              <w:t xml:space="preserve"> </w:t>
            </w:r>
            <w:r w:rsidRPr="00FA5708">
              <w:rPr>
                <w:sz w:val="20"/>
              </w:rPr>
              <w:sym w:font="Symbol" w:char="F0B1"/>
            </w:r>
            <w:r w:rsidRPr="00FA5708">
              <w:rPr>
                <w:sz w:val="20"/>
              </w:rPr>
              <w:t xml:space="preserve"> 0.</w:t>
            </w:r>
            <w:r w:rsidR="00E5531C">
              <w:rPr>
                <w:sz w:val="20"/>
              </w:rPr>
              <w:t>33</w:t>
            </w:r>
            <w:r w:rsidRPr="00FA5708">
              <w:rPr>
                <w:sz w:val="20"/>
              </w:rPr>
              <w:t xml:space="preserve"> </w:t>
            </w:r>
          </w:p>
        </w:tc>
        <w:tc>
          <w:tcPr>
            <w:tcW w:w="92" w:type="dxa"/>
            <w:tcBorders>
              <w:top w:val="nil"/>
              <w:bottom w:val="nil"/>
            </w:tcBorders>
          </w:tcPr>
          <w:p w:rsidR="00C36BEA" w:rsidRPr="00FA5708" w:rsidRDefault="00C36BEA" w:rsidP="00AB4B72">
            <w:pPr>
              <w:rPr>
                <w:sz w:val="20"/>
              </w:rPr>
            </w:pPr>
          </w:p>
        </w:tc>
        <w:tc>
          <w:tcPr>
            <w:tcW w:w="567" w:type="dxa"/>
            <w:tcBorders>
              <w:top w:val="nil"/>
              <w:bottom w:val="nil"/>
            </w:tcBorders>
          </w:tcPr>
          <w:p w:rsidR="00C36BEA" w:rsidRPr="00FA5708" w:rsidRDefault="00C36BEA" w:rsidP="00AB4B72">
            <w:pPr>
              <w:rPr>
                <w:sz w:val="20"/>
              </w:rPr>
            </w:pPr>
          </w:p>
        </w:tc>
        <w:tc>
          <w:tcPr>
            <w:tcW w:w="1559" w:type="dxa"/>
            <w:tcBorders>
              <w:top w:val="nil"/>
              <w:bottom w:val="nil"/>
            </w:tcBorders>
          </w:tcPr>
          <w:p w:rsidR="00C36BEA" w:rsidRPr="00FA5708" w:rsidRDefault="00C36BEA" w:rsidP="00AB4B72">
            <w:pPr>
              <w:rPr>
                <w:sz w:val="20"/>
              </w:rPr>
            </w:pPr>
            <w:r w:rsidRPr="00FA5708">
              <w:rPr>
                <w:sz w:val="20"/>
              </w:rPr>
              <w:t>0.</w:t>
            </w:r>
            <w:r w:rsidR="00E5531C">
              <w:rPr>
                <w:sz w:val="20"/>
              </w:rPr>
              <w:t>92</w:t>
            </w:r>
            <w:r w:rsidRPr="00FA5708">
              <w:rPr>
                <w:sz w:val="20"/>
              </w:rPr>
              <w:t xml:space="preserve"> </w:t>
            </w:r>
            <w:r w:rsidRPr="00FA5708">
              <w:rPr>
                <w:sz w:val="20"/>
              </w:rPr>
              <w:sym w:font="Symbol" w:char="F0B1"/>
            </w:r>
            <w:r w:rsidRPr="00FA5708">
              <w:rPr>
                <w:sz w:val="20"/>
              </w:rPr>
              <w:t xml:space="preserve"> 0.</w:t>
            </w:r>
            <w:r w:rsidR="00E5531C">
              <w:rPr>
                <w:sz w:val="20"/>
              </w:rPr>
              <w:t>25</w:t>
            </w:r>
          </w:p>
        </w:tc>
        <w:tc>
          <w:tcPr>
            <w:tcW w:w="1701" w:type="dxa"/>
            <w:tcBorders>
              <w:top w:val="nil"/>
              <w:bottom w:val="nil"/>
            </w:tcBorders>
          </w:tcPr>
          <w:p w:rsidR="00C36BEA" w:rsidRPr="00FA5708" w:rsidRDefault="00C36BEA" w:rsidP="00AB4B72">
            <w:pPr>
              <w:rPr>
                <w:sz w:val="20"/>
              </w:rPr>
            </w:pPr>
            <w:r w:rsidRPr="00FA5708">
              <w:rPr>
                <w:sz w:val="20"/>
              </w:rPr>
              <w:t>0.</w:t>
            </w:r>
            <w:r w:rsidR="00E5531C">
              <w:rPr>
                <w:sz w:val="20"/>
              </w:rPr>
              <w:t>85</w:t>
            </w:r>
            <w:r w:rsidRPr="00FA5708">
              <w:rPr>
                <w:sz w:val="20"/>
              </w:rPr>
              <w:t xml:space="preserve"> </w:t>
            </w:r>
            <w:r w:rsidRPr="00FA5708">
              <w:rPr>
                <w:sz w:val="20"/>
              </w:rPr>
              <w:sym w:font="Symbol" w:char="F0B1"/>
            </w:r>
            <w:r w:rsidRPr="00FA5708">
              <w:rPr>
                <w:sz w:val="20"/>
              </w:rPr>
              <w:t xml:space="preserve"> 0.</w:t>
            </w:r>
            <w:r w:rsidR="00E5531C">
              <w:rPr>
                <w:sz w:val="20"/>
              </w:rPr>
              <w:t>31</w:t>
            </w:r>
          </w:p>
        </w:tc>
      </w:tr>
      <w:tr w:rsidR="00C36BEA" w:rsidRPr="00FA5708" w:rsidTr="00D23F7F">
        <w:tc>
          <w:tcPr>
            <w:tcW w:w="1780" w:type="dxa"/>
            <w:tcBorders>
              <w:top w:val="nil"/>
              <w:bottom w:val="nil"/>
            </w:tcBorders>
          </w:tcPr>
          <w:p w:rsidR="00C36BEA" w:rsidRPr="00FA5708" w:rsidRDefault="00C36BEA" w:rsidP="00AB4B72">
            <w:pPr>
              <w:rPr>
                <w:sz w:val="20"/>
              </w:rPr>
            </w:pPr>
            <w:proofErr w:type="spellStart"/>
            <w:r w:rsidRPr="00FA5708">
              <w:rPr>
                <w:sz w:val="20"/>
              </w:rPr>
              <w:t>LungW</w:t>
            </w:r>
            <w:proofErr w:type="spellEnd"/>
            <w:r w:rsidRPr="00FA5708">
              <w:rPr>
                <w:sz w:val="20"/>
              </w:rPr>
              <w:t>/BW, mg/g</w:t>
            </w:r>
          </w:p>
        </w:tc>
        <w:tc>
          <w:tcPr>
            <w:tcW w:w="1225" w:type="dxa"/>
            <w:tcBorders>
              <w:top w:val="nil"/>
              <w:bottom w:val="nil"/>
            </w:tcBorders>
          </w:tcPr>
          <w:p w:rsidR="00C36BEA" w:rsidRPr="00FA5708" w:rsidRDefault="00C36BEA" w:rsidP="00AB4B72">
            <w:pPr>
              <w:rPr>
                <w:sz w:val="20"/>
              </w:rPr>
            </w:pPr>
            <w:r w:rsidRPr="00FA5708">
              <w:rPr>
                <w:sz w:val="20"/>
              </w:rPr>
              <w:t>4.</w:t>
            </w:r>
            <w:r w:rsidR="00E5531C">
              <w:rPr>
                <w:sz w:val="20"/>
              </w:rPr>
              <w:t>08</w:t>
            </w:r>
            <w:r w:rsidRPr="00FA5708">
              <w:rPr>
                <w:sz w:val="20"/>
              </w:rPr>
              <w:t xml:space="preserve"> </w:t>
            </w:r>
            <w:r w:rsidRPr="00FA5708">
              <w:rPr>
                <w:sz w:val="20"/>
              </w:rPr>
              <w:sym w:font="Symbol" w:char="F0B1"/>
            </w:r>
            <w:r w:rsidRPr="00FA5708">
              <w:rPr>
                <w:sz w:val="20"/>
              </w:rPr>
              <w:t xml:space="preserve"> 0.</w:t>
            </w:r>
            <w:r w:rsidR="00E5531C">
              <w:rPr>
                <w:sz w:val="20"/>
              </w:rPr>
              <w:t>45</w:t>
            </w:r>
          </w:p>
        </w:tc>
        <w:tc>
          <w:tcPr>
            <w:tcW w:w="1184" w:type="dxa"/>
            <w:tcBorders>
              <w:top w:val="nil"/>
              <w:bottom w:val="nil"/>
            </w:tcBorders>
          </w:tcPr>
          <w:p w:rsidR="00C36BEA" w:rsidRPr="00FA5708" w:rsidRDefault="00C36BEA" w:rsidP="00AB4B72">
            <w:pPr>
              <w:rPr>
                <w:sz w:val="20"/>
              </w:rPr>
            </w:pPr>
            <w:r w:rsidRPr="00FA5708">
              <w:rPr>
                <w:sz w:val="20"/>
              </w:rPr>
              <w:t>4.</w:t>
            </w:r>
            <w:r w:rsidR="00E5531C">
              <w:rPr>
                <w:sz w:val="20"/>
              </w:rPr>
              <w:t>52</w:t>
            </w:r>
            <w:r w:rsidRPr="00FA5708">
              <w:rPr>
                <w:sz w:val="20"/>
              </w:rPr>
              <w:t xml:space="preserve"> </w:t>
            </w:r>
            <w:r w:rsidRPr="00FA5708">
              <w:rPr>
                <w:sz w:val="20"/>
              </w:rPr>
              <w:sym w:font="Symbol" w:char="F0B1"/>
            </w:r>
            <w:r w:rsidRPr="00FA5708">
              <w:rPr>
                <w:sz w:val="20"/>
              </w:rPr>
              <w:t xml:space="preserve"> 0.</w:t>
            </w:r>
            <w:r w:rsidR="00E5531C">
              <w:rPr>
                <w:sz w:val="20"/>
              </w:rPr>
              <w:t>51</w:t>
            </w:r>
            <w:r w:rsidRPr="00FA5708">
              <w:rPr>
                <w:sz w:val="20"/>
              </w:rPr>
              <w:t xml:space="preserve"> </w:t>
            </w:r>
          </w:p>
        </w:tc>
        <w:tc>
          <w:tcPr>
            <w:tcW w:w="92" w:type="dxa"/>
            <w:tcBorders>
              <w:top w:val="nil"/>
              <w:bottom w:val="nil"/>
            </w:tcBorders>
          </w:tcPr>
          <w:p w:rsidR="00C36BEA" w:rsidRPr="00FA5708" w:rsidRDefault="00C36BEA" w:rsidP="00AB4B72">
            <w:pPr>
              <w:rPr>
                <w:sz w:val="20"/>
              </w:rPr>
            </w:pPr>
          </w:p>
        </w:tc>
        <w:tc>
          <w:tcPr>
            <w:tcW w:w="567" w:type="dxa"/>
            <w:tcBorders>
              <w:top w:val="nil"/>
              <w:bottom w:val="nil"/>
            </w:tcBorders>
          </w:tcPr>
          <w:p w:rsidR="00C36BEA" w:rsidRPr="00FA5708" w:rsidRDefault="00C36BEA" w:rsidP="00AB4B72">
            <w:pPr>
              <w:rPr>
                <w:sz w:val="20"/>
              </w:rPr>
            </w:pPr>
          </w:p>
        </w:tc>
        <w:tc>
          <w:tcPr>
            <w:tcW w:w="1559" w:type="dxa"/>
            <w:tcBorders>
              <w:top w:val="nil"/>
              <w:bottom w:val="nil"/>
            </w:tcBorders>
          </w:tcPr>
          <w:p w:rsidR="00C36BEA" w:rsidRPr="00FA5708" w:rsidRDefault="00E5531C" w:rsidP="00AB4B72">
            <w:pPr>
              <w:rPr>
                <w:sz w:val="20"/>
              </w:rPr>
            </w:pPr>
            <w:r>
              <w:rPr>
                <w:sz w:val="20"/>
              </w:rPr>
              <w:t>6.36</w:t>
            </w:r>
            <w:r w:rsidR="00C36BEA" w:rsidRPr="00FA5708">
              <w:rPr>
                <w:sz w:val="20"/>
              </w:rPr>
              <w:t xml:space="preserve"> </w:t>
            </w:r>
            <w:r w:rsidR="00C36BEA" w:rsidRPr="00FA5708">
              <w:rPr>
                <w:sz w:val="20"/>
              </w:rPr>
              <w:sym w:font="Symbol" w:char="F0B1"/>
            </w:r>
            <w:r w:rsidR="00C36BEA" w:rsidRPr="00FA5708">
              <w:rPr>
                <w:sz w:val="20"/>
              </w:rPr>
              <w:t xml:space="preserve"> 0.</w:t>
            </w:r>
            <w:r>
              <w:rPr>
                <w:sz w:val="20"/>
              </w:rPr>
              <w:t>72</w:t>
            </w:r>
            <w:r w:rsidR="00C36BEA" w:rsidRPr="00FA5708">
              <w:rPr>
                <w:sz w:val="20"/>
              </w:rPr>
              <w:t>*</w:t>
            </w:r>
          </w:p>
        </w:tc>
        <w:tc>
          <w:tcPr>
            <w:tcW w:w="1701" w:type="dxa"/>
            <w:tcBorders>
              <w:top w:val="nil"/>
              <w:bottom w:val="nil"/>
            </w:tcBorders>
          </w:tcPr>
          <w:p w:rsidR="00C36BEA" w:rsidRPr="00FA5708" w:rsidRDefault="00E5531C" w:rsidP="00AB4B72">
            <w:pPr>
              <w:rPr>
                <w:sz w:val="20"/>
              </w:rPr>
            </w:pPr>
            <w:r>
              <w:rPr>
                <w:sz w:val="20"/>
              </w:rPr>
              <w:t>5.6</w:t>
            </w:r>
            <w:r w:rsidR="00C36BEA" w:rsidRPr="00FA5708">
              <w:rPr>
                <w:sz w:val="20"/>
              </w:rPr>
              <w:t xml:space="preserve">8 </w:t>
            </w:r>
            <w:r w:rsidR="00C36BEA" w:rsidRPr="00FA5708">
              <w:rPr>
                <w:sz w:val="20"/>
              </w:rPr>
              <w:sym w:font="Symbol" w:char="F0B1"/>
            </w:r>
            <w:r w:rsidR="00C36BEA" w:rsidRPr="00FA5708">
              <w:rPr>
                <w:sz w:val="20"/>
              </w:rPr>
              <w:t xml:space="preserve"> 0.</w:t>
            </w:r>
            <w:r>
              <w:rPr>
                <w:sz w:val="20"/>
              </w:rPr>
              <w:t>49</w:t>
            </w:r>
            <w:r w:rsidR="00C36BEA" w:rsidRPr="00FA5708">
              <w:rPr>
                <w:sz w:val="20"/>
              </w:rPr>
              <w:t>†</w:t>
            </w:r>
          </w:p>
        </w:tc>
      </w:tr>
      <w:tr w:rsidR="00C36BEA" w:rsidRPr="00FA5708" w:rsidTr="00D23F7F">
        <w:tc>
          <w:tcPr>
            <w:tcW w:w="1780" w:type="dxa"/>
            <w:tcBorders>
              <w:top w:val="nil"/>
              <w:bottom w:val="single" w:sz="4" w:space="0" w:color="auto"/>
            </w:tcBorders>
          </w:tcPr>
          <w:p w:rsidR="00C36BEA" w:rsidRPr="00FA5708" w:rsidRDefault="00C36BEA" w:rsidP="00AB4B72">
            <w:pPr>
              <w:autoSpaceDE w:val="0"/>
              <w:autoSpaceDN w:val="0"/>
              <w:adjustRightInd w:val="0"/>
              <w:rPr>
                <w:sz w:val="20"/>
              </w:rPr>
            </w:pPr>
            <w:r w:rsidRPr="00FA5708">
              <w:rPr>
                <w:rFonts w:eastAsiaTheme="minorEastAsia"/>
                <w:kern w:val="0"/>
                <w:sz w:val="20"/>
              </w:rPr>
              <w:t xml:space="preserve">LV NE, </w:t>
            </w:r>
            <w:proofErr w:type="spellStart"/>
            <w:r w:rsidRPr="00FA5708">
              <w:rPr>
                <w:rFonts w:eastAsiaTheme="minorEastAsia"/>
                <w:kern w:val="0"/>
                <w:sz w:val="20"/>
              </w:rPr>
              <w:t>μg</w:t>
            </w:r>
            <w:proofErr w:type="spellEnd"/>
            <w:r w:rsidRPr="00FA5708">
              <w:rPr>
                <w:rFonts w:eastAsiaTheme="minorEastAsia"/>
                <w:kern w:val="0"/>
                <w:sz w:val="20"/>
              </w:rPr>
              <w:t>/g protein</w:t>
            </w:r>
          </w:p>
        </w:tc>
        <w:tc>
          <w:tcPr>
            <w:tcW w:w="1225" w:type="dxa"/>
            <w:tcBorders>
              <w:top w:val="nil"/>
              <w:bottom w:val="single" w:sz="4" w:space="0" w:color="auto"/>
            </w:tcBorders>
          </w:tcPr>
          <w:p w:rsidR="00C36BEA" w:rsidRPr="00FA5708" w:rsidRDefault="00C36BEA" w:rsidP="00AB4B72">
            <w:pPr>
              <w:rPr>
                <w:sz w:val="20"/>
              </w:rPr>
            </w:pPr>
            <w:r w:rsidRPr="00FA5708">
              <w:rPr>
                <w:rFonts w:eastAsiaTheme="minorEastAsia"/>
                <w:kern w:val="0"/>
                <w:sz w:val="20"/>
              </w:rPr>
              <w:t>1.</w:t>
            </w:r>
            <w:r w:rsidR="00E5531C">
              <w:rPr>
                <w:rFonts w:eastAsiaTheme="minorEastAsia"/>
                <w:kern w:val="0"/>
                <w:sz w:val="20"/>
              </w:rPr>
              <w:t>21</w:t>
            </w:r>
            <w:r w:rsidRPr="00FA5708">
              <w:rPr>
                <w:rFonts w:eastAsiaTheme="minorEastAsia"/>
                <w:kern w:val="0"/>
                <w:sz w:val="20"/>
              </w:rPr>
              <w:t xml:space="preserve"> </w:t>
            </w:r>
            <w:r w:rsidRPr="00FA5708">
              <w:rPr>
                <w:sz w:val="20"/>
              </w:rPr>
              <w:sym w:font="Symbol" w:char="F0B1"/>
            </w:r>
            <w:r w:rsidRPr="00FA5708">
              <w:rPr>
                <w:rFonts w:eastAsia="SymbolMT"/>
                <w:kern w:val="0"/>
                <w:sz w:val="20"/>
              </w:rPr>
              <w:t xml:space="preserve"> </w:t>
            </w:r>
            <w:r w:rsidRPr="00FA5708">
              <w:rPr>
                <w:rFonts w:eastAsiaTheme="minorEastAsia"/>
                <w:kern w:val="0"/>
                <w:sz w:val="20"/>
              </w:rPr>
              <w:t>0.</w:t>
            </w:r>
            <w:r w:rsidR="00E5531C">
              <w:rPr>
                <w:rFonts w:eastAsiaTheme="minorEastAsia"/>
                <w:kern w:val="0"/>
                <w:sz w:val="20"/>
              </w:rPr>
              <w:t>27</w:t>
            </w:r>
          </w:p>
        </w:tc>
        <w:tc>
          <w:tcPr>
            <w:tcW w:w="1184" w:type="dxa"/>
            <w:tcBorders>
              <w:top w:val="nil"/>
              <w:bottom w:val="single" w:sz="4" w:space="0" w:color="auto"/>
            </w:tcBorders>
          </w:tcPr>
          <w:p w:rsidR="00C36BEA" w:rsidRPr="00FA5708" w:rsidRDefault="00C36BEA" w:rsidP="00AB4B72">
            <w:pPr>
              <w:rPr>
                <w:sz w:val="20"/>
              </w:rPr>
            </w:pPr>
            <w:r w:rsidRPr="00FA5708">
              <w:rPr>
                <w:sz w:val="20"/>
              </w:rPr>
              <w:t>1.</w:t>
            </w:r>
            <w:r w:rsidR="00E5531C">
              <w:rPr>
                <w:sz w:val="20"/>
              </w:rPr>
              <w:t>13</w:t>
            </w:r>
            <w:r w:rsidRPr="00FA5708">
              <w:rPr>
                <w:sz w:val="20"/>
              </w:rPr>
              <w:t xml:space="preserve"> </w:t>
            </w:r>
            <w:r w:rsidRPr="00FA5708">
              <w:rPr>
                <w:sz w:val="20"/>
              </w:rPr>
              <w:sym w:font="Symbol" w:char="F0B1"/>
            </w:r>
            <w:r w:rsidRPr="00FA5708">
              <w:rPr>
                <w:sz w:val="20"/>
              </w:rPr>
              <w:t xml:space="preserve"> 0.</w:t>
            </w:r>
            <w:r w:rsidR="00E5531C">
              <w:rPr>
                <w:sz w:val="20"/>
              </w:rPr>
              <w:t>18</w:t>
            </w:r>
          </w:p>
        </w:tc>
        <w:tc>
          <w:tcPr>
            <w:tcW w:w="92" w:type="dxa"/>
            <w:tcBorders>
              <w:top w:val="nil"/>
              <w:bottom w:val="single" w:sz="4" w:space="0" w:color="auto"/>
            </w:tcBorders>
          </w:tcPr>
          <w:p w:rsidR="00C36BEA" w:rsidRPr="00FA5708" w:rsidRDefault="00C36BEA" w:rsidP="00AB4B72">
            <w:pPr>
              <w:rPr>
                <w:sz w:val="20"/>
              </w:rPr>
            </w:pPr>
          </w:p>
        </w:tc>
        <w:tc>
          <w:tcPr>
            <w:tcW w:w="567" w:type="dxa"/>
            <w:tcBorders>
              <w:top w:val="nil"/>
              <w:bottom w:val="single" w:sz="4" w:space="0" w:color="auto"/>
            </w:tcBorders>
          </w:tcPr>
          <w:p w:rsidR="00C36BEA" w:rsidRPr="00FA5708" w:rsidRDefault="00C36BEA" w:rsidP="00AB4B72">
            <w:pPr>
              <w:rPr>
                <w:sz w:val="20"/>
              </w:rPr>
            </w:pPr>
          </w:p>
        </w:tc>
        <w:tc>
          <w:tcPr>
            <w:tcW w:w="1559" w:type="dxa"/>
            <w:tcBorders>
              <w:top w:val="nil"/>
              <w:bottom w:val="single" w:sz="4" w:space="0" w:color="auto"/>
            </w:tcBorders>
          </w:tcPr>
          <w:p w:rsidR="00C36BEA" w:rsidRPr="00FA5708" w:rsidRDefault="00E5531C" w:rsidP="00AB4B72">
            <w:pPr>
              <w:rPr>
                <w:sz w:val="20"/>
              </w:rPr>
            </w:pPr>
            <w:r>
              <w:rPr>
                <w:rFonts w:eastAsiaTheme="minorEastAsia"/>
                <w:kern w:val="0"/>
                <w:sz w:val="20"/>
              </w:rPr>
              <w:t>1.0</w:t>
            </w:r>
            <w:r w:rsidR="00C36BEA" w:rsidRPr="00FA5708">
              <w:rPr>
                <w:rFonts w:eastAsiaTheme="minorEastAsia"/>
                <w:kern w:val="0"/>
                <w:sz w:val="20"/>
              </w:rPr>
              <w:t xml:space="preserve">4 </w:t>
            </w:r>
            <w:r w:rsidR="00C36BEA" w:rsidRPr="00FA5708">
              <w:rPr>
                <w:sz w:val="20"/>
              </w:rPr>
              <w:sym w:font="Symbol" w:char="F0B1"/>
            </w:r>
            <w:r w:rsidR="00C36BEA" w:rsidRPr="00FA5708">
              <w:rPr>
                <w:rFonts w:eastAsia="SymbolMT"/>
                <w:kern w:val="0"/>
                <w:sz w:val="20"/>
              </w:rPr>
              <w:t xml:space="preserve"> </w:t>
            </w:r>
            <w:r w:rsidR="00C36BEA" w:rsidRPr="00FA5708">
              <w:rPr>
                <w:rFonts w:eastAsiaTheme="minorEastAsia"/>
                <w:kern w:val="0"/>
                <w:sz w:val="20"/>
              </w:rPr>
              <w:t>0.2</w:t>
            </w:r>
            <w:r>
              <w:rPr>
                <w:rFonts w:eastAsiaTheme="minorEastAsia"/>
                <w:kern w:val="0"/>
                <w:sz w:val="20"/>
              </w:rPr>
              <w:t>3</w:t>
            </w:r>
          </w:p>
        </w:tc>
        <w:tc>
          <w:tcPr>
            <w:tcW w:w="1701" w:type="dxa"/>
            <w:tcBorders>
              <w:top w:val="nil"/>
              <w:bottom w:val="single" w:sz="4" w:space="0" w:color="auto"/>
            </w:tcBorders>
          </w:tcPr>
          <w:p w:rsidR="00C36BEA" w:rsidRPr="00FA5708" w:rsidRDefault="00C36BEA" w:rsidP="00AB4B72">
            <w:pPr>
              <w:rPr>
                <w:sz w:val="20"/>
              </w:rPr>
            </w:pPr>
            <w:r w:rsidRPr="00FA5708">
              <w:rPr>
                <w:sz w:val="20"/>
              </w:rPr>
              <w:t>1.</w:t>
            </w:r>
            <w:r w:rsidR="00E5531C">
              <w:rPr>
                <w:sz w:val="20"/>
              </w:rPr>
              <w:t>16</w:t>
            </w:r>
            <w:r w:rsidRPr="00FA5708">
              <w:rPr>
                <w:sz w:val="20"/>
              </w:rPr>
              <w:t xml:space="preserve"> </w:t>
            </w:r>
            <w:r w:rsidRPr="00FA5708">
              <w:rPr>
                <w:sz w:val="20"/>
              </w:rPr>
              <w:sym w:font="Symbol" w:char="F0B1"/>
            </w:r>
            <w:r w:rsidRPr="00FA5708">
              <w:rPr>
                <w:sz w:val="20"/>
              </w:rPr>
              <w:t xml:space="preserve"> 0.</w:t>
            </w:r>
            <w:r w:rsidR="00E5531C">
              <w:rPr>
                <w:sz w:val="20"/>
              </w:rPr>
              <w:t>26</w:t>
            </w:r>
          </w:p>
        </w:tc>
      </w:tr>
    </w:tbl>
    <w:p w:rsidR="00C36BEA" w:rsidRPr="0091032E" w:rsidRDefault="00C36BEA" w:rsidP="00AB4B72">
      <w:pPr>
        <w:autoSpaceDE w:val="0"/>
        <w:autoSpaceDN w:val="0"/>
        <w:adjustRightInd w:val="0"/>
      </w:pPr>
      <w:r w:rsidRPr="0091032E">
        <w:t xml:space="preserve">Values are mean </w:t>
      </w:r>
      <w:r w:rsidRPr="0091032E">
        <w:sym w:font="Symbol" w:char="F0B1"/>
      </w:r>
      <w:r w:rsidRPr="0091032E">
        <w:t xml:space="preserve"> SD. BW, body weight; </w:t>
      </w:r>
      <w:proofErr w:type="spellStart"/>
      <w:r w:rsidRPr="0091032E">
        <w:t>LungW</w:t>
      </w:r>
      <w:proofErr w:type="spellEnd"/>
      <w:r w:rsidRPr="0091032E">
        <w:t xml:space="preserve">, lung weight; LVEDP, left ventricular end-diastolic pressure; LVESP, left ventricular end-systolic pressure; LVW, left ventricular weight; RVW, right ventricular weight. </w:t>
      </w:r>
      <w:r w:rsidRPr="0091032E">
        <w:rPr>
          <w:rFonts w:eastAsiaTheme="minorEastAsia"/>
          <w:kern w:val="0"/>
          <w:szCs w:val="24"/>
        </w:rPr>
        <w:t>*</w:t>
      </w:r>
      <w:r w:rsidRPr="0091032E">
        <w:rPr>
          <w:rFonts w:eastAsiaTheme="minorEastAsia"/>
          <w:i/>
          <w:iCs/>
          <w:kern w:val="0"/>
          <w:szCs w:val="24"/>
        </w:rPr>
        <w:t xml:space="preserve">p </w:t>
      </w:r>
      <w:r w:rsidRPr="0091032E">
        <w:rPr>
          <w:rFonts w:eastAsiaTheme="minorEastAsia"/>
          <w:kern w:val="0"/>
          <w:szCs w:val="24"/>
        </w:rPr>
        <w:t xml:space="preserve">&lt; 0.05 compared with </w:t>
      </w:r>
      <w:r w:rsidRPr="0091032E">
        <w:rPr>
          <w:rFonts w:eastAsiaTheme="minorEastAsia"/>
          <w:kern w:val="0"/>
          <w:szCs w:val="24"/>
        </w:rPr>
        <w:lastRenderedPageBreak/>
        <w:t>respective sham; †</w:t>
      </w:r>
      <w:r w:rsidRPr="0091032E">
        <w:rPr>
          <w:rFonts w:eastAsiaTheme="minorEastAsia"/>
          <w:i/>
          <w:iCs/>
          <w:kern w:val="0"/>
          <w:szCs w:val="24"/>
        </w:rPr>
        <w:t xml:space="preserve">p </w:t>
      </w:r>
      <w:r w:rsidRPr="0091032E">
        <w:rPr>
          <w:rFonts w:eastAsiaTheme="minorEastAsia"/>
          <w:kern w:val="0"/>
          <w:szCs w:val="24"/>
        </w:rPr>
        <w:t>&lt; 0.05 compared with vehicle-treated infarcted group.</w:t>
      </w:r>
    </w:p>
    <w:p w:rsidR="00C36BEA" w:rsidRPr="00C36BEA" w:rsidRDefault="00C36BEA" w:rsidP="001B4E37">
      <w:pPr>
        <w:jc w:val="both"/>
        <w:rPr>
          <w:kern w:val="0"/>
          <w:szCs w:val="24"/>
        </w:rPr>
      </w:pPr>
    </w:p>
    <w:p w:rsidR="003B2F14" w:rsidRPr="00E93E78" w:rsidRDefault="003B2F14" w:rsidP="003B2F14">
      <w:pPr>
        <w:rPr>
          <w:b/>
        </w:rPr>
      </w:pPr>
      <w:proofErr w:type="gramStart"/>
      <w:r w:rsidRPr="00E93E78">
        <w:rPr>
          <w:b/>
        </w:rPr>
        <w:t>References.</w:t>
      </w:r>
      <w:proofErr w:type="gramEnd"/>
      <w:r w:rsidRPr="00E93E78">
        <w:rPr>
          <w:b/>
        </w:rPr>
        <w:t xml:space="preserve"> </w:t>
      </w:r>
    </w:p>
    <w:p w:rsidR="003B2F14" w:rsidRPr="00FA5708" w:rsidRDefault="003B2F14" w:rsidP="003B2F14">
      <w:pPr>
        <w:pStyle w:val="desc2"/>
        <w:shd w:val="clear" w:color="auto" w:fill="FFFFFF"/>
        <w:ind w:left="278" w:hangingChars="116" w:hanging="278"/>
        <w:jc w:val="both"/>
        <w:rPr>
          <w:rFonts w:ascii="Times New Roman" w:hAnsi="Times New Roman" w:cs="Times New Roman"/>
          <w:sz w:val="24"/>
          <w:szCs w:val="24"/>
        </w:rPr>
      </w:pPr>
      <w:r w:rsidRPr="00FA5708">
        <w:rPr>
          <w:rFonts w:ascii="Times New Roman" w:hAnsi="Times New Roman" w:cs="Times New Roman"/>
          <w:sz w:val="24"/>
          <w:szCs w:val="24"/>
        </w:rPr>
        <w:t xml:space="preserve">1. Lee TM, </w:t>
      </w:r>
      <w:proofErr w:type="spellStart"/>
      <w:r w:rsidRPr="00FA5708">
        <w:rPr>
          <w:rFonts w:ascii="Times New Roman" w:hAnsi="Times New Roman" w:cs="Times New Roman"/>
          <w:sz w:val="24"/>
          <w:szCs w:val="24"/>
        </w:rPr>
        <w:t>Harn</w:t>
      </w:r>
      <w:proofErr w:type="spellEnd"/>
      <w:r w:rsidRPr="00FA5708">
        <w:rPr>
          <w:rFonts w:ascii="Times New Roman" w:hAnsi="Times New Roman" w:cs="Times New Roman"/>
          <w:sz w:val="24"/>
          <w:szCs w:val="24"/>
        </w:rPr>
        <w:t xml:space="preserve"> HJ, </w:t>
      </w:r>
      <w:proofErr w:type="spellStart"/>
      <w:r w:rsidRPr="00FA5708">
        <w:rPr>
          <w:rFonts w:ascii="Times New Roman" w:hAnsi="Times New Roman" w:cs="Times New Roman"/>
          <w:sz w:val="24"/>
          <w:szCs w:val="24"/>
        </w:rPr>
        <w:t>Chiou</w:t>
      </w:r>
      <w:proofErr w:type="spellEnd"/>
      <w:r w:rsidRPr="00FA5708">
        <w:rPr>
          <w:rFonts w:ascii="Times New Roman" w:hAnsi="Times New Roman" w:cs="Times New Roman"/>
          <w:sz w:val="24"/>
          <w:szCs w:val="24"/>
        </w:rPr>
        <w:t xml:space="preserve"> TW, Chuang MH, Chen CH, Lin PC, Lin SZ. </w:t>
      </w:r>
      <w:hyperlink r:id="rId7" w:history="1">
        <w:proofErr w:type="gramStart"/>
        <w:r w:rsidRPr="00FA5708">
          <w:rPr>
            <w:rFonts w:ascii="Times New Roman" w:hAnsi="Times New Roman" w:cs="Times New Roman"/>
            <w:sz w:val="24"/>
            <w:szCs w:val="24"/>
          </w:rPr>
          <w:t>Targeting the pathway of GSK-3β/nerve growth factor to attenuate post-infarction arrhythmias by preconditioned adipose-derived stem cells.</w:t>
        </w:r>
        <w:proofErr w:type="gramEnd"/>
      </w:hyperlink>
      <w:r w:rsidRPr="00FA5708">
        <w:rPr>
          <w:rFonts w:ascii="Times New Roman" w:hAnsi="Times New Roman" w:cs="Times New Roman"/>
          <w:sz w:val="24"/>
          <w:szCs w:val="24"/>
        </w:rPr>
        <w:t xml:space="preserve"> </w:t>
      </w:r>
      <w:proofErr w:type="gramStart"/>
      <w:r w:rsidRPr="00FA5708">
        <w:rPr>
          <w:rStyle w:val="jrnl"/>
          <w:rFonts w:ascii="Times New Roman" w:hAnsi="Times New Roman" w:cs="Times New Roman"/>
          <w:sz w:val="24"/>
          <w:szCs w:val="24"/>
        </w:rPr>
        <w:t xml:space="preserve">J Mol Cell </w:t>
      </w:r>
      <w:proofErr w:type="spellStart"/>
      <w:r w:rsidRPr="00FA5708">
        <w:rPr>
          <w:rStyle w:val="jrnl"/>
          <w:rFonts w:ascii="Times New Roman" w:hAnsi="Times New Roman" w:cs="Times New Roman"/>
          <w:sz w:val="24"/>
          <w:szCs w:val="24"/>
        </w:rPr>
        <w:t>Cardiol</w:t>
      </w:r>
      <w:proofErr w:type="spellEnd"/>
      <w:r w:rsidRPr="00FA5708">
        <w:rPr>
          <w:rFonts w:ascii="Times New Roman" w:hAnsi="Times New Roman" w:cs="Times New Roman"/>
          <w:sz w:val="24"/>
          <w:szCs w:val="24"/>
        </w:rPr>
        <w:t>.</w:t>
      </w:r>
      <w:proofErr w:type="gramEnd"/>
      <w:r w:rsidRPr="00FA5708">
        <w:rPr>
          <w:rFonts w:ascii="Times New Roman" w:hAnsi="Times New Roman" w:cs="Times New Roman"/>
          <w:sz w:val="24"/>
          <w:szCs w:val="24"/>
        </w:rPr>
        <w:t xml:space="preserve"> 2017 Mar</w:t>
      </w:r>
      <w:proofErr w:type="gramStart"/>
      <w:r w:rsidRPr="00FA5708">
        <w:rPr>
          <w:rFonts w:ascii="Times New Roman" w:hAnsi="Times New Roman" w:cs="Times New Roman"/>
          <w:sz w:val="24"/>
          <w:szCs w:val="24"/>
        </w:rPr>
        <w:t>;104:17</w:t>
      </w:r>
      <w:proofErr w:type="gramEnd"/>
      <w:r w:rsidRPr="00FA5708">
        <w:rPr>
          <w:rFonts w:ascii="Times New Roman" w:hAnsi="Times New Roman" w:cs="Times New Roman"/>
          <w:sz w:val="24"/>
          <w:szCs w:val="24"/>
        </w:rPr>
        <w:t xml:space="preserve">-30. </w:t>
      </w:r>
    </w:p>
    <w:p w:rsidR="003B2F14" w:rsidRPr="00FA5708" w:rsidRDefault="003B2F14" w:rsidP="003B2F14">
      <w:pPr>
        <w:shd w:val="clear" w:color="auto" w:fill="FFFFFF"/>
        <w:ind w:left="278" w:hangingChars="116" w:hanging="278"/>
        <w:jc w:val="both"/>
        <w:rPr>
          <w:szCs w:val="24"/>
        </w:rPr>
      </w:pPr>
      <w:r>
        <w:rPr>
          <w:szCs w:val="24"/>
        </w:rPr>
        <w:t>2</w:t>
      </w:r>
      <w:r w:rsidRPr="00FA5708">
        <w:rPr>
          <w:szCs w:val="24"/>
        </w:rPr>
        <w:t xml:space="preserve">. </w:t>
      </w:r>
      <w:hyperlink r:id="rId8" w:history="1">
        <w:r w:rsidRPr="00FA5708">
          <w:rPr>
            <w:szCs w:val="24"/>
          </w:rPr>
          <w:t>Zhang JJ</w:t>
        </w:r>
      </w:hyperlink>
      <w:r w:rsidRPr="00FA5708">
        <w:rPr>
          <w:szCs w:val="24"/>
        </w:rPr>
        <w:t xml:space="preserve">, </w:t>
      </w:r>
      <w:hyperlink r:id="rId9" w:history="1">
        <w:r w:rsidRPr="00FA5708">
          <w:rPr>
            <w:szCs w:val="24"/>
          </w:rPr>
          <w:t>Xu ZM</w:t>
        </w:r>
      </w:hyperlink>
      <w:r w:rsidRPr="00FA5708">
        <w:rPr>
          <w:szCs w:val="24"/>
        </w:rPr>
        <w:t xml:space="preserve">, </w:t>
      </w:r>
      <w:hyperlink r:id="rId10" w:history="1">
        <w:r w:rsidRPr="00FA5708">
          <w:rPr>
            <w:szCs w:val="24"/>
          </w:rPr>
          <w:t>Zhang CM</w:t>
        </w:r>
      </w:hyperlink>
      <w:r w:rsidRPr="00FA5708">
        <w:rPr>
          <w:szCs w:val="24"/>
        </w:rPr>
        <w:t xml:space="preserve">, </w:t>
      </w:r>
      <w:hyperlink r:id="rId11" w:history="1">
        <w:r w:rsidRPr="00FA5708">
          <w:rPr>
            <w:szCs w:val="24"/>
          </w:rPr>
          <w:t>Dai HY</w:t>
        </w:r>
      </w:hyperlink>
      <w:r w:rsidRPr="00FA5708">
        <w:rPr>
          <w:szCs w:val="24"/>
        </w:rPr>
        <w:t xml:space="preserve">, </w:t>
      </w:r>
      <w:hyperlink r:id="rId12" w:history="1">
        <w:r w:rsidRPr="00FA5708">
          <w:rPr>
            <w:szCs w:val="24"/>
          </w:rPr>
          <w:t>Ji XQ</w:t>
        </w:r>
      </w:hyperlink>
      <w:r w:rsidRPr="00FA5708">
        <w:rPr>
          <w:szCs w:val="24"/>
        </w:rPr>
        <w:t xml:space="preserve">, </w:t>
      </w:r>
      <w:hyperlink r:id="rId13" w:history="1">
        <w:r w:rsidRPr="00FA5708">
          <w:rPr>
            <w:szCs w:val="24"/>
          </w:rPr>
          <w:t>Wang XF</w:t>
        </w:r>
      </w:hyperlink>
      <w:r w:rsidRPr="00FA5708">
        <w:rPr>
          <w:szCs w:val="24"/>
        </w:rPr>
        <w:t xml:space="preserve">, </w:t>
      </w:r>
      <w:hyperlink r:id="rId14" w:history="1">
        <w:r w:rsidRPr="00FA5708">
          <w:rPr>
            <w:szCs w:val="24"/>
          </w:rPr>
          <w:t>Li C</w:t>
        </w:r>
      </w:hyperlink>
      <w:r w:rsidRPr="00FA5708">
        <w:rPr>
          <w:szCs w:val="24"/>
        </w:rPr>
        <w:t xml:space="preserve">. </w:t>
      </w:r>
      <w:proofErr w:type="spellStart"/>
      <w:r w:rsidRPr="00FA5708">
        <w:rPr>
          <w:rStyle w:val="highlight"/>
          <w:szCs w:val="24"/>
        </w:rPr>
        <w:t>Pyrrolidine</w:t>
      </w:r>
      <w:proofErr w:type="spellEnd"/>
      <w:r w:rsidRPr="00FA5708">
        <w:rPr>
          <w:rStyle w:val="highlight"/>
          <w:szCs w:val="24"/>
        </w:rPr>
        <w:t xml:space="preserve"> </w:t>
      </w:r>
      <w:proofErr w:type="spellStart"/>
      <w:r w:rsidRPr="00FA5708">
        <w:rPr>
          <w:rStyle w:val="highlight"/>
          <w:szCs w:val="24"/>
        </w:rPr>
        <w:t>dithiocarbamate</w:t>
      </w:r>
      <w:proofErr w:type="spellEnd"/>
      <w:r w:rsidRPr="00FA5708">
        <w:rPr>
          <w:szCs w:val="24"/>
        </w:rPr>
        <w:t xml:space="preserve"> </w:t>
      </w:r>
      <w:r w:rsidRPr="00FA5708">
        <w:rPr>
          <w:rStyle w:val="highlight"/>
          <w:szCs w:val="24"/>
        </w:rPr>
        <w:t>inhibits</w:t>
      </w:r>
      <w:r w:rsidRPr="00FA5708">
        <w:rPr>
          <w:szCs w:val="24"/>
        </w:rPr>
        <w:t xml:space="preserve"> </w:t>
      </w:r>
      <w:r w:rsidRPr="00FA5708">
        <w:rPr>
          <w:rStyle w:val="highlight"/>
          <w:szCs w:val="24"/>
        </w:rPr>
        <w:t>nuclear</w:t>
      </w:r>
      <w:r w:rsidRPr="00FA5708">
        <w:rPr>
          <w:szCs w:val="24"/>
        </w:rPr>
        <w:t xml:space="preserve"> factor-κB </w:t>
      </w:r>
      <w:r w:rsidRPr="00FA5708">
        <w:rPr>
          <w:rStyle w:val="highlight"/>
          <w:szCs w:val="24"/>
        </w:rPr>
        <w:t>pathway</w:t>
      </w:r>
      <w:r w:rsidRPr="00FA5708">
        <w:rPr>
          <w:szCs w:val="24"/>
        </w:rPr>
        <w:t xml:space="preserve"> </w:t>
      </w:r>
      <w:r w:rsidRPr="00FA5708">
        <w:rPr>
          <w:rStyle w:val="highlight"/>
          <w:szCs w:val="24"/>
        </w:rPr>
        <w:t>activation</w:t>
      </w:r>
      <w:r w:rsidRPr="00FA5708">
        <w:rPr>
          <w:szCs w:val="24"/>
        </w:rPr>
        <w:t xml:space="preserve">, and regulates adhesion, migration, invasion and apoptosis of </w:t>
      </w:r>
      <w:proofErr w:type="spellStart"/>
      <w:r w:rsidRPr="00FA5708">
        <w:rPr>
          <w:szCs w:val="24"/>
        </w:rPr>
        <w:t>endometriotic</w:t>
      </w:r>
      <w:proofErr w:type="spellEnd"/>
      <w:r w:rsidRPr="00FA5708">
        <w:rPr>
          <w:szCs w:val="24"/>
        </w:rPr>
        <w:t xml:space="preserve"> </w:t>
      </w:r>
      <w:proofErr w:type="spellStart"/>
      <w:r w:rsidRPr="00FA5708">
        <w:rPr>
          <w:szCs w:val="24"/>
        </w:rPr>
        <w:t>stromal</w:t>
      </w:r>
      <w:proofErr w:type="spellEnd"/>
      <w:r w:rsidRPr="00FA5708">
        <w:rPr>
          <w:szCs w:val="24"/>
        </w:rPr>
        <w:t xml:space="preserve"> cells. </w:t>
      </w:r>
      <w:hyperlink r:id="rId15" w:tooltip="Molecular human reproduction." w:history="1">
        <w:r w:rsidRPr="00FA5708">
          <w:rPr>
            <w:szCs w:val="24"/>
          </w:rPr>
          <w:t>Mol Hum Reprod.</w:t>
        </w:r>
      </w:hyperlink>
      <w:r w:rsidRPr="00FA5708">
        <w:rPr>
          <w:szCs w:val="24"/>
        </w:rPr>
        <w:t xml:space="preserve"> </w:t>
      </w:r>
      <w:r w:rsidRPr="00FA5708">
        <w:rPr>
          <w:rStyle w:val="highlight"/>
          <w:szCs w:val="24"/>
        </w:rPr>
        <w:t>2011</w:t>
      </w:r>
      <w:proofErr w:type="gramStart"/>
      <w:r w:rsidRPr="00FA5708">
        <w:rPr>
          <w:szCs w:val="24"/>
        </w:rPr>
        <w:t>;17:175</w:t>
      </w:r>
      <w:proofErr w:type="gramEnd"/>
      <w:r w:rsidRPr="00FA5708">
        <w:rPr>
          <w:szCs w:val="24"/>
        </w:rPr>
        <w:t>-81.</w:t>
      </w:r>
    </w:p>
    <w:p w:rsidR="003B2F14" w:rsidRPr="00FA5708" w:rsidRDefault="003B2F14" w:rsidP="003B2F14">
      <w:pPr>
        <w:pStyle w:val="desc2"/>
        <w:shd w:val="clear" w:color="auto" w:fill="FFFFFF"/>
        <w:ind w:leftChars="1" w:left="283" w:hangingChars="117" w:hanging="281"/>
        <w:jc w:val="both"/>
        <w:rPr>
          <w:rFonts w:ascii="Times New Roman" w:hAnsi="Times New Roman" w:cs="Times New Roman"/>
          <w:sz w:val="24"/>
          <w:szCs w:val="24"/>
        </w:rPr>
      </w:pPr>
      <w:r>
        <w:rPr>
          <w:rFonts w:ascii="Times New Roman" w:hAnsi="Times New Roman" w:cs="Times New Roman"/>
          <w:sz w:val="24"/>
          <w:szCs w:val="24"/>
        </w:rPr>
        <w:t>3</w:t>
      </w:r>
      <w:r w:rsidRPr="00FA5708">
        <w:rPr>
          <w:rFonts w:ascii="Times New Roman" w:hAnsi="Times New Roman" w:cs="Times New Roman"/>
          <w:sz w:val="24"/>
          <w:szCs w:val="24"/>
        </w:rPr>
        <w:t xml:space="preserve">. Lee TM, Chen CC, Chang NC. </w:t>
      </w:r>
      <w:hyperlink r:id="rId16" w:history="1">
        <w:proofErr w:type="gramStart"/>
        <w:r w:rsidRPr="00FA5708">
          <w:rPr>
            <w:rFonts w:ascii="Times New Roman" w:hAnsi="Times New Roman" w:cs="Times New Roman"/>
            <w:sz w:val="24"/>
            <w:szCs w:val="24"/>
          </w:rPr>
          <w:t>Cardiac sympathetic hyperinnervation in deoxycorticosterone acetate-salt hypertensive rats.</w:t>
        </w:r>
        <w:proofErr w:type="gramEnd"/>
      </w:hyperlink>
      <w:r w:rsidRPr="00FA5708">
        <w:rPr>
          <w:rFonts w:ascii="Times New Roman" w:hAnsi="Times New Roman" w:cs="Times New Roman"/>
          <w:sz w:val="24"/>
          <w:szCs w:val="24"/>
        </w:rPr>
        <w:t xml:space="preserve"> </w:t>
      </w:r>
      <w:proofErr w:type="spellStart"/>
      <w:r w:rsidRPr="00FA5708">
        <w:rPr>
          <w:rStyle w:val="jrnl"/>
          <w:rFonts w:ascii="Times New Roman" w:hAnsi="Times New Roman" w:cs="Times New Roman"/>
          <w:sz w:val="24"/>
          <w:szCs w:val="24"/>
        </w:rPr>
        <w:t>Clin</w:t>
      </w:r>
      <w:proofErr w:type="spellEnd"/>
      <w:r w:rsidRPr="00FA5708">
        <w:rPr>
          <w:rStyle w:val="jrnl"/>
          <w:rFonts w:ascii="Times New Roman" w:hAnsi="Times New Roman" w:cs="Times New Roman"/>
          <w:sz w:val="24"/>
          <w:szCs w:val="24"/>
        </w:rPr>
        <w:t xml:space="preserve"> </w:t>
      </w:r>
      <w:proofErr w:type="spellStart"/>
      <w:r w:rsidRPr="00FA5708">
        <w:rPr>
          <w:rStyle w:val="jrnl"/>
          <w:rFonts w:ascii="Times New Roman" w:hAnsi="Times New Roman" w:cs="Times New Roman"/>
          <w:sz w:val="24"/>
          <w:szCs w:val="24"/>
        </w:rPr>
        <w:t>Sci</w:t>
      </w:r>
      <w:proofErr w:type="spellEnd"/>
      <w:r w:rsidRPr="00FA5708">
        <w:rPr>
          <w:rStyle w:val="jrnl"/>
          <w:rFonts w:ascii="Times New Roman" w:hAnsi="Times New Roman" w:cs="Times New Roman"/>
          <w:sz w:val="24"/>
          <w:szCs w:val="24"/>
        </w:rPr>
        <w:t xml:space="preserve"> (</w:t>
      </w:r>
      <w:proofErr w:type="spellStart"/>
      <w:r w:rsidRPr="00FA5708">
        <w:rPr>
          <w:rStyle w:val="jrnl"/>
          <w:rFonts w:ascii="Times New Roman" w:hAnsi="Times New Roman" w:cs="Times New Roman"/>
          <w:sz w:val="24"/>
          <w:szCs w:val="24"/>
        </w:rPr>
        <w:t>Lond</w:t>
      </w:r>
      <w:proofErr w:type="spellEnd"/>
      <w:r w:rsidRPr="00FA5708">
        <w:rPr>
          <w:rStyle w:val="jrnl"/>
          <w:rFonts w:ascii="Times New Roman" w:hAnsi="Times New Roman" w:cs="Times New Roman"/>
          <w:sz w:val="24"/>
          <w:szCs w:val="24"/>
        </w:rPr>
        <w:t>)</w:t>
      </w:r>
      <w:r w:rsidRPr="00FA5708">
        <w:rPr>
          <w:rFonts w:ascii="Times New Roman" w:hAnsi="Times New Roman" w:cs="Times New Roman"/>
          <w:sz w:val="24"/>
          <w:szCs w:val="24"/>
        </w:rPr>
        <w:t>. 2012 Oct</w:t>
      </w:r>
      <w:proofErr w:type="gramStart"/>
      <w:r w:rsidRPr="00FA5708">
        <w:rPr>
          <w:rFonts w:ascii="Times New Roman" w:hAnsi="Times New Roman" w:cs="Times New Roman"/>
          <w:sz w:val="24"/>
          <w:szCs w:val="24"/>
        </w:rPr>
        <w:t>;123</w:t>
      </w:r>
      <w:proofErr w:type="gramEnd"/>
      <w:r w:rsidRPr="00FA5708">
        <w:rPr>
          <w:rFonts w:ascii="Times New Roman" w:hAnsi="Times New Roman" w:cs="Times New Roman"/>
          <w:sz w:val="24"/>
          <w:szCs w:val="24"/>
        </w:rPr>
        <w:t>(7):445-57.</w:t>
      </w:r>
    </w:p>
    <w:p w:rsidR="003B2F14" w:rsidRPr="00FA5708" w:rsidRDefault="003B2F14" w:rsidP="003B2F14">
      <w:pPr>
        <w:ind w:leftChars="1" w:left="283" w:hangingChars="117" w:hanging="281"/>
        <w:jc w:val="both"/>
        <w:rPr>
          <w:szCs w:val="24"/>
        </w:rPr>
      </w:pPr>
      <w:r w:rsidRPr="003B2F14">
        <w:rPr>
          <w:szCs w:val="24"/>
        </w:rPr>
        <w:t xml:space="preserve">4. </w:t>
      </w:r>
      <w:hyperlink r:id="rId17" w:history="1">
        <w:r w:rsidRPr="003B2F14">
          <w:rPr>
            <w:rStyle w:val="a5"/>
            <w:color w:val="auto"/>
            <w:szCs w:val="24"/>
            <w:u w:val="none"/>
          </w:rPr>
          <w:t>Bélichard, P</w:t>
        </w:r>
      </w:hyperlink>
      <w:r w:rsidRPr="003B2F14">
        <w:rPr>
          <w:szCs w:val="24"/>
        </w:rPr>
        <w:t xml:space="preserve">.; </w:t>
      </w:r>
      <w:hyperlink r:id="rId18" w:history="1">
        <w:r w:rsidRPr="003B2F14">
          <w:rPr>
            <w:rStyle w:val="a5"/>
            <w:color w:val="auto"/>
            <w:szCs w:val="24"/>
            <w:u w:val="none"/>
          </w:rPr>
          <w:t>Savard, P</w:t>
        </w:r>
      </w:hyperlink>
      <w:r w:rsidRPr="003B2F14">
        <w:rPr>
          <w:szCs w:val="24"/>
        </w:rPr>
        <w:t xml:space="preserve">.; </w:t>
      </w:r>
      <w:hyperlink r:id="rId19" w:history="1">
        <w:r w:rsidRPr="003B2F14">
          <w:rPr>
            <w:rStyle w:val="a5"/>
            <w:color w:val="auto"/>
            <w:szCs w:val="24"/>
            <w:u w:val="none"/>
          </w:rPr>
          <w:t>Cardinal, R</w:t>
        </w:r>
      </w:hyperlink>
      <w:r w:rsidRPr="003B2F14">
        <w:rPr>
          <w:szCs w:val="24"/>
        </w:rPr>
        <w:t xml:space="preserve">.; </w:t>
      </w:r>
      <w:hyperlink r:id="rId20" w:history="1">
        <w:r w:rsidRPr="003B2F14">
          <w:rPr>
            <w:rStyle w:val="a5"/>
            <w:color w:val="auto"/>
            <w:szCs w:val="24"/>
            <w:u w:val="none"/>
          </w:rPr>
          <w:t>Nadeau, R</w:t>
        </w:r>
      </w:hyperlink>
      <w:r w:rsidRPr="003B2F14">
        <w:rPr>
          <w:szCs w:val="24"/>
        </w:rPr>
        <w:t xml:space="preserve">.; </w:t>
      </w:r>
      <w:hyperlink r:id="rId21" w:history="1">
        <w:r w:rsidRPr="003B2F14">
          <w:rPr>
            <w:rStyle w:val="a5"/>
            <w:color w:val="auto"/>
            <w:szCs w:val="24"/>
            <w:u w:val="none"/>
          </w:rPr>
          <w:t>Gosselin, H</w:t>
        </w:r>
      </w:hyperlink>
      <w:r w:rsidRPr="003B2F14">
        <w:rPr>
          <w:szCs w:val="24"/>
        </w:rPr>
        <w:t xml:space="preserve">.; </w:t>
      </w:r>
      <w:hyperlink r:id="rId22" w:history="1">
        <w:r w:rsidRPr="003B2F14">
          <w:rPr>
            <w:rStyle w:val="a5"/>
            <w:color w:val="auto"/>
            <w:szCs w:val="24"/>
            <w:u w:val="none"/>
          </w:rPr>
          <w:t>Paradis, P</w:t>
        </w:r>
      </w:hyperlink>
      <w:r w:rsidRPr="003B2F14">
        <w:rPr>
          <w:szCs w:val="24"/>
        </w:rPr>
        <w:t xml:space="preserve">.; </w:t>
      </w:r>
      <w:hyperlink r:id="rId23" w:history="1">
        <w:r w:rsidRPr="003B2F14">
          <w:rPr>
            <w:rStyle w:val="a5"/>
            <w:color w:val="auto"/>
            <w:szCs w:val="24"/>
            <w:u w:val="none"/>
          </w:rPr>
          <w:t>Rouleau, J.L</w:t>
        </w:r>
      </w:hyperlink>
      <w:r w:rsidRPr="003B2F14">
        <w:rPr>
          <w:szCs w:val="24"/>
        </w:rPr>
        <w:t>. Markedly different effects on ventricular remodeling result in a</w:t>
      </w:r>
      <w:r w:rsidRPr="00FA5708">
        <w:rPr>
          <w:szCs w:val="24"/>
        </w:rPr>
        <w:t xml:space="preserve"> decrease in inducibility of ventricular arrhythmias. J. Am. Coll. </w:t>
      </w:r>
      <w:proofErr w:type="spellStart"/>
      <w:r w:rsidRPr="00FA5708">
        <w:rPr>
          <w:szCs w:val="24"/>
        </w:rPr>
        <w:t>Cardiol</w:t>
      </w:r>
      <w:proofErr w:type="spellEnd"/>
      <w:r w:rsidRPr="00FA5708">
        <w:rPr>
          <w:szCs w:val="24"/>
        </w:rPr>
        <w:t>. 23:505-513; 1994.</w:t>
      </w:r>
    </w:p>
    <w:p w:rsidR="003B2F14" w:rsidRPr="00FA5708" w:rsidRDefault="003B2F14" w:rsidP="003B2F14">
      <w:pPr>
        <w:ind w:leftChars="1" w:left="283" w:hangingChars="117" w:hanging="281"/>
        <w:jc w:val="both"/>
        <w:rPr>
          <w:szCs w:val="24"/>
        </w:rPr>
      </w:pPr>
      <w:r>
        <w:rPr>
          <w:szCs w:val="24"/>
        </w:rPr>
        <w:t>5</w:t>
      </w:r>
      <w:r w:rsidRPr="00FA5708">
        <w:rPr>
          <w:szCs w:val="24"/>
        </w:rPr>
        <w:t xml:space="preserve">. Yang Y, </w:t>
      </w:r>
      <w:proofErr w:type="spellStart"/>
      <w:r w:rsidRPr="00FA5708">
        <w:rPr>
          <w:szCs w:val="24"/>
        </w:rPr>
        <w:t>Salayandia</w:t>
      </w:r>
      <w:proofErr w:type="spellEnd"/>
      <w:r w:rsidRPr="00FA5708">
        <w:rPr>
          <w:szCs w:val="24"/>
        </w:rPr>
        <w:t xml:space="preserve"> VM, Thompson JF, et al. Attenuation of acute stroke injury in rat brain by </w:t>
      </w:r>
      <w:proofErr w:type="spellStart"/>
      <w:r w:rsidRPr="00FA5708">
        <w:rPr>
          <w:szCs w:val="24"/>
        </w:rPr>
        <w:t>minocycline</w:t>
      </w:r>
      <w:proofErr w:type="spellEnd"/>
      <w:r w:rsidRPr="00FA5708">
        <w:rPr>
          <w:szCs w:val="24"/>
        </w:rPr>
        <w:t xml:space="preserve"> promotes blood brain barrier remodeling and alternative microglia/macrophage activation during recovery. </w:t>
      </w:r>
      <w:proofErr w:type="gramStart"/>
      <w:r w:rsidRPr="00FA5708">
        <w:rPr>
          <w:szCs w:val="24"/>
        </w:rPr>
        <w:t>J Neuroinflammation.</w:t>
      </w:r>
      <w:proofErr w:type="gramEnd"/>
      <w:r w:rsidRPr="00FA5708">
        <w:rPr>
          <w:szCs w:val="24"/>
        </w:rPr>
        <w:t xml:space="preserve"> 2015; 12: 015–0245.</w:t>
      </w:r>
    </w:p>
    <w:p w:rsidR="003B2F14" w:rsidRPr="00FA5708" w:rsidRDefault="003B2F14" w:rsidP="003B2F14">
      <w:pPr>
        <w:ind w:leftChars="1" w:left="283" w:hangingChars="117" w:hanging="281"/>
        <w:jc w:val="both"/>
        <w:rPr>
          <w:szCs w:val="24"/>
        </w:rPr>
      </w:pPr>
      <w:r>
        <w:rPr>
          <w:szCs w:val="24"/>
        </w:rPr>
        <w:t>6</w:t>
      </w:r>
      <w:r w:rsidRPr="00FA5708">
        <w:rPr>
          <w:szCs w:val="24"/>
        </w:rPr>
        <w:t xml:space="preserve">. Lee, T. M.; Lin, M. S.; Chou, T. F.; Tsai, C. H.; Chang, N. C. Adjunctive 17β-estradiol administration reduces infarct size by altered expression of canine myocardial connexin43 protein. </w:t>
      </w:r>
      <w:proofErr w:type="spellStart"/>
      <w:proofErr w:type="gramStart"/>
      <w:r w:rsidRPr="00FA5708">
        <w:rPr>
          <w:szCs w:val="24"/>
        </w:rPr>
        <w:t>Cardiovasc</w:t>
      </w:r>
      <w:proofErr w:type="spellEnd"/>
      <w:r w:rsidRPr="00FA5708">
        <w:rPr>
          <w:szCs w:val="24"/>
        </w:rPr>
        <w:t>.</w:t>
      </w:r>
      <w:proofErr w:type="gramEnd"/>
      <w:r w:rsidRPr="00FA5708">
        <w:rPr>
          <w:szCs w:val="24"/>
        </w:rPr>
        <w:t xml:space="preserve"> Res. 63:109–117; 2004.</w:t>
      </w:r>
    </w:p>
    <w:p w:rsidR="003B2F14" w:rsidRPr="001B4E37" w:rsidRDefault="003B2F14" w:rsidP="001B4E37">
      <w:pPr>
        <w:jc w:val="both"/>
        <w:rPr>
          <w:szCs w:val="24"/>
        </w:rPr>
      </w:pPr>
    </w:p>
    <w:sectPr w:rsidR="003B2F14" w:rsidRPr="001B4E37" w:rsidSect="002B1CAA">
      <w:headerReference w:type="default" r:id="rId24"/>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82C" w:rsidRDefault="00F4382C" w:rsidP="00FA5D5A">
      <w:r>
        <w:separator/>
      </w:r>
    </w:p>
  </w:endnote>
  <w:endnote w:type="continuationSeparator" w:id="0">
    <w:p w:rsidR="00F4382C" w:rsidRDefault="00F4382C" w:rsidP="00FA5D5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dvGulliv-R">
    <w:altName w:val="Arial Unicode MS"/>
    <w:panose1 w:val="00000000000000000000"/>
    <w:charset w:val="88"/>
    <w:family w:val="auto"/>
    <w:notTrueType/>
    <w:pitch w:val="default"/>
    <w:sig w:usb0="00000001" w:usb1="08080000" w:usb2="00000010" w:usb3="00000000" w:csb0="00100000" w:csb1="00000000"/>
  </w:font>
  <w:font w:name="StempelGaramond-Roman">
    <w:altName w:val="MS Mincho"/>
    <w:panose1 w:val="00000000000000000000"/>
    <w:charset w:val="80"/>
    <w:family w:val="auto"/>
    <w:notTrueType/>
    <w:pitch w:val="default"/>
    <w:sig w:usb0="00000001" w:usb1="08070000" w:usb2="00000010" w:usb3="00000000" w:csb0="00020000" w:csb1="00000000"/>
  </w:font>
  <w:font w:name="MTSY">
    <w:altName w:val="Arial Unicode MS"/>
    <w:panose1 w:val="00000000000000000000"/>
    <w:charset w:val="81"/>
    <w:family w:val="auto"/>
    <w:notTrueType/>
    <w:pitch w:val="default"/>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AdvTT5235d5a9+03">
    <w:altName w:val="Arial Unicode MS"/>
    <w:panose1 w:val="00000000000000000000"/>
    <w:charset w:val="88"/>
    <w:family w:val="auto"/>
    <w:notTrueType/>
    <w:pitch w:val="default"/>
    <w:sig w:usb0="00000001" w:usb1="08080000" w:usb2="00000010" w:usb3="00000000" w:csb0="00100000"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82C" w:rsidRDefault="00F4382C" w:rsidP="00FA5D5A">
      <w:r>
        <w:separator/>
      </w:r>
    </w:p>
  </w:footnote>
  <w:footnote w:type="continuationSeparator" w:id="0">
    <w:p w:rsidR="00F4382C" w:rsidRDefault="00F4382C" w:rsidP="00FA5D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17858"/>
      <w:docPartObj>
        <w:docPartGallery w:val="Page Numbers (Top of Page)"/>
        <w:docPartUnique/>
      </w:docPartObj>
    </w:sdtPr>
    <w:sdtContent>
      <w:p w:rsidR="00FA5D5A" w:rsidRDefault="00B77DBB">
        <w:pPr>
          <w:pStyle w:val="a6"/>
          <w:jc w:val="right"/>
        </w:pPr>
        <w:fldSimple w:instr=" PAGE   \* MERGEFORMAT ">
          <w:r w:rsidR="00EE1B81" w:rsidRPr="00EE1B81">
            <w:rPr>
              <w:noProof/>
              <w:lang w:val="zh-TW"/>
            </w:rPr>
            <w:t>1</w:t>
          </w:r>
        </w:fldSimple>
      </w:p>
    </w:sdtContent>
  </w:sdt>
  <w:p w:rsidR="00FA5D5A" w:rsidRDefault="00FA5D5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E1367"/>
    <w:multiLevelType w:val="hybridMultilevel"/>
    <w:tmpl w:val="1ADA80A6"/>
    <w:lvl w:ilvl="0" w:tplc="04090001">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B4E37"/>
    <w:rsid w:val="000F4C25"/>
    <w:rsid w:val="001B4E37"/>
    <w:rsid w:val="001E67E2"/>
    <w:rsid w:val="002B1CAA"/>
    <w:rsid w:val="00313B83"/>
    <w:rsid w:val="003B2F14"/>
    <w:rsid w:val="003D5D04"/>
    <w:rsid w:val="0056797A"/>
    <w:rsid w:val="005D065E"/>
    <w:rsid w:val="008B1748"/>
    <w:rsid w:val="00AB4B72"/>
    <w:rsid w:val="00AE3521"/>
    <w:rsid w:val="00B77DBB"/>
    <w:rsid w:val="00B8642F"/>
    <w:rsid w:val="00C36BEA"/>
    <w:rsid w:val="00C730A6"/>
    <w:rsid w:val="00E5531C"/>
    <w:rsid w:val="00E923BD"/>
    <w:rsid w:val="00EE1B81"/>
    <w:rsid w:val="00F4382C"/>
    <w:rsid w:val="00F53BC4"/>
    <w:rsid w:val="00FA5D5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E37"/>
    <w:pPr>
      <w:widowControl w:val="0"/>
    </w:pPr>
    <w:rPr>
      <w:rFonts w:ascii="Times New Roman" w:eastAsia="新細明體" w:hAnsi="Times New Roman" w:cs="Times New Roman"/>
      <w:szCs w:val="20"/>
    </w:rPr>
  </w:style>
  <w:style w:type="paragraph" w:styleId="4">
    <w:name w:val="heading 4"/>
    <w:basedOn w:val="a"/>
    <w:next w:val="a"/>
    <w:link w:val="40"/>
    <w:uiPriority w:val="9"/>
    <w:semiHidden/>
    <w:unhideWhenUsed/>
    <w:qFormat/>
    <w:rsid w:val="001B4E37"/>
    <w:pPr>
      <w:keepNext/>
      <w:spacing w:line="720" w:lineRule="auto"/>
      <w:outlineLvl w:val="3"/>
    </w:pPr>
    <w:rPr>
      <w:rFonts w:asciiTheme="majorHAnsi" w:eastAsiaTheme="majorEastAsia" w:hAnsiTheme="majorHAnsi" w:cstheme="majorBidi"/>
      <w:sz w:val="36"/>
      <w:szCs w:val="36"/>
    </w:rPr>
  </w:style>
  <w:style w:type="paragraph" w:styleId="5">
    <w:name w:val="heading 5"/>
    <w:basedOn w:val="a"/>
    <w:next w:val="a0"/>
    <w:link w:val="50"/>
    <w:qFormat/>
    <w:rsid w:val="001B4E37"/>
    <w:pPr>
      <w:keepNext/>
      <w:ind w:firstLine="540"/>
      <w:jc w:val="both"/>
      <w:outlineLvl w:val="4"/>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標題 5 字元"/>
    <w:basedOn w:val="a1"/>
    <w:link w:val="5"/>
    <w:rsid w:val="001B4E37"/>
    <w:rPr>
      <w:rFonts w:ascii="Times New Roman" w:eastAsia="新細明體" w:hAnsi="Times New Roman" w:cs="Times New Roman"/>
      <w:b/>
      <w:szCs w:val="20"/>
    </w:rPr>
  </w:style>
  <w:style w:type="paragraph" w:styleId="a0">
    <w:name w:val="Normal Indent"/>
    <w:basedOn w:val="a"/>
    <w:uiPriority w:val="99"/>
    <w:semiHidden/>
    <w:unhideWhenUsed/>
    <w:rsid w:val="001B4E37"/>
    <w:pPr>
      <w:ind w:leftChars="200" w:left="480"/>
    </w:pPr>
  </w:style>
  <w:style w:type="paragraph" w:styleId="Web">
    <w:name w:val="Normal (Web)"/>
    <w:basedOn w:val="a"/>
    <w:rsid w:val="001B4E37"/>
    <w:pPr>
      <w:widowControl/>
      <w:spacing w:before="100" w:beforeAutospacing="1" w:after="100" w:afterAutospacing="1"/>
    </w:pPr>
    <w:rPr>
      <w:rFonts w:ascii="新細明體" w:hAnsi="新細明體"/>
      <w:kern w:val="0"/>
      <w:szCs w:val="24"/>
    </w:rPr>
  </w:style>
  <w:style w:type="character" w:styleId="a4">
    <w:name w:val="Strong"/>
    <w:basedOn w:val="a1"/>
    <w:uiPriority w:val="22"/>
    <w:qFormat/>
    <w:rsid w:val="001B4E37"/>
    <w:rPr>
      <w:b/>
      <w:bCs/>
    </w:rPr>
  </w:style>
  <w:style w:type="character" w:customStyle="1" w:styleId="40">
    <w:name w:val="標題 4 字元"/>
    <w:basedOn w:val="a1"/>
    <w:link w:val="4"/>
    <w:uiPriority w:val="9"/>
    <w:semiHidden/>
    <w:rsid w:val="001B4E37"/>
    <w:rPr>
      <w:rFonts w:asciiTheme="majorHAnsi" w:eastAsiaTheme="majorEastAsia" w:hAnsiTheme="majorHAnsi" w:cstheme="majorBidi"/>
      <w:sz w:val="36"/>
      <w:szCs w:val="36"/>
    </w:rPr>
  </w:style>
  <w:style w:type="character" w:styleId="a5">
    <w:name w:val="Hyperlink"/>
    <w:basedOn w:val="a1"/>
    <w:rsid w:val="003B2F14"/>
    <w:rPr>
      <w:color w:val="0000FF"/>
      <w:u w:val="single"/>
    </w:rPr>
  </w:style>
  <w:style w:type="character" w:customStyle="1" w:styleId="highlight">
    <w:name w:val="highlight"/>
    <w:basedOn w:val="a1"/>
    <w:rsid w:val="003B2F14"/>
  </w:style>
  <w:style w:type="character" w:customStyle="1" w:styleId="jrnl">
    <w:name w:val="jrnl"/>
    <w:basedOn w:val="a1"/>
    <w:rsid w:val="003B2F14"/>
  </w:style>
  <w:style w:type="paragraph" w:customStyle="1" w:styleId="desc2">
    <w:name w:val="desc2"/>
    <w:basedOn w:val="a"/>
    <w:rsid w:val="003B2F14"/>
    <w:pPr>
      <w:widowControl/>
    </w:pPr>
    <w:rPr>
      <w:rFonts w:ascii="新細明體" w:hAnsi="新細明體" w:cs="新細明體"/>
      <w:kern w:val="0"/>
      <w:sz w:val="26"/>
      <w:szCs w:val="26"/>
    </w:rPr>
  </w:style>
  <w:style w:type="paragraph" w:styleId="a6">
    <w:name w:val="header"/>
    <w:basedOn w:val="a"/>
    <w:link w:val="a7"/>
    <w:uiPriority w:val="99"/>
    <w:unhideWhenUsed/>
    <w:rsid w:val="00FA5D5A"/>
    <w:pPr>
      <w:tabs>
        <w:tab w:val="center" w:pos="4153"/>
        <w:tab w:val="right" w:pos="8306"/>
      </w:tabs>
      <w:snapToGrid w:val="0"/>
    </w:pPr>
    <w:rPr>
      <w:sz w:val="20"/>
    </w:rPr>
  </w:style>
  <w:style w:type="character" w:customStyle="1" w:styleId="a7">
    <w:name w:val="頁首 字元"/>
    <w:basedOn w:val="a1"/>
    <w:link w:val="a6"/>
    <w:uiPriority w:val="99"/>
    <w:rsid w:val="00FA5D5A"/>
    <w:rPr>
      <w:rFonts w:ascii="Times New Roman" w:eastAsia="新細明體" w:hAnsi="Times New Roman" w:cs="Times New Roman"/>
      <w:sz w:val="20"/>
      <w:szCs w:val="20"/>
    </w:rPr>
  </w:style>
  <w:style w:type="paragraph" w:styleId="a8">
    <w:name w:val="footer"/>
    <w:basedOn w:val="a"/>
    <w:link w:val="a9"/>
    <w:uiPriority w:val="99"/>
    <w:semiHidden/>
    <w:unhideWhenUsed/>
    <w:rsid w:val="00FA5D5A"/>
    <w:pPr>
      <w:tabs>
        <w:tab w:val="center" w:pos="4153"/>
        <w:tab w:val="right" w:pos="8306"/>
      </w:tabs>
      <w:snapToGrid w:val="0"/>
    </w:pPr>
    <w:rPr>
      <w:sz w:val="20"/>
    </w:rPr>
  </w:style>
  <w:style w:type="character" w:customStyle="1" w:styleId="a9">
    <w:name w:val="頁尾 字元"/>
    <w:basedOn w:val="a1"/>
    <w:link w:val="a8"/>
    <w:uiPriority w:val="99"/>
    <w:semiHidden/>
    <w:rsid w:val="00FA5D5A"/>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Zhang%20JJ%5BAuthor%5D&amp;cauthor=true&amp;cauthor_uid=21030494" TargetMode="External"/><Relationship Id="rId13" Type="http://schemas.openxmlformats.org/officeDocument/2006/relationships/hyperlink" Target="https://www.ncbi.nlm.nih.gov/pubmed/?term=Wang%20XF%5BAuthor%5D&amp;cauthor=true&amp;cauthor_uid=21030494" TargetMode="External"/><Relationship Id="rId18" Type="http://schemas.openxmlformats.org/officeDocument/2006/relationships/hyperlink" Target="http://www.ncbi.nlm.nih.gov/pubmed?term=%22Savard%20P%22%5BAuthor%5D"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ncbi.nlm.nih.gov/pubmed?term=Gosselin%20H%5BAuthor%5D&amp;cauthor=true&amp;cauthor_uid=8294707" TargetMode="External"/><Relationship Id="rId7" Type="http://schemas.openxmlformats.org/officeDocument/2006/relationships/hyperlink" Target="https://www.ncbi.nlm.nih.gov/pubmed/28130118" TargetMode="External"/><Relationship Id="rId12" Type="http://schemas.openxmlformats.org/officeDocument/2006/relationships/hyperlink" Target="https://www.ncbi.nlm.nih.gov/pubmed/?term=Ji%20XQ%5BAuthor%5D&amp;cauthor=true&amp;cauthor_uid=21030494" TargetMode="External"/><Relationship Id="rId17" Type="http://schemas.openxmlformats.org/officeDocument/2006/relationships/hyperlink" Target="http://www.ncbi.nlm.nih.gov/pubmed?term=%22B%C3%A9lichard%20P%22%5BAuthor%5D"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cbi.nlm.nih.gov/pubmed/22507072" TargetMode="External"/><Relationship Id="rId20" Type="http://schemas.openxmlformats.org/officeDocument/2006/relationships/hyperlink" Target="http://www.ncbi.nlm.nih.gov/pubmed?term=%22Nadeau%20R%22%5BAuthor%5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pubmed/?term=Dai%20HY%5BAuthor%5D&amp;cauthor=true&amp;cauthor_uid=21030494"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ncbi.nlm.nih.gov/pubmed/?term=Pyrrolidine+dithiocarbamate+inhibits+nuclear+pathway+activation+%2C+2011" TargetMode="External"/><Relationship Id="rId23" Type="http://schemas.openxmlformats.org/officeDocument/2006/relationships/hyperlink" Target="http://www.ncbi.nlm.nih.gov/pubmed?term=Rouleau%20JL%5BAuthor%5D&amp;cauthor=true&amp;cauthor_uid=8294707" TargetMode="External"/><Relationship Id="rId10" Type="http://schemas.openxmlformats.org/officeDocument/2006/relationships/hyperlink" Target="https://www.ncbi.nlm.nih.gov/pubmed/?term=Zhang%20CM%5BAuthor%5D&amp;cauthor=true&amp;cauthor_uid=21030494" TargetMode="External"/><Relationship Id="rId19" Type="http://schemas.openxmlformats.org/officeDocument/2006/relationships/hyperlink" Target="http://www.ncbi.nlm.nih.gov/pubmed?term=%22Cardinal%20R%22%5BAuthor%5D" TargetMode="External"/><Relationship Id="rId4" Type="http://schemas.openxmlformats.org/officeDocument/2006/relationships/webSettings" Target="webSettings.xml"/><Relationship Id="rId9" Type="http://schemas.openxmlformats.org/officeDocument/2006/relationships/hyperlink" Target="https://www.ncbi.nlm.nih.gov/pubmed/?term=Xu%20ZM%5BAuthor%5D&amp;cauthor=true&amp;cauthor_uid=21030494" TargetMode="External"/><Relationship Id="rId14" Type="http://schemas.openxmlformats.org/officeDocument/2006/relationships/hyperlink" Target="https://www.ncbi.nlm.nih.gov/pubmed/?term=Li%20C%5BAuthor%5D&amp;cauthor=true&amp;cauthor_uid=21030494" TargetMode="External"/><Relationship Id="rId22" Type="http://schemas.openxmlformats.org/officeDocument/2006/relationships/hyperlink" Target="http://www.ncbi.nlm.nih.gov/pubmed?term=Paradis%20P%5BAuthor%5D&amp;cauthor=true&amp;cauthor_uid=8294707"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1684</Words>
  <Characters>9599</Characters>
  <Application>Microsoft Office Word</Application>
  <DocSecurity>0</DocSecurity>
  <Lines>79</Lines>
  <Paragraphs>22</Paragraphs>
  <ScaleCrop>false</ScaleCrop>
  <Company/>
  <LinksUpToDate>false</LinksUpToDate>
  <CharactersWithSpaces>11261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5</cp:revision>
  <dcterms:created xsi:type="dcterms:W3CDTF">2020-12-05T09:08:00Z</dcterms:created>
  <dcterms:modified xsi:type="dcterms:W3CDTF">2020-12-26T09:11:00Z</dcterms:modified>
</cp:coreProperties>
</file>