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24"/>
        <w:tblW w:w="5000" w:type="pct"/>
        <w:tblLayout w:type="fixed"/>
        <w:tblLook w:val="04A0" w:firstRow="1" w:lastRow="0" w:firstColumn="1" w:lastColumn="0" w:noHBand="0" w:noVBand="1"/>
      </w:tblPr>
      <w:tblGrid>
        <w:gridCol w:w="1270"/>
        <w:gridCol w:w="1270"/>
        <w:gridCol w:w="1271"/>
        <w:gridCol w:w="1270"/>
        <w:gridCol w:w="1270"/>
        <w:gridCol w:w="1271"/>
        <w:gridCol w:w="1270"/>
        <w:gridCol w:w="1271"/>
        <w:gridCol w:w="1270"/>
        <w:gridCol w:w="1270"/>
        <w:gridCol w:w="1271"/>
        <w:gridCol w:w="1270"/>
        <w:gridCol w:w="1271"/>
      </w:tblGrid>
      <w:tr w:rsidR="008433C1" w:rsidRPr="00FF0A5E" w:rsidTr="009142F1">
        <w:trPr>
          <w:trHeight w:val="416"/>
        </w:trPr>
        <w:tc>
          <w:tcPr>
            <w:tcW w:w="127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8433C1" w:rsidRPr="00FF0A5E" w:rsidRDefault="008433C1" w:rsidP="00603FB8">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Author</w:t>
            </w:r>
          </w:p>
        </w:tc>
        <w:tc>
          <w:tcPr>
            <w:tcW w:w="13974" w:type="dxa"/>
            <w:gridSpan w:val="11"/>
            <w:tcBorders>
              <w:top w:val="single" w:sz="4" w:space="0" w:color="auto"/>
              <w:left w:val="single" w:sz="4" w:space="0" w:color="auto"/>
              <w:right w:val="single" w:sz="4" w:space="0" w:color="auto"/>
            </w:tcBorders>
            <w:shd w:val="clear" w:color="auto" w:fill="D9D9D9" w:themeFill="background1" w:themeFillShade="D9"/>
            <w:vAlign w:val="center"/>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Risk Assessment Items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8433C1" w:rsidRPr="00FF0A5E" w:rsidRDefault="008433C1" w:rsidP="00695EA3">
            <w:pPr>
              <w:spacing w:after="0"/>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 xml:space="preserve">Total </w:t>
            </w:r>
            <w:proofErr w:type="spellStart"/>
            <w:r w:rsidRPr="00FF0A5E">
              <w:rPr>
                <w:rFonts w:ascii="Times New Roman" w:eastAsia="Times New Roman" w:hAnsi="Times New Roman" w:cs="Times New Roman"/>
                <w:b/>
                <w:bCs/>
                <w:color w:val="000000"/>
                <w:sz w:val="16"/>
                <w:szCs w:val="16"/>
                <w:lang w:eastAsia="en-AU"/>
              </w:rPr>
              <w:t>score</w:t>
            </w:r>
            <w:r w:rsidRPr="00FF0A5E">
              <w:rPr>
                <w:rFonts w:ascii="Times New Roman" w:eastAsia="Times New Roman" w:hAnsi="Times New Roman" w:cs="Times New Roman"/>
                <w:b/>
                <w:bCs/>
                <w:color w:val="000000"/>
                <w:sz w:val="16"/>
                <w:szCs w:val="16"/>
                <w:vertAlign w:val="superscript"/>
                <w:lang w:eastAsia="en-AU"/>
              </w:rPr>
              <w:t>b</w:t>
            </w:r>
            <w:proofErr w:type="spellEnd"/>
          </w:p>
        </w:tc>
      </w:tr>
      <w:tr w:rsidR="008433C1" w:rsidRPr="00FF0A5E" w:rsidTr="009142F1">
        <w:trPr>
          <w:trHeight w:val="1015"/>
        </w:trPr>
        <w:tc>
          <w:tcPr>
            <w:tcW w:w="1270" w:type="dxa"/>
            <w:vMerge/>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8433C1" w:rsidRPr="00FF0A5E" w:rsidRDefault="008433C1" w:rsidP="008433C1">
            <w:pPr>
              <w:spacing w:after="0"/>
              <w:jc w:val="center"/>
              <w:rPr>
                <w:rFonts w:ascii="Times New Roman" w:eastAsia="Times New Roman" w:hAnsi="Times New Roman" w:cs="Times New Roman"/>
                <w:b/>
                <w:bCs/>
                <w:color w:val="000000"/>
                <w:sz w:val="16"/>
                <w:szCs w:val="16"/>
                <w:lang w:eastAsia="en-AU"/>
              </w:rPr>
            </w:pPr>
          </w:p>
        </w:tc>
        <w:tc>
          <w:tcPr>
            <w:tcW w:w="1270" w:type="dxa"/>
            <w:tcBorders>
              <w:left w:val="single" w:sz="4" w:space="0" w:color="auto"/>
              <w:bottom w:val="single" w:sz="4" w:space="0" w:color="auto"/>
              <w:right w:val="nil"/>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Eligibility criteria specified?</w:t>
            </w:r>
            <w:r w:rsidRPr="00FF0A5E">
              <w:rPr>
                <w:rFonts w:ascii="Times New Roman" w:eastAsia="Times New Roman" w:hAnsi="Times New Roman" w:cs="Times New Roman"/>
                <w:b/>
                <w:bCs/>
                <w:color w:val="000000"/>
                <w:sz w:val="16"/>
                <w:szCs w:val="16"/>
                <w:vertAlign w:val="superscript"/>
                <w:lang w:eastAsia="en-AU"/>
              </w:rPr>
              <w:t>1*</w:t>
            </w:r>
          </w:p>
        </w:tc>
        <w:tc>
          <w:tcPr>
            <w:tcW w:w="1271" w:type="dxa"/>
            <w:tcBorders>
              <w:left w:val="nil"/>
              <w:bottom w:val="single" w:sz="4" w:space="0" w:color="auto"/>
              <w:right w:val="nil"/>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Random allocation?</w:t>
            </w:r>
            <w:r w:rsidRPr="00FF0A5E">
              <w:rPr>
                <w:rFonts w:ascii="Times New Roman" w:eastAsia="Times New Roman" w:hAnsi="Times New Roman" w:cs="Times New Roman"/>
                <w:b/>
                <w:bCs/>
                <w:color w:val="000000"/>
                <w:sz w:val="16"/>
                <w:szCs w:val="16"/>
                <w:vertAlign w:val="superscript"/>
                <w:lang w:eastAsia="en-AU"/>
              </w:rPr>
              <w:t>2</w:t>
            </w:r>
          </w:p>
        </w:tc>
        <w:tc>
          <w:tcPr>
            <w:tcW w:w="1270" w:type="dxa"/>
            <w:tcBorders>
              <w:left w:val="nil"/>
              <w:bottom w:val="single" w:sz="4" w:space="0" w:color="auto"/>
              <w:right w:val="nil"/>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Concealed allocation?</w:t>
            </w:r>
            <w:r w:rsidRPr="00FF0A5E">
              <w:rPr>
                <w:rFonts w:ascii="Times New Roman" w:eastAsia="Times New Roman" w:hAnsi="Times New Roman" w:cs="Times New Roman"/>
                <w:b/>
                <w:bCs/>
                <w:color w:val="000000"/>
                <w:sz w:val="16"/>
                <w:szCs w:val="16"/>
                <w:vertAlign w:val="superscript"/>
                <w:lang w:eastAsia="en-AU"/>
              </w:rPr>
              <w:t>3</w:t>
            </w:r>
          </w:p>
        </w:tc>
        <w:tc>
          <w:tcPr>
            <w:tcW w:w="1270" w:type="dxa"/>
            <w:tcBorders>
              <w:left w:val="nil"/>
              <w:bottom w:val="single" w:sz="4" w:space="0" w:color="auto"/>
              <w:right w:val="nil"/>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Groups similar at baseline?</w:t>
            </w:r>
            <w:r w:rsidRPr="00FF0A5E">
              <w:rPr>
                <w:rFonts w:ascii="Times New Roman" w:eastAsia="Times New Roman" w:hAnsi="Times New Roman" w:cs="Times New Roman"/>
                <w:b/>
                <w:bCs/>
                <w:color w:val="000000"/>
                <w:sz w:val="16"/>
                <w:szCs w:val="16"/>
                <w:vertAlign w:val="superscript"/>
                <w:lang w:eastAsia="en-AU"/>
              </w:rPr>
              <w:t>4</w:t>
            </w:r>
          </w:p>
        </w:tc>
        <w:tc>
          <w:tcPr>
            <w:tcW w:w="1271" w:type="dxa"/>
            <w:tcBorders>
              <w:left w:val="nil"/>
              <w:bottom w:val="single" w:sz="4" w:space="0" w:color="auto"/>
              <w:right w:val="nil"/>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Subjects blinded?</w:t>
            </w:r>
            <w:r w:rsidRPr="00FF0A5E">
              <w:rPr>
                <w:rFonts w:ascii="Times New Roman" w:eastAsia="Times New Roman" w:hAnsi="Times New Roman" w:cs="Times New Roman"/>
                <w:b/>
                <w:bCs/>
                <w:color w:val="000000"/>
                <w:sz w:val="16"/>
                <w:szCs w:val="16"/>
                <w:vertAlign w:val="superscript"/>
                <w:lang w:eastAsia="en-AU"/>
              </w:rPr>
              <w:t>5</w:t>
            </w:r>
          </w:p>
        </w:tc>
        <w:tc>
          <w:tcPr>
            <w:tcW w:w="1270" w:type="dxa"/>
            <w:tcBorders>
              <w:left w:val="nil"/>
              <w:bottom w:val="single" w:sz="4" w:space="0" w:color="auto"/>
              <w:right w:val="nil"/>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hAnsi="Times New Roman" w:cs="Times New Roman"/>
                <w:b/>
                <w:bCs/>
                <w:color w:val="000000"/>
                <w:sz w:val="16"/>
                <w:szCs w:val="16"/>
                <w:lang w:eastAsia="ja-JP"/>
              </w:rPr>
              <w:t>T</w:t>
            </w:r>
            <w:r w:rsidRPr="00FF0A5E">
              <w:rPr>
                <w:rFonts w:ascii="Times New Roman" w:eastAsia="Times New Roman" w:hAnsi="Times New Roman" w:cs="Times New Roman"/>
                <w:b/>
                <w:bCs/>
                <w:color w:val="000000"/>
                <w:sz w:val="16"/>
                <w:szCs w:val="16"/>
                <w:lang w:eastAsia="en-AU"/>
              </w:rPr>
              <w:t>herapists blinded?</w:t>
            </w:r>
            <w:r w:rsidRPr="00FF0A5E">
              <w:rPr>
                <w:rFonts w:ascii="Times New Roman" w:eastAsia="Times New Roman" w:hAnsi="Times New Roman" w:cs="Times New Roman"/>
                <w:b/>
                <w:bCs/>
                <w:color w:val="000000"/>
                <w:sz w:val="16"/>
                <w:szCs w:val="16"/>
                <w:vertAlign w:val="superscript"/>
                <w:lang w:eastAsia="en-AU"/>
              </w:rPr>
              <w:t>6</w:t>
            </w:r>
          </w:p>
        </w:tc>
        <w:tc>
          <w:tcPr>
            <w:tcW w:w="1271" w:type="dxa"/>
            <w:tcBorders>
              <w:left w:val="nil"/>
              <w:bottom w:val="single" w:sz="4" w:space="0" w:color="auto"/>
              <w:right w:val="nil"/>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hAnsi="Times New Roman" w:cs="Times New Roman"/>
                <w:b/>
                <w:bCs/>
                <w:color w:val="000000"/>
                <w:sz w:val="16"/>
                <w:szCs w:val="16"/>
                <w:lang w:eastAsia="ja-JP"/>
              </w:rPr>
              <w:t>A</w:t>
            </w:r>
            <w:r w:rsidRPr="00FF0A5E">
              <w:rPr>
                <w:rFonts w:ascii="Times New Roman" w:eastAsia="Times New Roman" w:hAnsi="Times New Roman" w:cs="Times New Roman"/>
                <w:b/>
                <w:bCs/>
                <w:color w:val="000000"/>
                <w:sz w:val="16"/>
                <w:szCs w:val="16"/>
                <w:lang w:eastAsia="en-AU"/>
              </w:rPr>
              <w:t>ssessors blinded?</w:t>
            </w:r>
            <w:r w:rsidRPr="00FF0A5E">
              <w:rPr>
                <w:rFonts w:ascii="Times New Roman" w:eastAsia="Times New Roman" w:hAnsi="Times New Roman" w:cs="Times New Roman"/>
                <w:b/>
                <w:bCs/>
                <w:color w:val="000000"/>
                <w:sz w:val="16"/>
                <w:szCs w:val="16"/>
                <w:vertAlign w:val="superscript"/>
                <w:lang w:eastAsia="en-AU"/>
              </w:rPr>
              <w:t>7</w:t>
            </w:r>
          </w:p>
        </w:tc>
        <w:tc>
          <w:tcPr>
            <w:tcW w:w="1270" w:type="dxa"/>
            <w:tcBorders>
              <w:left w:val="nil"/>
              <w:bottom w:val="single" w:sz="4" w:space="0" w:color="auto"/>
              <w:right w:val="nil"/>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Key outcome measures from ≥ 85% subjects?</w:t>
            </w:r>
            <w:r w:rsidRPr="00FF0A5E">
              <w:rPr>
                <w:rFonts w:ascii="Times New Roman" w:eastAsia="Times New Roman" w:hAnsi="Times New Roman" w:cs="Times New Roman"/>
                <w:b/>
                <w:bCs/>
                <w:color w:val="000000"/>
                <w:sz w:val="16"/>
                <w:szCs w:val="16"/>
                <w:vertAlign w:val="superscript"/>
                <w:lang w:eastAsia="en-AU"/>
              </w:rPr>
              <w:t>8</w:t>
            </w:r>
          </w:p>
        </w:tc>
        <w:tc>
          <w:tcPr>
            <w:tcW w:w="1270" w:type="dxa"/>
            <w:tcBorders>
              <w:left w:val="nil"/>
              <w:bottom w:val="single" w:sz="4" w:space="0" w:color="auto"/>
              <w:right w:val="nil"/>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Intention-to-treat analysis?</w:t>
            </w:r>
            <w:r w:rsidRPr="00FF0A5E">
              <w:rPr>
                <w:rFonts w:ascii="Times New Roman" w:eastAsia="Times New Roman" w:hAnsi="Times New Roman" w:cs="Times New Roman"/>
                <w:b/>
                <w:bCs/>
                <w:color w:val="000000"/>
                <w:sz w:val="16"/>
                <w:szCs w:val="16"/>
                <w:vertAlign w:val="superscript"/>
                <w:lang w:eastAsia="en-AU"/>
              </w:rPr>
              <w:t>9</w:t>
            </w:r>
          </w:p>
        </w:tc>
        <w:tc>
          <w:tcPr>
            <w:tcW w:w="1271" w:type="dxa"/>
            <w:tcBorders>
              <w:left w:val="nil"/>
              <w:bottom w:val="single" w:sz="4" w:space="0" w:color="auto"/>
              <w:right w:val="nil"/>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Between-group analysis?</w:t>
            </w:r>
            <w:r w:rsidRPr="00FF0A5E">
              <w:rPr>
                <w:rFonts w:ascii="Times New Roman" w:eastAsia="Times New Roman" w:hAnsi="Times New Roman" w:cs="Times New Roman"/>
                <w:b/>
                <w:bCs/>
                <w:color w:val="000000"/>
                <w:sz w:val="16"/>
                <w:szCs w:val="16"/>
                <w:vertAlign w:val="superscript"/>
                <w:lang w:eastAsia="en-AU"/>
              </w:rPr>
              <w:t>10</w:t>
            </w:r>
          </w:p>
        </w:tc>
        <w:tc>
          <w:tcPr>
            <w:tcW w:w="1270" w:type="dxa"/>
            <w:tcBorders>
              <w:left w:val="nil"/>
              <w:bottom w:val="single" w:sz="4" w:space="0" w:color="auto"/>
              <w:right w:val="single" w:sz="4" w:space="0" w:color="auto"/>
            </w:tcBorders>
            <w:shd w:val="clear" w:color="auto" w:fill="D9D9D9" w:themeFill="background1" w:themeFillShade="D9"/>
            <w:vAlign w:val="center"/>
            <w:hideMark/>
          </w:tcPr>
          <w:p w:rsidR="008433C1" w:rsidRPr="00FF0A5E" w:rsidRDefault="008433C1" w:rsidP="00BE48C3">
            <w:pPr>
              <w:spacing w:after="0"/>
              <w:jc w:val="center"/>
              <w:rPr>
                <w:rFonts w:ascii="Times New Roman" w:eastAsia="Times New Roman" w:hAnsi="Times New Roman" w:cs="Times New Roman"/>
                <w:b/>
                <w:bCs/>
                <w:color w:val="000000"/>
                <w:sz w:val="16"/>
                <w:szCs w:val="16"/>
                <w:lang w:eastAsia="en-AU"/>
              </w:rPr>
            </w:pPr>
            <w:r w:rsidRPr="00FF0A5E">
              <w:rPr>
                <w:rFonts w:ascii="Times New Roman" w:eastAsia="Times New Roman" w:hAnsi="Times New Roman" w:cs="Times New Roman"/>
                <w:b/>
                <w:bCs/>
                <w:color w:val="000000"/>
                <w:sz w:val="16"/>
                <w:szCs w:val="16"/>
                <w:lang w:eastAsia="en-AU"/>
              </w:rPr>
              <w:t>Measures of variability presented for key outcome meassure?</w:t>
            </w:r>
            <w:r w:rsidRPr="00FF0A5E">
              <w:rPr>
                <w:rFonts w:ascii="Times New Roman" w:eastAsia="Times New Roman" w:hAnsi="Times New Roman" w:cs="Times New Roman"/>
                <w:b/>
                <w:bCs/>
                <w:color w:val="000000"/>
                <w:sz w:val="16"/>
                <w:szCs w:val="16"/>
                <w:vertAlign w:val="superscript"/>
                <w:lang w:eastAsia="en-AU"/>
              </w:rPr>
              <w:t>11</w:t>
            </w:r>
          </w:p>
        </w:tc>
        <w:tc>
          <w:tcPr>
            <w:tcW w:w="1271"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rsidR="008433C1" w:rsidRPr="00FF0A5E" w:rsidRDefault="008433C1" w:rsidP="00BE48C3">
            <w:pPr>
              <w:spacing w:after="0"/>
              <w:rPr>
                <w:rFonts w:ascii="Times New Roman" w:eastAsia="Times New Roman" w:hAnsi="Times New Roman" w:cs="Times New Roman"/>
                <w:b/>
                <w:bCs/>
                <w:color w:val="000000"/>
                <w:sz w:val="16"/>
                <w:szCs w:val="16"/>
                <w:lang w:eastAsia="en-AU"/>
              </w:rPr>
            </w:pPr>
          </w:p>
        </w:tc>
      </w:tr>
      <w:tr w:rsidR="0049162C" w:rsidRPr="00FF0A5E" w:rsidTr="008433C1">
        <w:trPr>
          <w:trHeight w:val="240"/>
        </w:trPr>
        <w:tc>
          <w:tcPr>
            <w:tcW w:w="1270" w:type="dxa"/>
            <w:tcBorders>
              <w:top w:val="nil"/>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bookmarkStart w:id="0" w:name="_Hlk447542038"/>
            <w:proofErr w:type="spellStart"/>
            <w:r w:rsidRPr="000B35DE">
              <w:rPr>
                <w:rFonts w:ascii="Times New Roman" w:eastAsia="Times New Roman" w:hAnsi="Times New Roman" w:cs="Times New Roman"/>
                <w:color w:val="000000"/>
                <w:sz w:val="16"/>
                <w:szCs w:val="16"/>
                <w:lang w:eastAsia="en-AU"/>
              </w:rPr>
              <w:t>Bieryla</w:t>
            </w:r>
            <w:proofErr w:type="spellEnd"/>
            <w:r>
              <w:rPr>
                <w:rFonts w:ascii="Times New Roman" w:eastAsia="Times New Roman" w:hAnsi="Times New Roman" w:cs="Times New Roman"/>
                <w:color w:val="000000"/>
                <w:sz w:val="16"/>
                <w:szCs w:val="16"/>
                <w:lang w:eastAsia="en-AU"/>
              </w:rPr>
              <w:t xml:space="preserve"> et al</w:t>
            </w:r>
            <w:r w:rsidRPr="00FC42C5">
              <w:rPr>
                <w:rFonts w:ascii="Times New Roman" w:eastAsia="Times New Roman" w:hAnsi="Times New Roman" w:cs="Times New Roman"/>
                <w:color w:val="000000"/>
                <w:sz w:val="16"/>
                <w:szCs w:val="16"/>
                <w:vertAlign w:val="superscript"/>
                <w:lang w:eastAsia="en-AU"/>
              </w:rPr>
              <w:t>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3</w:t>
            </w:r>
          </w:p>
        </w:tc>
      </w:tr>
      <w:tr w:rsidR="008C2CB4"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Chao</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33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4</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Daniel</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21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4</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de Bruin</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32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3</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Duque</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5</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Franco</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23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5</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Hagedorn</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24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bookmarkStart w:id="1" w:name="_GoBack"/>
            <w:bookmarkEnd w:id="1"/>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4</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Janssen</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25</w:t>
            </w:r>
            <w:r w:rsidRPr="000B35DE">
              <w:rPr>
                <w:rFonts w:ascii="Times New Roman" w:eastAsia="Times New Roman" w:hAnsi="Times New Roman" w:cs="Times New Roman"/>
                <w:color w:val="000000"/>
                <w:sz w:val="16"/>
                <w:szCs w:val="16"/>
                <w:lang w:eastAsia="en-AU"/>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6</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Jorgensen</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16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7</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Keogh</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35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5</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Kim</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17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7</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Lai et al</w:t>
            </w:r>
            <w:r>
              <w:rPr>
                <w:rFonts w:ascii="Times New Roman" w:eastAsia="Times New Roman" w:hAnsi="Times New Roman" w:cs="Times New Roman"/>
                <w:color w:val="000000"/>
                <w:sz w:val="16"/>
                <w:szCs w:val="16"/>
                <w:vertAlign w:val="superscript"/>
                <w:lang w:eastAsia="en-AU"/>
              </w:rPr>
              <w:t>25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4</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921D2D" w:rsidRDefault="0049162C" w:rsidP="000A261C">
            <w:pPr>
              <w:spacing w:after="0"/>
              <w:rPr>
                <w:rFonts w:ascii="Times New Roman" w:hAnsi="Times New Roman" w:cs="Times New Roman"/>
                <w:b/>
                <w:bCs/>
                <w:color w:val="000000"/>
                <w:sz w:val="16"/>
                <w:szCs w:val="16"/>
              </w:rPr>
            </w:pPr>
            <w:r w:rsidRPr="00921D2D">
              <w:rPr>
                <w:rFonts w:ascii="Times New Roman" w:eastAsia="Times New Roman" w:hAnsi="Times New Roman" w:cs="Times New Roman"/>
                <w:color w:val="000000"/>
                <w:sz w:val="16"/>
                <w:szCs w:val="16"/>
                <w:lang w:eastAsia="en-AU"/>
              </w:rPr>
              <w:t>Lee</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5</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Maillot</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27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5</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F371EE" w:rsidRDefault="0049162C" w:rsidP="0049162C">
            <w:pPr>
              <w:spacing w:after="0"/>
              <w:rPr>
                <w:rFonts w:ascii="Times New Roman" w:eastAsia="Times New Roman" w:hAnsi="Times New Roman" w:cs="Times New Roman"/>
                <w:i/>
                <w:color w:val="000000"/>
                <w:sz w:val="16"/>
                <w:szCs w:val="16"/>
                <w:lang w:eastAsia="en-AU"/>
              </w:rPr>
            </w:pPr>
            <w:proofErr w:type="spellStart"/>
            <w:r w:rsidRPr="000B35DE">
              <w:rPr>
                <w:rFonts w:ascii="Times New Roman" w:eastAsia="Times New Roman" w:hAnsi="Times New Roman" w:cs="Times New Roman"/>
                <w:color w:val="000000"/>
                <w:sz w:val="16"/>
                <w:szCs w:val="16"/>
                <w:lang w:eastAsia="en-AU"/>
              </w:rPr>
              <w:t>Pichierri</w:t>
            </w:r>
            <w:proofErr w:type="spellEnd"/>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28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4</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proofErr w:type="spellStart"/>
            <w:r w:rsidRPr="000B35DE">
              <w:rPr>
                <w:rFonts w:ascii="Times New Roman" w:eastAsia="Times New Roman" w:hAnsi="Times New Roman" w:cs="Times New Roman"/>
                <w:color w:val="000000"/>
                <w:sz w:val="16"/>
                <w:szCs w:val="16"/>
                <w:lang w:eastAsia="en-AU"/>
              </w:rPr>
              <w:t>Pichierri</w:t>
            </w:r>
            <w:proofErr w:type="spellEnd"/>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29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4</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Rendon</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6</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proofErr w:type="spellStart"/>
            <w:r w:rsidRPr="000B35DE">
              <w:rPr>
                <w:rFonts w:ascii="Times New Roman" w:eastAsia="Times New Roman" w:hAnsi="Times New Roman" w:cs="Times New Roman"/>
                <w:color w:val="000000"/>
                <w:sz w:val="16"/>
                <w:szCs w:val="16"/>
                <w:lang w:eastAsia="en-AU"/>
              </w:rPr>
              <w:t>Schoene</w:t>
            </w:r>
            <w:proofErr w:type="spellEnd"/>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18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7</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proofErr w:type="spellStart"/>
            <w:r w:rsidRPr="000B35DE">
              <w:rPr>
                <w:rFonts w:ascii="Times New Roman" w:eastAsia="Times New Roman" w:hAnsi="Times New Roman" w:cs="Times New Roman"/>
                <w:color w:val="000000"/>
                <w:sz w:val="16"/>
                <w:szCs w:val="16"/>
                <w:lang w:eastAsia="en-AU"/>
              </w:rPr>
              <w:t>Silveira</w:t>
            </w:r>
            <w:proofErr w:type="spellEnd"/>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36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2</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proofErr w:type="spellStart"/>
            <w:r w:rsidRPr="000B35DE">
              <w:rPr>
                <w:rFonts w:ascii="Times New Roman" w:eastAsia="Times New Roman" w:hAnsi="Times New Roman" w:cs="Times New Roman"/>
                <w:color w:val="000000"/>
                <w:sz w:val="16"/>
                <w:szCs w:val="16"/>
                <w:lang w:eastAsia="en-AU"/>
              </w:rPr>
              <w:t>Szturm</w:t>
            </w:r>
            <w:proofErr w:type="spellEnd"/>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 xml:space="preserve"> 19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7</w:t>
            </w:r>
          </w:p>
        </w:tc>
      </w:tr>
      <w:tr w:rsidR="0049162C"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proofErr w:type="spellStart"/>
            <w:r w:rsidRPr="000B35DE">
              <w:rPr>
                <w:rFonts w:ascii="Times New Roman" w:eastAsia="Times New Roman" w:hAnsi="Times New Roman" w:cs="Times New Roman"/>
                <w:color w:val="000000"/>
                <w:sz w:val="16"/>
                <w:szCs w:val="16"/>
                <w:lang w:eastAsia="en-AU"/>
              </w:rPr>
              <w:t>Toulotte</w:t>
            </w:r>
            <w:proofErr w:type="spellEnd"/>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 xml:space="preserve"> 31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5</w:t>
            </w:r>
          </w:p>
        </w:tc>
      </w:tr>
      <w:tr w:rsidR="008C2CB4" w:rsidRPr="00FF0A5E" w:rsidTr="008433C1">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49162C" w:rsidRPr="000B35DE" w:rsidRDefault="0049162C" w:rsidP="000A261C">
            <w:pPr>
              <w:spacing w:after="0"/>
              <w:rPr>
                <w:rFonts w:ascii="Times New Roman" w:eastAsia="Times New Roman" w:hAnsi="Times New Roman" w:cs="Times New Roman"/>
                <w:color w:val="000000"/>
                <w:sz w:val="16"/>
                <w:szCs w:val="16"/>
                <w:lang w:eastAsia="en-AU"/>
              </w:rPr>
            </w:pPr>
            <w:r w:rsidRPr="000B35DE">
              <w:rPr>
                <w:rFonts w:ascii="Times New Roman" w:eastAsia="Times New Roman" w:hAnsi="Times New Roman" w:cs="Times New Roman"/>
                <w:color w:val="000000"/>
                <w:sz w:val="16"/>
                <w:szCs w:val="16"/>
                <w:lang w:eastAsia="en-AU"/>
              </w:rPr>
              <w:t>Williams</w:t>
            </w:r>
            <w:r>
              <w:rPr>
                <w:rFonts w:ascii="Times New Roman" w:eastAsia="Times New Roman" w:hAnsi="Times New Roman" w:cs="Times New Roman"/>
                <w:color w:val="000000"/>
                <w:sz w:val="16"/>
                <w:szCs w:val="16"/>
                <w:lang w:eastAsia="en-AU"/>
              </w:rPr>
              <w:t xml:space="preserve"> et al</w:t>
            </w:r>
            <w:r>
              <w:rPr>
                <w:rFonts w:ascii="Times New Roman" w:eastAsia="Times New Roman" w:hAnsi="Times New Roman" w:cs="Times New Roman"/>
                <w:color w:val="000000"/>
                <w:sz w:val="16"/>
                <w:szCs w:val="16"/>
                <w:vertAlign w:val="superscript"/>
                <w:lang w:eastAsia="en-AU"/>
              </w:rPr>
              <w:t>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2C" w:rsidRPr="00FF0A5E" w:rsidRDefault="0049162C" w:rsidP="00BE48C3">
            <w:pPr>
              <w:spacing w:after="0"/>
              <w:jc w:val="center"/>
              <w:rPr>
                <w:rFonts w:ascii="Times New Roman" w:eastAsia="Times New Roman" w:hAnsi="Times New Roman" w:cs="Times New Roman"/>
                <w:color w:val="000000"/>
                <w:sz w:val="16"/>
                <w:szCs w:val="16"/>
                <w:lang w:eastAsia="en-AU"/>
              </w:rPr>
            </w:pPr>
            <w:r w:rsidRPr="00FF0A5E">
              <w:rPr>
                <w:rFonts w:ascii="Times New Roman" w:eastAsia="Times New Roman" w:hAnsi="Times New Roman" w:cs="Times New Roman"/>
                <w:color w:val="000000"/>
                <w:sz w:val="16"/>
                <w:szCs w:val="16"/>
                <w:lang w:eastAsia="en-AU"/>
              </w:rPr>
              <w:t>1</w:t>
            </w:r>
          </w:p>
        </w:tc>
      </w:tr>
      <w:bookmarkEnd w:id="0"/>
      <w:tr w:rsidR="00BE48C3" w:rsidRPr="00FF0A5E" w:rsidTr="008C2CB4">
        <w:trPr>
          <w:trHeight w:val="869"/>
        </w:trPr>
        <w:tc>
          <w:tcPr>
            <w:tcW w:w="16515" w:type="dxa"/>
            <w:gridSpan w:val="13"/>
            <w:tcBorders>
              <w:top w:val="single" w:sz="4" w:space="0" w:color="auto"/>
              <w:left w:val="single" w:sz="4" w:space="0" w:color="auto"/>
              <w:bottom w:val="single" w:sz="4" w:space="0" w:color="auto"/>
              <w:right w:val="single" w:sz="4" w:space="0" w:color="auto"/>
            </w:tcBorders>
            <w:shd w:val="clear" w:color="auto" w:fill="auto"/>
            <w:hideMark/>
          </w:tcPr>
          <w:p w:rsidR="00BE48C3" w:rsidRPr="00FF0A5E" w:rsidRDefault="00BE48C3" w:rsidP="00BE48C3">
            <w:pPr>
              <w:spacing w:after="0"/>
              <w:rPr>
                <w:rFonts w:ascii="Calibri" w:eastAsia="Times New Roman" w:hAnsi="Calibri" w:cs="Times New Roman"/>
                <w:color w:val="000000"/>
                <w:sz w:val="16"/>
                <w:szCs w:val="16"/>
                <w:lang w:eastAsia="en-AU"/>
              </w:rPr>
            </w:pPr>
            <w:r w:rsidRPr="00FF0A5E">
              <w:rPr>
                <w:rFonts w:ascii="Times New Roman" w:hAnsi="Times New Roman" w:cs="Times New Roman"/>
                <w:sz w:val="16"/>
                <w:szCs w:val="16"/>
              </w:rPr>
              <w:t xml:space="preserve">Risk assessment items: Items 1-11 reporting - 1. Eligibility criteria were specified; 2. Subjects were randomly allocated to groups; 3. Allocation was concealed; 4. The groups were similar at baseline regarding the most important prognostic indicators; 5. There was blinding of all subjects; 6. There was blinding of all therapists who administered the therapy; 7. There was blinding of all assessors who measured at least one key outcome; 8. Measures of at least one key outcome were obtained from more than 85% of the subjects initially allocated to groups; 9. All subjects for whom outcome measures were available received the treatment or control condition as allocated or, where this was not the case, data for at least one key outcome was analysed by "intention to treat"; 10. The results of between-group statistical comparisons are reported for at least one key outcome; 11. The study provides both point measures and measures of variability for at least one key outcome. Ratings: No/unclear = 0, Yes = 1. ᵃ Scores which had been rated by reviewers in PEDro website (http://www.pedro.org.au) was adopted. *As per PEDro guidelines this item is not used to calculate the total score. </w:t>
            </w:r>
            <w:proofErr w:type="spellStart"/>
            <w:proofErr w:type="gramStart"/>
            <w:r w:rsidRPr="00FF0A5E">
              <w:rPr>
                <w:rFonts w:ascii="Times New Roman" w:hAnsi="Times New Roman" w:cs="Times New Roman"/>
                <w:sz w:val="16"/>
                <w:szCs w:val="16"/>
                <w:vertAlign w:val="superscript"/>
              </w:rPr>
              <w:t>b</w:t>
            </w:r>
            <w:r w:rsidRPr="00FF0A5E">
              <w:rPr>
                <w:rFonts w:ascii="Times New Roman" w:hAnsi="Times New Roman" w:cs="Times New Roman"/>
                <w:sz w:val="16"/>
                <w:szCs w:val="16"/>
              </w:rPr>
              <w:t>Study</w:t>
            </w:r>
            <w:proofErr w:type="spellEnd"/>
            <w:proofErr w:type="gramEnd"/>
            <w:r w:rsidRPr="00FF0A5E">
              <w:rPr>
                <w:rFonts w:ascii="Times New Roman" w:hAnsi="Times New Roman" w:cs="Times New Roman"/>
                <w:sz w:val="16"/>
                <w:szCs w:val="16"/>
              </w:rPr>
              <w:t xml:space="preserve"> quality was categorized as ‘poor’ </w:t>
            </w:r>
            <w:proofErr w:type="spellStart"/>
            <w:r w:rsidRPr="00FF0A5E">
              <w:rPr>
                <w:rFonts w:ascii="Times New Roman" w:hAnsi="Times New Roman" w:cs="Times New Roman"/>
                <w:sz w:val="16"/>
                <w:szCs w:val="16"/>
              </w:rPr>
              <w:t>PEDro</w:t>
            </w:r>
            <w:proofErr w:type="spellEnd"/>
            <w:r w:rsidRPr="00FF0A5E">
              <w:rPr>
                <w:rFonts w:ascii="Times New Roman" w:hAnsi="Times New Roman" w:cs="Times New Roman"/>
                <w:sz w:val="16"/>
                <w:szCs w:val="16"/>
              </w:rPr>
              <w:t xml:space="preserve"> score of 1 to 3; ‘moderate’ </w:t>
            </w:r>
            <w:proofErr w:type="spellStart"/>
            <w:r w:rsidRPr="00FF0A5E">
              <w:rPr>
                <w:rFonts w:ascii="Times New Roman" w:hAnsi="Times New Roman" w:cs="Times New Roman"/>
                <w:sz w:val="16"/>
                <w:szCs w:val="16"/>
              </w:rPr>
              <w:t>PEDro</w:t>
            </w:r>
            <w:proofErr w:type="spellEnd"/>
            <w:r w:rsidRPr="00FF0A5E">
              <w:rPr>
                <w:rFonts w:ascii="Times New Roman" w:hAnsi="Times New Roman" w:cs="Times New Roman"/>
                <w:sz w:val="16"/>
                <w:szCs w:val="16"/>
              </w:rPr>
              <w:t xml:space="preserve"> score of 4-5; and ‘high’ </w:t>
            </w:r>
            <w:proofErr w:type="spellStart"/>
            <w:r w:rsidRPr="00FF0A5E">
              <w:rPr>
                <w:rFonts w:ascii="Times New Roman" w:hAnsi="Times New Roman" w:cs="Times New Roman"/>
                <w:sz w:val="16"/>
                <w:szCs w:val="16"/>
              </w:rPr>
              <w:t>PEDro</w:t>
            </w:r>
            <w:proofErr w:type="spellEnd"/>
            <w:r w:rsidRPr="00FF0A5E">
              <w:rPr>
                <w:rFonts w:ascii="Times New Roman" w:hAnsi="Times New Roman" w:cs="Times New Roman"/>
                <w:sz w:val="16"/>
                <w:szCs w:val="16"/>
              </w:rPr>
              <w:t xml:space="preserve"> score of 6 to 10.</w:t>
            </w:r>
          </w:p>
        </w:tc>
      </w:tr>
    </w:tbl>
    <w:p w:rsidR="006F3BCA" w:rsidRPr="00BE48C3" w:rsidRDefault="00BE48C3" w:rsidP="00BE48C3">
      <w:pPr>
        <w:autoSpaceDE w:val="0"/>
        <w:autoSpaceDN w:val="0"/>
        <w:adjustRightInd w:val="0"/>
        <w:spacing w:after="0"/>
        <w:rPr>
          <w:sz w:val="16"/>
          <w:szCs w:val="16"/>
        </w:rPr>
      </w:pPr>
      <w:proofErr w:type="gramStart"/>
      <w:r>
        <w:rPr>
          <w:rFonts w:ascii="Times New Roman" w:eastAsia="Times New Roman" w:hAnsi="Times New Roman" w:cs="Times New Roman"/>
          <w:b/>
          <w:color w:val="000000"/>
          <w:sz w:val="16"/>
          <w:szCs w:val="16"/>
          <w:lang w:eastAsia="en-AU"/>
        </w:rPr>
        <w:t xml:space="preserve">Table, </w:t>
      </w:r>
      <w:r w:rsidRPr="00914B9C">
        <w:rPr>
          <w:rFonts w:ascii="Times New Roman" w:eastAsia="Times New Roman" w:hAnsi="Times New Roman" w:cs="Times New Roman"/>
          <w:b/>
          <w:color w:val="000000"/>
          <w:sz w:val="16"/>
          <w:szCs w:val="16"/>
          <w:lang w:eastAsia="en-AU"/>
        </w:rPr>
        <w:t xml:space="preserve">Supplemental Digital Content </w:t>
      </w:r>
      <w:r>
        <w:rPr>
          <w:rFonts w:ascii="Times New Roman" w:eastAsia="Times New Roman" w:hAnsi="Times New Roman" w:cs="Times New Roman"/>
          <w:b/>
          <w:color w:val="000000"/>
          <w:sz w:val="16"/>
          <w:szCs w:val="16"/>
          <w:lang w:eastAsia="en-AU"/>
        </w:rPr>
        <w:t>1</w:t>
      </w:r>
      <w:r w:rsidRPr="00914B9C">
        <w:rPr>
          <w:rFonts w:ascii="Times New Roman" w:eastAsia="Times New Roman" w:hAnsi="Times New Roman" w:cs="Times New Roman"/>
          <w:b/>
          <w:color w:val="000000"/>
          <w:sz w:val="16"/>
          <w:szCs w:val="16"/>
          <w:lang w:eastAsia="en-AU"/>
        </w:rPr>
        <w:t>.</w:t>
      </w:r>
      <w:proofErr w:type="gramEnd"/>
      <w:r w:rsidRPr="00914B9C">
        <w:rPr>
          <w:rFonts w:ascii="Times New Roman" w:eastAsia="Times New Roman" w:hAnsi="Times New Roman" w:cs="Times New Roman"/>
          <w:b/>
          <w:color w:val="000000"/>
          <w:sz w:val="16"/>
          <w:szCs w:val="16"/>
          <w:lang w:eastAsia="en-AU"/>
        </w:rPr>
        <w:t xml:space="preserve"> </w:t>
      </w:r>
      <w:r>
        <w:rPr>
          <w:rFonts w:ascii="Times New Roman" w:eastAsia="Times New Roman" w:hAnsi="Times New Roman" w:cs="Times New Roman"/>
          <w:b/>
          <w:color w:val="000000"/>
          <w:sz w:val="16"/>
          <w:szCs w:val="16"/>
          <w:lang w:eastAsia="en-AU"/>
        </w:rPr>
        <w:t xml:space="preserve">Quality assessment of the </w:t>
      </w:r>
      <w:r w:rsidR="007E044A">
        <w:rPr>
          <w:rFonts w:ascii="Times New Roman" w:eastAsia="Times New Roman" w:hAnsi="Times New Roman" w:cs="Times New Roman"/>
          <w:b/>
          <w:color w:val="000000"/>
          <w:sz w:val="16"/>
          <w:szCs w:val="16"/>
          <w:lang w:eastAsia="en-AU"/>
        </w:rPr>
        <w:t xml:space="preserve">included </w:t>
      </w:r>
      <w:r>
        <w:rPr>
          <w:rFonts w:ascii="Times New Roman" w:eastAsia="Times New Roman" w:hAnsi="Times New Roman" w:cs="Times New Roman"/>
          <w:b/>
          <w:color w:val="000000"/>
          <w:sz w:val="16"/>
          <w:szCs w:val="16"/>
          <w:lang w:eastAsia="en-AU"/>
        </w:rPr>
        <w:t>studies</w:t>
      </w:r>
    </w:p>
    <w:sectPr w:rsidR="006F3BCA" w:rsidRPr="00BE48C3" w:rsidSect="008E0E10">
      <w:pgSz w:w="16838" w:h="11906" w:orient="landscape"/>
      <w:pgMar w:top="284" w:right="255" w:bottom="72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6B" w:rsidRDefault="0079586B" w:rsidP="00F94CE7">
      <w:pPr>
        <w:spacing w:after="0" w:line="240" w:lineRule="auto"/>
      </w:pPr>
      <w:r>
        <w:separator/>
      </w:r>
    </w:p>
  </w:endnote>
  <w:endnote w:type="continuationSeparator" w:id="0">
    <w:p w:rsidR="0079586B" w:rsidRDefault="0079586B" w:rsidP="00F9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6B" w:rsidRDefault="0079586B" w:rsidP="00F94CE7">
      <w:pPr>
        <w:spacing w:after="0" w:line="240" w:lineRule="auto"/>
      </w:pPr>
      <w:r>
        <w:separator/>
      </w:r>
    </w:p>
  </w:footnote>
  <w:footnote w:type="continuationSeparator" w:id="0">
    <w:p w:rsidR="0079586B" w:rsidRDefault="0079586B" w:rsidP="00F94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CC"/>
    <w:rsid w:val="00006640"/>
    <w:rsid w:val="000542CA"/>
    <w:rsid w:val="000D7483"/>
    <w:rsid w:val="00115772"/>
    <w:rsid w:val="001C01BF"/>
    <w:rsid w:val="001D5B46"/>
    <w:rsid w:val="001F7CCC"/>
    <w:rsid w:val="002B283F"/>
    <w:rsid w:val="002F08FB"/>
    <w:rsid w:val="003003C0"/>
    <w:rsid w:val="003A4A3F"/>
    <w:rsid w:val="003F51B9"/>
    <w:rsid w:val="00400CB8"/>
    <w:rsid w:val="0049162C"/>
    <w:rsid w:val="00563F9C"/>
    <w:rsid w:val="00591EC4"/>
    <w:rsid w:val="00596C0D"/>
    <w:rsid w:val="006101A3"/>
    <w:rsid w:val="006A0EF7"/>
    <w:rsid w:val="006D3EFB"/>
    <w:rsid w:val="006F3BCA"/>
    <w:rsid w:val="007068BA"/>
    <w:rsid w:val="0072428E"/>
    <w:rsid w:val="00734DD9"/>
    <w:rsid w:val="00736756"/>
    <w:rsid w:val="0079586B"/>
    <w:rsid w:val="007E044A"/>
    <w:rsid w:val="007E2CD1"/>
    <w:rsid w:val="008433C1"/>
    <w:rsid w:val="008C2CB4"/>
    <w:rsid w:val="008E0E10"/>
    <w:rsid w:val="009142F1"/>
    <w:rsid w:val="00916AD7"/>
    <w:rsid w:val="00962700"/>
    <w:rsid w:val="009F5937"/>
    <w:rsid w:val="00A57971"/>
    <w:rsid w:val="00A828E2"/>
    <w:rsid w:val="00B32FC2"/>
    <w:rsid w:val="00B62913"/>
    <w:rsid w:val="00B75296"/>
    <w:rsid w:val="00B85568"/>
    <w:rsid w:val="00BE48C3"/>
    <w:rsid w:val="00C02E9F"/>
    <w:rsid w:val="00C039BB"/>
    <w:rsid w:val="00CD6C72"/>
    <w:rsid w:val="00CE2CC6"/>
    <w:rsid w:val="00D37A10"/>
    <w:rsid w:val="00DB4083"/>
    <w:rsid w:val="00DD16A9"/>
    <w:rsid w:val="00DE33BA"/>
    <w:rsid w:val="00E4425D"/>
    <w:rsid w:val="00E826B8"/>
    <w:rsid w:val="00F94CE7"/>
    <w:rsid w:val="00FF0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CE7"/>
  </w:style>
  <w:style w:type="paragraph" w:styleId="Footer">
    <w:name w:val="footer"/>
    <w:basedOn w:val="Normal"/>
    <w:link w:val="FooterChar"/>
    <w:uiPriority w:val="99"/>
    <w:unhideWhenUsed/>
    <w:rsid w:val="00F9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CE7"/>
  </w:style>
  <w:style w:type="paragraph" w:styleId="BalloonText">
    <w:name w:val="Balloon Text"/>
    <w:basedOn w:val="Normal"/>
    <w:link w:val="BalloonTextChar"/>
    <w:uiPriority w:val="99"/>
    <w:semiHidden/>
    <w:unhideWhenUsed/>
    <w:rsid w:val="003A4A3F"/>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3A4A3F"/>
    <w:rPr>
      <w:rFonts w:ascii="MS UI Gothic" w:eastAsia="MS UI Gothic"/>
      <w:sz w:val="18"/>
      <w:szCs w:val="18"/>
    </w:rPr>
  </w:style>
  <w:style w:type="character" w:styleId="CommentReference">
    <w:name w:val="annotation reference"/>
    <w:basedOn w:val="DefaultParagraphFont"/>
    <w:uiPriority w:val="99"/>
    <w:semiHidden/>
    <w:unhideWhenUsed/>
    <w:rsid w:val="003A4A3F"/>
    <w:rPr>
      <w:sz w:val="16"/>
      <w:szCs w:val="16"/>
    </w:rPr>
  </w:style>
  <w:style w:type="paragraph" w:styleId="CommentText">
    <w:name w:val="annotation text"/>
    <w:basedOn w:val="Normal"/>
    <w:link w:val="CommentTextChar"/>
    <w:uiPriority w:val="99"/>
    <w:semiHidden/>
    <w:unhideWhenUsed/>
    <w:rsid w:val="003A4A3F"/>
    <w:pPr>
      <w:spacing w:line="240" w:lineRule="auto"/>
    </w:pPr>
    <w:rPr>
      <w:sz w:val="20"/>
      <w:szCs w:val="20"/>
    </w:rPr>
  </w:style>
  <w:style w:type="character" w:customStyle="1" w:styleId="CommentTextChar">
    <w:name w:val="Comment Text Char"/>
    <w:basedOn w:val="DefaultParagraphFont"/>
    <w:link w:val="CommentText"/>
    <w:uiPriority w:val="99"/>
    <w:semiHidden/>
    <w:rsid w:val="003A4A3F"/>
    <w:rPr>
      <w:sz w:val="20"/>
      <w:szCs w:val="20"/>
    </w:rPr>
  </w:style>
  <w:style w:type="paragraph" w:styleId="CommentSubject">
    <w:name w:val="annotation subject"/>
    <w:basedOn w:val="CommentText"/>
    <w:next w:val="CommentText"/>
    <w:link w:val="CommentSubjectChar"/>
    <w:uiPriority w:val="99"/>
    <w:semiHidden/>
    <w:unhideWhenUsed/>
    <w:rsid w:val="003A4A3F"/>
    <w:rPr>
      <w:b/>
      <w:bCs/>
    </w:rPr>
  </w:style>
  <w:style w:type="character" w:customStyle="1" w:styleId="CommentSubjectChar">
    <w:name w:val="Comment Subject Char"/>
    <w:basedOn w:val="CommentTextChar"/>
    <w:link w:val="CommentSubject"/>
    <w:uiPriority w:val="99"/>
    <w:semiHidden/>
    <w:rsid w:val="003A4A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CE7"/>
  </w:style>
  <w:style w:type="paragraph" w:styleId="Footer">
    <w:name w:val="footer"/>
    <w:basedOn w:val="Normal"/>
    <w:link w:val="FooterChar"/>
    <w:uiPriority w:val="99"/>
    <w:unhideWhenUsed/>
    <w:rsid w:val="00F9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CE7"/>
  </w:style>
  <w:style w:type="paragraph" w:styleId="BalloonText">
    <w:name w:val="Balloon Text"/>
    <w:basedOn w:val="Normal"/>
    <w:link w:val="BalloonTextChar"/>
    <w:uiPriority w:val="99"/>
    <w:semiHidden/>
    <w:unhideWhenUsed/>
    <w:rsid w:val="003A4A3F"/>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3A4A3F"/>
    <w:rPr>
      <w:rFonts w:ascii="MS UI Gothic" w:eastAsia="MS UI Gothic"/>
      <w:sz w:val="18"/>
      <w:szCs w:val="18"/>
    </w:rPr>
  </w:style>
  <w:style w:type="character" w:styleId="CommentReference">
    <w:name w:val="annotation reference"/>
    <w:basedOn w:val="DefaultParagraphFont"/>
    <w:uiPriority w:val="99"/>
    <w:semiHidden/>
    <w:unhideWhenUsed/>
    <w:rsid w:val="003A4A3F"/>
    <w:rPr>
      <w:sz w:val="16"/>
      <w:szCs w:val="16"/>
    </w:rPr>
  </w:style>
  <w:style w:type="paragraph" w:styleId="CommentText">
    <w:name w:val="annotation text"/>
    <w:basedOn w:val="Normal"/>
    <w:link w:val="CommentTextChar"/>
    <w:uiPriority w:val="99"/>
    <w:semiHidden/>
    <w:unhideWhenUsed/>
    <w:rsid w:val="003A4A3F"/>
    <w:pPr>
      <w:spacing w:line="240" w:lineRule="auto"/>
    </w:pPr>
    <w:rPr>
      <w:sz w:val="20"/>
      <w:szCs w:val="20"/>
    </w:rPr>
  </w:style>
  <w:style w:type="character" w:customStyle="1" w:styleId="CommentTextChar">
    <w:name w:val="Comment Text Char"/>
    <w:basedOn w:val="DefaultParagraphFont"/>
    <w:link w:val="CommentText"/>
    <w:uiPriority w:val="99"/>
    <w:semiHidden/>
    <w:rsid w:val="003A4A3F"/>
    <w:rPr>
      <w:sz w:val="20"/>
      <w:szCs w:val="20"/>
    </w:rPr>
  </w:style>
  <w:style w:type="paragraph" w:styleId="CommentSubject">
    <w:name w:val="annotation subject"/>
    <w:basedOn w:val="CommentText"/>
    <w:next w:val="CommentText"/>
    <w:link w:val="CommentSubjectChar"/>
    <w:uiPriority w:val="99"/>
    <w:semiHidden/>
    <w:unhideWhenUsed/>
    <w:rsid w:val="003A4A3F"/>
    <w:rPr>
      <w:b/>
      <w:bCs/>
    </w:rPr>
  </w:style>
  <w:style w:type="character" w:customStyle="1" w:styleId="CommentSubjectChar">
    <w:name w:val="Comment Subject Char"/>
    <w:basedOn w:val="CommentTextChar"/>
    <w:link w:val="CommentSubject"/>
    <w:uiPriority w:val="99"/>
    <w:semiHidden/>
    <w:rsid w:val="003A4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67514">
      <w:bodyDiv w:val="1"/>
      <w:marLeft w:val="0"/>
      <w:marRight w:val="0"/>
      <w:marTop w:val="0"/>
      <w:marBottom w:val="0"/>
      <w:divBdr>
        <w:top w:val="none" w:sz="0" w:space="0" w:color="auto"/>
        <w:left w:val="none" w:sz="0" w:space="0" w:color="auto"/>
        <w:bottom w:val="none" w:sz="0" w:space="0" w:color="auto"/>
        <w:right w:val="none" w:sz="0" w:space="0" w:color="auto"/>
      </w:divBdr>
    </w:div>
    <w:div w:id="1242107880">
      <w:bodyDiv w:val="1"/>
      <w:marLeft w:val="0"/>
      <w:marRight w:val="0"/>
      <w:marTop w:val="0"/>
      <w:marBottom w:val="0"/>
      <w:divBdr>
        <w:top w:val="none" w:sz="0" w:space="0" w:color="auto"/>
        <w:left w:val="none" w:sz="0" w:space="0" w:color="auto"/>
        <w:bottom w:val="none" w:sz="0" w:space="0" w:color="auto"/>
        <w:right w:val="none" w:sz="0" w:space="0" w:color="auto"/>
      </w:divBdr>
    </w:div>
    <w:div w:id="1767996958">
      <w:bodyDiv w:val="1"/>
      <w:marLeft w:val="0"/>
      <w:marRight w:val="0"/>
      <w:marTop w:val="0"/>
      <w:marBottom w:val="0"/>
      <w:divBdr>
        <w:top w:val="none" w:sz="0" w:space="0" w:color="auto"/>
        <w:left w:val="none" w:sz="0" w:space="0" w:color="auto"/>
        <w:bottom w:val="none" w:sz="0" w:space="0" w:color="auto"/>
        <w:right w:val="none" w:sz="0" w:space="0" w:color="auto"/>
      </w:divBdr>
    </w:div>
    <w:div w:id="2017800323">
      <w:bodyDiv w:val="1"/>
      <w:marLeft w:val="0"/>
      <w:marRight w:val="0"/>
      <w:marTop w:val="0"/>
      <w:marBottom w:val="0"/>
      <w:divBdr>
        <w:top w:val="none" w:sz="0" w:space="0" w:color="auto"/>
        <w:left w:val="none" w:sz="0" w:space="0" w:color="auto"/>
        <w:bottom w:val="none" w:sz="0" w:space="0" w:color="auto"/>
        <w:right w:val="none" w:sz="0" w:space="0" w:color="auto"/>
      </w:divBdr>
    </w:div>
    <w:div w:id="21451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398</Words>
  <Characters>2271</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Trinidad Valenzuela</dc:creator>
  <cp:lastModifiedBy>Trinidad Valenzuela</cp:lastModifiedBy>
  <cp:revision>10</cp:revision>
  <cp:lastPrinted>2016-02-08T03:32:00Z</cp:lastPrinted>
  <dcterms:created xsi:type="dcterms:W3CDTF">2016-06-02T06:19:00Z</dcterms:created>
  <dcterms:modified xsi:type="dcterms:W3CDTF">2016-06-02T07:20:00Z</dcterms:modified>
</cp:coreProperties>
</file>