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454AA" w14:textId="77777777" w:rsidR="005229F9" w:rsidRDefault="005229F9">
      <w:pPr>
        <w:rPr>
          <w:lang w:val="en-US"/>
        </w:rPr>
      </w:pPr>
    </w:p>
    <w:p w14:paraId="7390CC48" w14:textId="77777777" w:rsidR="005229F9" w:rsidRDefault="005229F9" w:rsidP="005229F9">
      <w:pPr>
        <w:spacing w:after="0" w:line="360" w:lineRule="auto"/>
        <w:jc w:val="center"/>
        <w:rPr>
          <w:rFonts w:ascii="Calibri" w:eastAsia="Calibri" w:hAnsi="Calibri" w:cs="Calibri"/>
          <w:b/>
          <w:color w:val="3B45D0"/>
        </w:rPr>
      </w:pPr>
      <w:r>
        <w:rPr>
          <w:rFonts w:ascii="Calibri" w:eastAsia="Calibri" w:hAnsi="Calibri" w:cs="Calibri"/>
          <w:b/>
          <w:color w:val="3B45D0"/>
        </w:rPr>
        <w:t xml:space="preserve">Supplemental Digital Content 3 </w:t>
      </w:r>
    </w:p>
    <w:p w14:paraId="14F9CDC9" w14:textId="77777777" w:rsidR="005229F9" w:rsidRDefault="005229F9" w:rsidP="005229F9">
      <w:pPr>
        <w:spacing w:after="0" w:line="360" w:lineRule="auto"/>
        <w:jc w:val="center"/>
        <w:rPr>
          <w:rFonts w:eastAsia="Calibri"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3B45D0"/>
        </w:rPr>
        <w:t xml:space="preserve">Table. </w:t>
      </w:r>
      <w:r>
        <w:rPr>
          <w:rFonts w:eastAsia="Calibri" w:cstheme="minorHAnsi"/>
          <w:b/>
          <w:color w:val="000000"/>
          <w:shd w:val="clear" w:color="auto" w:fill="FFFFFF"/>
        </w:rPr>
        <w:t xml:space="preserve"> </w:t>
      </w:r>
      <w:r w:rsidRPr="00A353E2">
        <w:rPr>
          <w:rFonts w:eastAsia="Calibri" w:cstheme="minorHAnsi"/>
          <w:b/>
          <w:color w:val="000000"/>
          <w:shd w:val="clear" w:color="auto" w:fill="FFFFFF"/>
        </w:rPr>
        <w:t>Time bound treatment protocol for</w:t>
      </w:r>
      <w:r>
        <w:rPr>
          <w:rFonts w:eastAsia="Calibri" w:cstheme="minorHAnsi"/>
          <w:b/>
          <w:color w:val="000000"/>
          <w:shd w:val="clear" w:color="auto" w:fill="FFFFFF"/>
        </w:rPr>
        <w:t xml:space="preserve"> children with severe sepsis</w:t>
      </w:r>
    </w:p>
    <w:p w14:paraId="4E585396" w14:textId="77777777" w:rsidR="005229F9" w:rsidRDefault="005229F9" w:rsidP="005229F9">
      <w:pPr>
        <w:spacing w:after="0" w:line="360" w:lineRule="auto"/>
        <w:rPr>
          <w:rFonts w:eastAsia="Calibri" w:cstheme="minorHAnsi"/>
          <w:b/>
          <w:color w:val="000000"/>
          <w:shd w:val="clear" w:color="auto" w:fill="FFFFFF"/>
        </w:rPr>
      </w:pPr>
    </w:p>
    <w:tbl>
      <w:tblPr>
        <w:tblStyle w:val="TableGrid"/>
        <w:tblW w:w="9776" w:type="dxa"/>
        <w:tblLook w:val="0200" w:firstRow="0" w:lastRow="0" w:firstColumn="0" w:lastColumn="0" w:noHBand="1" w:noVBand="0"/>
      </w:tblPr>
      <w:tblGrid>
        <w:gridCol w:w="2248"/>
        <w:gridCol w:w="2213"/>
        <w:gridCol w:w="2905"/>
        <w:gridCol w:w="2410"/>
      </w:tblGrid>
      <w:tr w:rsidR="005229F9" w:rsidRPr="00F00242" w14:paraId="57015779" w14:textId="77777777" w:rsidTr="005229F9">
        <w:trPr>
          <w:trHeight w:val="755"/>
        </w:trPr>
        <w:tc>
          <w:tcPr>
            <w:tcW w:w="2248" w:type="dxa"/>
          </w:tcPr>
          <w:p w14:paraId="2D8B8AD8" w14:textId="77777777" w:rsidR="005229F9" w:rsidRPr="00F00242" w:rsidRDefault="005229F9" w:rsidP="002A122D">
            <w:pPr>
              <w:rPr>
                <w:rFonts w:eastAsia="Calibri" w:cstheme="minorHAnsi"/>
                <w:b/>
                <w:color w:val="000000"/>
                <w:shd w:val="clear" w:color="auto" w:fill="FFFFFF"/>
              </w:rPr>
            </w:pPr>
            <w:r w:rsidRPr="00F00242">
              <w:rPr>
                <w:rFonts w:eastAsia="Calibri" w:cstheme="minorHAnsi"/>
                <w:b/>
                <w:color w:val="000000"/>
                <w:shd w:val="clear" w:color="auto" w:fill="FFFFFF"/>
              </w:rPr>
              <w:t>Action/ intervention</w:t>
            </w:r>
          </w:p>
        </w:tc>
        <w:tc>
          <w:tcPr>
            <w:tcW w:w="2213" w:type="dxa"/>
          </w:tcPr>
          <w:p w14:paraId="5D5A42C7" w14:textId="77777777" w:rsidR="005229F9" w:rsidRPr="00F00242" w:rsidRDefault="005229F9" w:rsidP="002A122D">
            <w:pPr>
              <w:rPr>
                <w:rFonts w:eastAsia="Calibri" w:cstheme="minorHAnsi"/>
                <w:b/>
                <w:color w:val="000000"/>
                <w:shd w:val="clear" w:color="auto" w:fill="FFFFFF"/>
              </w:rPr>
            </w:pPr>
            <w:r w:rsidRPr="00F00242">
              <w:rPr>
                <w:rFonts w:eastAsia="Calibri" w:cstheme="minorHAnsi"/>
                <w:b/>
                <w:color w:val="000000"/>
                <w:shd w:val="clear" w:color="auto" w:fill="FFFFFF"/>
              </w:rPr>
              <w:t>Expected time from event</w:t>
            </w:r>
          </w:p>
        </w:tc>
        <w:tc>
          <w:tcPr>
            <w:tcW w:w="2905" w:type="dxa"/>
          </w:tcPr>
          <w:p w14:paraId="6AC0C2FA" w14:textId="77777777" w:rsidR="005229F9" w:rsidRPr="00F00242" w:rsidRDefault="005229F9" w:rsidP="002A122D">
            <w:pPr>
              <w:rPr>
                <w:rFonts w:eastAsia="Calibri" w:cstheme="minorHAnsi"/>
                <w:b/>
                <w:color w:val="000000"/>
                <w:shd w:val="clear" w:color="auto" w:fill="FFFFFF"/>
              </w:rPr>
            </w:pPr>
            <w:r w:rsidRPr="00F00242">
              <w:rPr>
                <w:rFonts w:eastAsia="Calibri" w:cstheme="minorHAnsi"/>
                <w:b/>
                <w:color w:val="000000"/>
                <w:shd w:val="clear" w:color="auto" w:fill="FFFFFF"/>
              </w:rPr>
              <w:t>Details/ dosage</w:t>
            </w:r>
          </w:p>
        </w:tc>
        <w:tc>
          <w:tcPr>
            <w:tcW w:w="2410" w:type="dxa"/>
          </w:tcPr>
          <w:p w14:paraId="0004E63D" w14:textId="77777777" w:rsidR="005229F9" w:rsidRPr="00F00242" w:rsidRDefault="005229F9" w:rsidP="002A122D">
            <w:pPr>
              <w:ind w:left="360"/>
              <w:rPr>
                <w:rFonts w:eastAsia="Calibri" w:cstheme="minorHAnsi"/>
                <w:b/>
                <w:color w:val="000000"/>
                <w:shd w:val="clear" w:color="auto" w:fill="FFFFFF"/>
              </w:rPr>
            </w:pPr>
            <w:r w:rsidRPr="00F00242">
              <w:rPr>
                <w:rFonts w:eastAsia="Calibri" w:cstheme="minorHAnsi"/>
                <w:b/>
                <w:color w:val="000000"/>
                <w:shd w:val="clear" w:color="auto" w:fill="FFFFFF"/>
              </w:rPr>
              <w:t xml:space="preserve">Remarks </w:t>
            </w:r>
          </w:p>
        </w:tc>
      </w:tr>
      <w:tr w:rsidR="005229F9" w:rsidRPr="00A353E2" w14:paraId="56BB511A" w14:textId="77777777" w:rsidTr="005229F9">
        <w:trPr>
          <w:trHeight w:val="755"/>
        </w:trPr>
        <w:tc>
          <w:tcPr>
            <w:tcW w:w="2248" w:type="dxa"/>
          </w:tcPr>
          <w:p w14:paraId="6985A854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1. identify signs of severe sepsis </w:t>
            </w:r>
          </w:p>
        </w:tc>
        <w:tc>
          <w:tcPr>
            <w:tcW w:w="2213" w:type="dxa"/>
          </w:tcPr>
          <w:p w14:paraId="47979161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10 minutes of arrival at pediatric casualty</w:t>
            </w:r>
          </w:p>
        </w:tc>
        <w:tc>
          <w:tcPr>
            <w:tcW w:w="2905" w:type="dxa"/>
          </w:tcPr>
          <w:p w14:paraId="1CB1218A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Sepsis induced tissue hypoperfusion  or organ dysfunction (acute lung injury, acute kidney injury, coagulopathy, increased bilirubin and/or thrombocytopenia)</w:t>
            </w:r>
          </w:p>
        </w:tc>
        <w:tc>
          <w:tcPr>
            <w:tcW w:w="2410" w:type="dxa"/>
          </w:tcPr>
          <w:p w14:paraId="526062CE" w14:textId="77777777" w:rsidR="005229F9" w:rsidRPr="00A353E2" w:rsidRDefault="005229F9" w:rsidP="002A122D">
            <w:pPr>
              <w:ind w:left="360"/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 </w:t>
            </w:r>
          </w:p>
        </w:tc>
      </w:tr>
      <w:tr w:rsidR="005229F9" w:rsidRPr="00A353E2" w14:paraId="67B10E21" w14:textId="77777777" w:rsidTr="005229F9">
        <w:trPr>
          <w:trHeight w:val="755"/>
        </w:trPr>
        <w:tc>
          <w:tcPr>
            <w:tcW w:w="2248" w:type="dxa"/>
          </w:tcPr>
          <w:p w14:paraId="6B232B3C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2. Vascular access</w:t>
            </w:r>
          </w:p>
        </w:tc>
        <w:tc>
          <w:tcPr>
            <w:tcW w:w="2213" w:type="dxa"/>
          </w:tcPr>
          <w:p w14:paraId="3F3E8001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5-10 minutes of identi</w:t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>fi</w:t>
            </w: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cation of severe sepsis</w:t>
            </w:r>
          </w:p>
        </w:tc>
        <w:tc>
          <w:tcPr>
            <w:tcW w:w="2905" w:type="dxa"/>
          </w:tcPr>
          <w:p w14:paraId="5BC16CB8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If no access after 5 min then intraosseous access </w:t>
            </w:r>
          </w:p>
        </w:tc>
        <w:tc>
          <w:tcPr>
            <w:tcW w:w="2410" w:type="dxa"/>
          </w:tcPr>
          <w:p w14:paraId="2674BE30" w14:textId="77777777" w:rsidR="005229F9" w:rsidRPr="00A353E2" w:rsidRDefault="005229F9" w:rsidP="002A122D">
            <w:pPr>
              <w:ind w:left="360"/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 </w:t>
            </w:r>
          </w:p>
        </w:tc>
      </w:tr>
      <w:tr w:rsidR="005229F9" w:rsidRPr="00A353E2" w14:paraId="49741DAA" w14:textId="77777777" w:rsidTr="005229F9">
        <w:trPr>
          <w:trHeight w:val="823"/>
        </w:trPr>
        <w:tc>
          <w:tcPr>
            <w:tcW w:w="2248" w:type="dxa"/>
          </w:tcPr>
          <w:p w14:paraId="0E77E7E6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3. Administration of first fluid bolus if hypotensive or hypoperfused</w:t>
            </w:r>
          </w:p>
        </w:tc>
        <w:tc>
          <w:tcPr>
            <w:tcW w:w="2213" w:type="dxa"/>
          </w:tcPr>
          <w:p w14:paraId="29082937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Within 10 minutes of establishing vascular access</w:t>
            </w:r>
          </w:p>
        </w:tc>
        <w:tc>
          <w:tcPr>
            <w:tcW w:w="2905" w:type="dxa"/>
          </w:tcPr>
          <w:p w14:paraId="3921E179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20 ml/kg over 20 minutes  upto 3 boluses over 15-20 minutes</w:t>
            </w:r>
          </w:p>
        </w:tc>
        <w:tc>
          <w:tcPr>
            <w:tcW w:w="2410" w:type="dxa"/>
          </w:tcPr>
          <w:p w14:paraId="63D3A52A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10 ml/kg for cardiac conditions,</w:t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 </w:t>
            </w: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BMT patients</w:t>
            </w:r>
          </w:p>
        </w:tc>
      </w:tr>
      <w:tr w:rsidR="005229F9" w:rsidRPr="00A353E2" w14:paraId="65096BBA" w14:textId="77777777" w:rsidTr="005229F9">
        <w:trPr>
          <w:trHeight w:val="1935"/>
        </w:trPr>
        <w:tc>
          <w:tcPr>
            <w:tcW w:w="2248" w:type="dxa"/>
          </w:tcPr>
          <w:p w14:paraId="06A2E1B2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4. Antibiotics </w:t>
            </w:r>
          </w:p>
        </w:tc>
        <w:tc>
          <w:tcPr>
            <w:tcW w:w="2213" w:type="dxa"/>
          </w:tcPr>
          <w:p w14:paraId="31B92276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Within 1 hour of identification of severe sepsis </w:t>
            </w:r>
          </w:p>
        </w:tc>
        <w:tc>
          <w:tcPr>
            <w:tcW w:w="2905" w:type="dxa"/>
          </w:tcPr>
          <w:p w14:paraId="266BD692" w14:textId="77777777" w:rsidR="005229F9" w:rsidRPr="00A353E2" w:rsidRDefault="005229F9" w:rsidP="005229F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High risk cases</w:t>
            </w:r>
          </w:p>
          <w:p w14:paraId="12136061" w14:textId="7079C7B5" w:rsidR="005229F9" w:rsidRPr="00A353E2" w:rsidRDefault="005229F9" w:rsidP="005229F9">
            <w:pPr>
              <w:ind w:left="386"/>
              <w:rPr>
                <w:rFonts w:eastAsia="Calibri" w:cstheme="minorHAnsi"/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Piperacillin Tazobactum and aminoglycoside or vancomycin depending on the suspected agent</w:t>
            </w:r>
          </w:p>
          <w:p w14:paraId="0C652BB4" w14:textId="77777777" w:rsidR="005229F9" w:rsidRPr="00A353E2" w:rsidRDefault="005229F9" w:rsidP="005229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360" w:hanging="360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Low risk</w:t>
            </w:r>
          </w:p>
          <w:p w14:paraId="204A504A" w14:textId="77777777" w:rsidR="005229F9" w:rsidRPr="00A353E2" w:rsidRDefault="005229F9" w:rsidP="005229F9">
            <w:pPr>
              <w:ind w:left="386"/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Ceftriaxone and vancomycin</w:t>
            </w:r>
          </w:p>
        </w:tc>
        <w:tc>
          <w:tcPr>
            <w:tcW w:w="2410" w:type="dxa"/>
          </w:tcPr>
          <w:p w14:paraId="5DF6EDB0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Can give antibiotics one after the other or at the same time; ceftriaxone to be given over 3 min then vancomycin</w:t>
            </w:r>
          </w:p>
        </w:tc>
      </w:tr>
      <w:tr w:rsidR="005229F9" w:rsidRPr="00A353E2" w14:paraId="4C5EC11D" w14:textId="77777777" w:rsidTr="005229F9">
        <w:trPr>
          <w:trHeight w:val="1803"/>
        </w:trPr>
        <w:tc>
          <w:tcPr>
            <w:tcW w:w="2248" w:type="dxa"/>
          </w:tcPr>
          <w:p w14:paraId="3576A2E6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5. Vasoactive agents in case hypoperfusion/ hypotension persists despite 40-60 ml/kg of fluid boluses in the first hour</w:t>
            </w:r>
          </w:p>
        </w:tc>
        <w:tc>
          <w:tcPr>
            <w:tcW w:w="2213" w:type="dxa"/>
          </w:tcPr>
          <w:p w14:paraId="235433B6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Warm shock: dopamine or nor epinephrine; cold shock: dopamine or epinephrine </w:t>
            </w:r>
          </w:p>
        </w:tc>
        <w:tc>
          <w:tcPr>
            <w:tcW w:w="2905" w:type="dxa"/>
          </w:tcPr>
          <w:p w14:paraId="7050A501" w14:textId="77777777" w:rsidR="005229F9" w:rsidRPr="00A353E2" w:rsidRDefault="005229F9" w:rsidP="002A122D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Start after completion of third bolus. </w:t>
            </w:r>
          </w:p>
          <w:p w14:paraId="60D71A09" w14:textId="77777777" w:rsidR="005229F9" w:rsidRPr="00A353E2" w:rsidRDefault="005229F9" w:rsidP="005229F9">
            <w:pPr>
              <w:numPr>
                <w:ilvl w:val="0"/>
                <w:numId w:val="3"/>
              </w:numPr>
              <w:tabs>
                <w:tab w:val="left" w:pos="386"/>
              </w:tabs>
              <w:spacing w:after="0" w:line="240" w:lineRule="auto"/>
              <w:ind w:left="386" w:hanging="360"/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 xml:space="preserve">If there are features of fluid overload (rales, hepatomegaly) stop bolus administration and start vasoactive agents </w:t>
            </w:r>
          </w:p>
        </w:tc>
        <w:tc>
          <w:tcPr>
            <w:tcW w:w="2410" w:type="dxa"/>
          </w:tcPr>
          <w:p w14:paraId="370EC315" w14:textId="77777777" w:rsidR="005229F9" w:rsidRPr="00A353E2" w:rsidRDefault="005229F9" w:rsidP="002A122D">
            <w:pPr>
              <w:rPr>
                <w:rFonts w:eastAsia="Calibri" w:cstheme="minorHAnsi"/>
              </w:rPr>
            </w:pPr>
            <w:r w:rsidRPr="00A353E2">
              <w:rPr>
                <w:rFonts w:eastAsia="Calibri" w:cstheme="minorHAnsi"/>
                <w:color w:val="000000"/>
                <w:shd w:val="clear" w:color="auto" w:fill="FFFFFF"/>
              </w:rPr>
              <w:t> </w:t>
            </w:r>
          </w:p>
        </w:tc>
      </w:tr>
    </w:tbl>
    <w:p w14:paraId="6A23501F" w14:textId="77777777" w:rsidR="005229F9" w:rsidRPr="005229F9" w:rsidRDefault="005229F9">
      <w:pPr>
        <w:rPr>
          <w:lang w:val="en-US"/>
        </w:rPr>
      </w:pPr>
    </w:p>
    <w:sectPr w:rsidR="005229F9" w:rsidRPr="005229F9" w:rsidSect="005225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7565"/>
    <w:multiLevelType w:val="multilevel"/>
    <w:tmpl w:val="E41A5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627A4"/>
    <w:multiLevelType w:val="multilevel"/>
    <w:tmpl w:val="D952A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8807DF"/>
    <w:multiLevelType w:val="multilevel"/>
    <w:tmpl w:val="3170F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F9"/>
    <w:rsid w:val="0052250F"/>
    <w:rsid w:val="005229F9"/>
    <w:rsid w:val="00835173"/>
    <w:rsid w:val="00C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37D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F9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F9"/>
    <w:rPr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Macintosh Word</Application>
  <DocSecurity>0</DocSecurity>
  <Lines>10</Lines>
  <Paragraphs>2</Paragraphs>
  <ScaleCrop>false</ScaleCrop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Jhuma</dc:creator>
  <cp:keywords/>
  <dc:description/>
  <cp:lastModifiedBy>Jhuma</cp:lastModifiedBy>
  <cp:revision>2</cp:revision>
  <dcterms:created xsi:type="dcterms:W3CDTF">2017-10-18T08:46:00Z</dcterms:created>
  <dcterms:modified xsi:type="dcterms:W3CDTF">2017-10-18T08:48:00Z</dcterms:modified>
</cp:coreProperties>
</file>