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45" w:rsidRPr="00B4274D" w:rsidRDefault="00C35945" w:rsidP="00C35945">
      <w:pPr>
        <w:spacing w:after="200"/>
        <w:rPr>
          <w:rFonts w:ascii="Times New Roman" w:eastAsia="Calibri" w:hAnsi="Times New Roman"/>
        </w:rPr>
      </w:pPr>
      <w:r w:rsidRPr="00B4274D">
        <w:rPr>
          <w:rFonts w:ascii="Times New Roman" w:eastAsia="Calibri" w:hAnsi="Times New Roman"/>
          <w:b/>
        </w:rPr>
        <w:t xml:space="preserve">Online Supplement </w:t>
      </w:r>
      <w:r>
        <w:rPr>
          <w:rFonts w:ascii="Times New Roman" w:eastAsia="Calibri" w:hAnsi="Times New Roman"/>
          <w:b/>
        </w:rPr>
        <w:t>B</w:t>
      </w:r>
      <w:r w:rsidR="00710FF4">
        <w:rPr>
          <w:rFonts w:ascii="Times New Roman" w:eastAsia="Calibri" w:hAnsi="Times New Roman"/>
          <w:b/>
        </w:rPr>
        <w:t>:</w:t>
      </w:r>
      <w:bookmarkStart w:id="0" w:name="_GoBack"/>
      <w:bookmarkEnd w:id="0"/>
      <w:r w:rsidRPr="00B4274D">
        <w:rPr>
          <w:rFonts w:ascii="Times New Roman" w:eastAsia="Calibri" w:hAnsi="Times New Roman"/>
          <w:b/>
        </w:rPr>
        <w:t xml:space="preserve"> </w:t>
      </w:r>
      <w:r w:rsidRPr="00B4274D">
        <w:rPr>
          <w:b/>
        </w:rPr>
        <w:t xml:space="preserve">Non-RCT </w:t>
      </w:r>
      <w:r w:rsidR="0084796D">
        <w:rPr>
          <w:b/>
        </w:rPr>
        <w:t>s</w:t>
      </w:r>
      <w:r w:rsidRPr="00B4274D">
        <w:rPr>
          <w:b/>
        </w:rPr>
        <w:t xml:space="preserve">tudy </w:t>
      </w:r>
      <w:r w:rsidR="0084796D">
        <w:rPr>
          <w:b/>
        </w:rPr>
        <w:t>d</w:t>
      </w:r>
      <w:r w:rsidRPr="00B4274D">
        <w:rPr>
          <w:b/>
        </w:rPr>
        <w:t xml:space="preserve">esigns </w:t>
      </w:r>
      <w:r w:rsidR="0084796D">
        <w:rPr>
          <w:b/>
        </w:rPr>
        <w:t>m</w:t>
      </w:r>
      <w:r w:rsidRPr="00B4274D">
        <w:rPr>
          <w:b/>
        </w:rPr>
        <w:t xml:space="preserve">eeting </w:t>
      </w:r>
      <w:r w:rsidR="0084796D">
        <w:rPr>
          <w:b/>
        </w:rPr>
        <w:t>e</w:t>
      </w:r>
      <w:r w:rsidRPr="00B4274D">
        <w:rPr>
          <w:b/>
        </w:rPr>
        <w:t xml:space="preserve">ligibility </w:t>
      </w:r>
      <w:r w:rsidR="0084796D">
        <w:rPr>
          <w:b/>
        </w:rPr>
        <w:t>c</w:t>
      </w:r>
      <w:r w:rsidRPr="00B4274D">
        <w:rPr>
          <w:b/>
        </w:rPr>
        <w:t>riteria</w:t>
      </w:r>
    </w:p>
    <w:tbl>
      <w:tblPr>
        <w:tblW w:w="13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2340"/>
        <w:gridCol w:w="2520"/>
        <w:gridCol w:w="2160"/>
        <w:gridCol w:w="3960"/>
      </w:tblGrid>
      <w:tr w:rsidR="00C35945" w:rsidRPr="00B4274D" w:rsidTr="005B3497">
        <w:tc>
          <w:tcPr>
            <w:tcW w:w="1350" w:type="dxa"/>
            <w:shd w:val="clear" w:color="auto" w:fill="204C82"/>
          </w:tcPr>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Reference</w:t>
            </w:r>
          </w:p>
        </w:tc>
        <w:tc>
          <w:tcPr>
            <w:tcW w:w="1620" w:type="dxa"/>
            <w:shd w:val="clear" w:color="auto" w:fill="204C82"/>
          </w:tcPr>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Population Description</w:t>
            </w:r>
          </w:p>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 of participants)</w:t>
            </w:r>
          </w:p>
        </w:tc>
        <w:tc>
          <w:tcPr>
            <w:tcW w:w="2340" w:type="dxa"/>
            <w:shd w:val="clear" w:color="auto" w:fill="204C82"/>
          </w:tcPr>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Intervention</w:t>
            </w:r>
          </w:p>
        </w:tc>
        <w:tc>
          <w:tcPr>
            <w:tcW w:w="2520" w:type="dxa"/>
            <w:shd w:val="clear" w:color="auto" w:fill="204C82"/>
          </w:tcPr>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Outcomes</w:t>
            </w:r>
          </w:p>
        </w:tc>
        <w:tc>
          <w:tcPr>
            <w:tcW w:w="2160" w:type="dxa"/>
            <w:shd w:val="clear" w:color="auto" w:fill="204C82"/>
          </w:tcPr>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Adverse Events</w:t>
            </w:r>
          </w:p>
        </w:tc>
        <w:tc>
          <w:tcPr>
            <w:tcW w:w="3960" w:type="dxa"/>
            <w:shd w:val="clear" w:color="auto" w:fill="204C82"/>
          </w:tcPr>
          <w:p w:rsidR="00C35945" w:rsidRPr="00B4274D" w:rsidRDefault="00C35945" w:rsidP="005B3497">
            <w:pPr>
              <w:spacing w:after="200"/>
              <w:contextualSpacing/>
              <w:jc w:val="center"/>
              <w:rPr>
                <w:rFonts w:eastAsiaTheme="minorHAnsi" w:cstheme="minorBidi"/>
                <w:b/>
                <w:color w:val="FFFFFF" w:themeColor="background1"/>
              </w:rPr>
            </w:pPr>
            <w:r w:rsidRPr="00B4274D">
              <w:rPr>
                <w:rFonts w:eastAsiaTheme="minorHAnsi" w:cstheme="minorBidi"/>
                <w:b/>
                <w:color w:val="FFFFFF" w:themeColor="background1"/>
              </w:rPr>
              <w:t>Results</w:t>
            </w:r>
          </w:p>
        </w:tc>
      </w:tr>
      <w:tr w:rsidR="00C35945" w:rsidRPr="00B4274D" w:rsidTr="005B3497">
        <w:tc>
          <w:tcPr>
            <w:tcW w:w="13950" w:type="dxa"/>
            <w:gridSpan w:val="6"/>
            <w:shd w:val="clear" w:color="auto" w:fill="87B0E1"/>
          </w:tcPr>
          <w:p w:rsidR="00C35945" w:rsidRPr="00B4274D" w:rsidRDefault="00C35945" w:rsidP="005B3497">
            <w:pPr>
              <w:jc w:val="center"/>
              <w:rPr>
                <w:b/>
                <w:color w:val="000000"/>
              </w:rPr>
            </w:pPr>
            <w:r w:rsidRPr="00B4274D">
              <w:rPr>
                <w:b/>
                <w:color w:val="000000"/>
              </w:rPr>
              <w:t>Pre-post Longitudinal Studies</w:t>
            </w:r>
          </w:p>
        </w:tc>
      </w:tr>
      <w:tr w:rsidR="00C35945" w:rsidRPr="00B4274D" w:rsidTr="005B3497">
        <w:tc>
          <w:tcPr>
            <w:tcW w:w="1350" w:type="dxa"/>
            <w:shd w:val="clear" w:color="auto" w:fill="auto"/>
          </w:tcPr>
          <w:p w:rsidR="00C35945" w:rsidRPr="00B4274D" w:rsidRDefault="00C35945" w:rsidP="005B3497">
            <w:pPr>
              <w:rPr>
                <w:color w:val="000000"/>
              </w:rPr>
            </w:pPr>
            <w:r w:rsidRPr="00B4274D">
              <w:rPr>
                <w:color w:val="000000"/>
              </w:rPr>
              <w:t>Churchill, 2013</w:t>
            </w:r>
            <w:r w:rsidRPr="005531B8">
              <w:rPr>
                <w:noProof/>
                <w:color w:val="000000"/>
                <w:vertAlign w:val="superscript"/>
              </w:rPr>
              <w:t>37</w:t>
            </w:r>
          </w:p>
        </w:tc>
        <w:tc>
          <w:tcPr>
            <w:tcW w:w="1620" w:type="dxa"/>
            <w:shd w:val="clear" w:color="auto" w:fill="auto"/>
          </w:tcPr>
          <w:p w:rsidR="00C35945" w:rsidRPr="00B4274D" w:rsidRDefault="00C35945" w:rsidP="005B3497">
            <w:pPr>
              <w:rPr>
                <w:color w:val="000000"/>
              </w:rPr>
            </w:pPr>
            <w:r w:rsidRPr="00B4274D">
              <w:rPr>
                <w:color w:val="000000"/>
              </w:rPr>
              <w:t>Stroke; Anoxia; Trauma (63)</w:t>
            </w:r>
          </w:p>
        </w:tc>
        <w:tc>
          <w:tcPr>
            <w:tcW w:w="2340" w:type="dxa"/>
            <w:shd w:val="clear" w:color="auto" w:fill="auto"/>
          </w:tcPr>
          <w:p w:rsidR="00C35945" w:rsidRPr="00B4274D" w:rsidRDefault="00C35945" w:rsidP="005B3497">
            <w:pPr>
              <w:rPr>
                <w:color w:val="000000"/>
              </w:rPr>
            </w:pPr>
            <w:r w:rsidRPr="00B4274D">
              <w:rPr>
                <w:color w:val="000000"/>
              </w:rPr>
              <w:t>HBO2: 60 sessions of 100% O2 at 1.5 ATM for 60 minutes</w:t>
            </w:r>
          </w:p>
        </w:tc>
        <w:tc>
          <w:tcPr>
            <w:tcW w:w="2520" w:type="dxa"/>
            <w:shd w:val="clear" w:color="auto" w:fill="auto"/>
          </w:tcPr>
          <w:p w:rsidR="00C35945" w:rsidRPr="00B4274D" w:rsidRDefault="00C35945" w:rsidP="005B3497">
            <w:pPr>
              <w:rPr>
                <w:color w:val="000000"/>
              </w:rPr>
            </w:pPr>
            <w:r w:rsidRPr="00B4274D">
              <w:rPr>
                <w:color w:val="000000"/>
              </w:rPr>
              <w:t>Neuropsychological measures, questionnaires, neurologic exams, physical functioning measures</w:t>
            </w:r>
          </w:p>
        </w:tc>
        <w:tc>
          <w:tcPr>
            <w:tcW w:w="2160" w:type="dxa"/>
          </w:tcPr>
          <w:p w:rsidR="00C35945" w:rsidRPr="00B4274D" w:rsidRDefault="00C35945" w:rsidP="005B3497">
            <w:pPr>
              <w:rPr>
                <w:color w:val="000000"/>
              </w:rPr>
            </w:pPr>
            <w:r w:rsidRPr="00B4274D">
              <w:rPr>
                <w:color w:val="000000"/>
              </w:rPr>
              <w:t>Myopia (n=3); middle-ear barotrauma (n=3); otitis externa (n=1); fatigue/nausea (n=1).</w:t>
            </w:r>
          </w:p>
        </w:tc>
        <w:tc>
          <w:tcPr>
            <w:tcW w:w="3960" w:type="dxa"/>
            <w:shd w:val="clear" w:color="auto" w:fill="auto"/>
          </w:tcPr>
          <w:p w:rsidR="00C35945" w:rsidRPr="00B4274D" w:rsidRDefault="00C35945" w:rsidP="005B3497">
            <w:pPr>
              <w:rPr>
                <w:color w:val="000000"/>
              </w:rPr>
            </w:pPr>
            <w:r w:rsidRPr="00B4274D">
              <w:rPr>
                <w:color w:val="000000"/>
              </w:rPr>
              <w:t xml:space="preserve">While participants reported improvements in symptoms, such as memory and balance/ coordination, no standardized testing showed clinically important improvement.  There were also improvements in a small subset of participants undergoing neuroimaging, such as auditory functional MRI and magnetic resonance spectroscopy (MRS), but the clinical relevance of </w:t>
            </w:r>
            <w:r w:rsidRPr="00B4274D">
              <w:rPr>
                <w:color w:val="000000"/>
              </w:rPr>
              <w:lastRenderedPageBreak/>
              <w:t xml:space="preserve">neuroimaging changes is unclear.  </w:t>
            </w:r>
          </w:p>
        </w:tc>
      </w:tr>
      <w:tr w:rsidR="00C35945" w:rsidRPr="00B4274D" w:rsidTr="005B3497">
        <w:tc>
          <w:tcPr>
            <w:tcW w:w="1350" w:type="dxa"/>
            <w:shd w:val="clear" w:color="auto" w:fill="auto"/>
          </w:tcPr>
          <w:p w:rsidR="00C35945" w:rsidRPr="00B4274D" w:rsidRDefault="00C35945" w:rsidP="005B3497">
            <w:pPr>
              <w:rPr>
                <w:color w:val="000000"/>
              </w:rPr>
            </w:pPr>
            <w:r w:rsidRPr="00B4274D">
              <w:rPr>
                <w:color w:val="000000"/>
              </w:rPr>
              <w:lastRenderedPageBreak/>
              <w:t>Gossett, 2010</w:t>
            </w:r>
            <w:r w:rsidRPr="005531B8">
              <w:rPr>
                <w:noProof/>
                <w:color w:val="000000"/>
                <w:vertAlign w:val="superscript"/>
              </w:rPr>
              <w:t>39</w:t>
            </w:r>
          </w:p>
        </w:tc>
        <w:tc>
          <w:tcPr>
            <w:tcW w:w="1620" w:type="dxa"/>
            <w:shd w:val="clear" w:color="auto" w:fill="auto"/>
          </w:tcPr>
          <w:p w:rsidR="00C35945" w:rsidRPr="00B4274D" w:rsidRDefault="00C35945" w:rsidP="005B3497">
            <w:pPr>
              <w:rPr>
                <w:color w:val="000000"/>
              </w:rPr>
            </w:pPr>
            <w:r w:rsidRPr="00B4274D">
              <w:rPr>
                <w:color w:val="000000"/>
              </w:rPr>
              <w:t>Severe TBI (27)</w:t>
            </w:r>
          </w:p>
        </w:tc>
        <w:tc>
          <w:tcPr>
            <w:tcW w:w="2340" w:type="dxa"/>
            <w:shd w:val="clear" w:color="auto" w:fill="auto"/>
          </w:tcPr>
          <w:p w:rsidR="00C35945" w:rsidRPr="00B4274D" w:rsidRDefault="00C35945" w:rsidP="005B3497">
            <w:pPr>
              <w:rPr>
                <w:color w:val="000000"/>
              </w:rPr>
            </w:pPr>
            <w:r w:rsidRPr="00B4274D">
              <w:rPr>
                <w:color w:val="000000"/>
              </w:rPr>
              <w:t xml:space="preserve">HBO2: 75 sessions at 1.5 ATM within a </w:t>
            </w:r>
            <w:proofErr w:type="spellStart"/>
            <w:r w:rsidRPr="00B4274D">
              <w:rPr>
                <w:color w:val="000000"/>
              </w:rPr>
              <w:t>monoplace</w:t>
            </w:r>
            <w:proofErr w:type="spellEnd"/>
            <w:r w:rsidRPr="00B4274D">
              <w:rPr>
                <w:color w:val="000000"/>
              </w:rPr>
              <w:t xml:space="preserve"> chamber</w:t>
            </w:r>
          </w:p>
        </w:tc>
        <w:tc>
          <w:tcPr>
            <w:tcW w:w="2520" w:type="dxa"/>
            <w:shd w:val="clear" w:color="auto" w:fill="auto"/>
          </w:tcPr>
          <w:p w:rsidR="00C35945" w:rsidRPr="00B4274D" w:rsidRDefault="00C35945" w:rsidP="005B3497">
            <w:pPr>
              <w:rPr>
                <w:color w:val="000000"/>
              </w:rPr>
            </w:pPr>
            <w:r w:rsidRPr="00B4274D">
              <w:rPr>
                <w:color w:val="000000"/>
              </w:rPr>
              <w:t xml:space="preserve">Cardiovascular and </w:t>
            </w:r>
            <w:proofErr w:type="spellStart"/>
            <w:r w:rsidRPr="00B4274D">
              <w:rPr>
                <w:color w:val="000000"/>
              </w:rPr>
              <w:t>ventilatory</w:t>
            </w:r>
            <w:proofErr w:type="spellEnd"/>
            <w:r w:rsidRPr="00B4274D">
              <w:rPr>
                <w:color w:val="000000"/>
              </w:rPr>
              <w:t xml:space="preserve"> parameters, intracranial pressure, brain tissue oxygen levels, brain temperature, and cerebral </w:t>
            </w:r>
            <w:proofErr w:type="spellStart"/>
            <w:r w:rsidRPr="00B4274D">
              <w:rPr>
                <w:color w:val="000000"/>
              </w:rPr>
              <w:t>microdialysis</w:t>
            </w:r>
            <w:proofErr w:type="spellEnd"/>
          </w:p>
        </w:tc>
        <w:tc>
          <w:tcPr>
            <w:tcW w:w="2160" w:type="dxa"/>
          </w:tcPr>
          <w:p w:rsidR="00C35945" w:rsidRPr="00B4274D" w:rsidRDefault="00C35945" w:rsidP="005B3497">
            <w:pPr>
              <w:rPr>
                <w:color w:val="000000"/>
              </w:rPr>
            </w:pPr>
            <w:r w:rsidRPr="00B4274D">
              <w:t>Significant drop in PbtO</w:t>
            </w:r>
            <w:r w:rsidRPr="00B4274D">
              <w:rPr>
                <w:vertAlign w:val="subscript"/>
              </w:rPr>
              <w:t xml:space="preserve">2 </w:t>
            </w:r>
            <w:r w:rsidRPr="00B4274D">
              <w:t>accompanied by an increased swelling in the neck (n=1); increased p</w:t>
            </w:r>
            <w:r w:rsidRPr="00B4274D">
              <w:rPr>
                <w:bCs/>
                <w:color w:val="1C1C1C"/>
                <w:lang w:eastAsia="ja-JP"/>
              </w:rPr>
              <w:t>eak inspiratory pressure</w:t>
            </w:r>
            <w:r w:rsidRPr="00B4274D">
              <w:rPr>
                <w:color w:val="000000"/>
              </w:rPr>
              <w:t xml:space="preserve"> due</w:t>
            </w:r>
            <w:r w:rsidRPr="00B4274D">
              <w:t xml:space="preserve"> to pre-existing basilar pleural disease</w:t>
            </w:r>
            <w:r w:rsidRPr="00B4274D">
              <w:rPr>
                <w:color w:val="000000"/>
              </w:rPr>
              <w:t xml:space="preserve"> (n=1).</w:t>
            </w:r>
          </w:p>
        </w:tc>
        <w:tc>
          <w:tcPr>
            <w:tcW w:w="3960" w:type="dxa"/>
            <w:shd w:val="clear" w:color="auto" w:fill="auto"/>
          </w:tcPr>
          <w:p w:rsidR="00C35945" w:rsidRPr="00B4274D" w:rsidRDefault="00C35945" w:rsidP="005B3497">
            <w:pPr>
              <w:rPr>
                <w:color w:val="000000"/>
              </w:rPr>
            </w:pPr>
            <w:r w:rsidRPr="00B4274D">
              <w:rPr>
                <w:color w:val="000000"/>
              </w:rPr>
              <w:t>Focus of paper was on logistics of administering HBO2 sessions. No clinical results reported.</w:t>
            </w:r>
          </w:p>
        </w:tc>
      </w:tr>
      <w:tr w:rsidR="00C35945" w:rsidRPr="00B4274D" w:rsidTr="005B3497">
        <w:tc>
          <w:tcPr>
            <w:tcW w:w="1350" w:type="dxa"/>
            <w:shd w:val="clear" w:color="auto" w:fill="auto"/>
          </w:tcPr>
          <w:p w:rsidR="00C35945" w:rsidRPr="00B4274D" w:rsidRDefault="00C35945" w:rsidP="005B3497">
            <w:pPr>
              <w:rPr>
                <w:color w:val="000000"/>
              </w:rPr>
            </w:pPr>
            <w:proofErr w:type="spellStart"/>
            <w:r w:rsidRPr="00B4274D">
              <w:rPr>
                <w:color w:val="000000"/>
              </w:rPr>
              <w:t>Harch</w:t>
            </w:r>
            <w:proofErr w:type="spellEnd"/>
            <w:r w:rsidRPr="00B4274D">
              <w:rPr>
                <w:color w:val="000000"/>
              </w:rPr>
              <w:t>, 2012</w:t>
            </w:r>
            <w:r w:rsidRPr="005531B8">
              <w:rPr>
                <w:noProof/>
                <w:color w:val="000000"/>
                <w:vertAlign w:val="superscript"/>
              </w:rPr>
              <w:t>40</w:t>
            </w:r>
          </w:p>
        </w:tc>
        <w:tc>
          <w:tcPr>
            <w:tcW w:w="1620" w:type="dxa"/>
            <w:shd w:val="clear" w:color="auto" w:fill="auto"/>
          </w:tcPr>
          <w:p w:rsidR="00C35945" w:rsidRPr="00B4274D" w:rsidRDefault="00C35945" w:rsidP="005B3497">
            <w:pPr>
              <w:rPr>
                <w:color w:val="000000"/>
              </w:rPr>
            </w:pPr>
            <w:r w:rsidRPr="00B4274D">
              <w:rPr>
                <w:color w:val="000000"/>
              </w:rPr>
              <w:t xml:space="preserve">Mild to moderate TBI / Post-concussion Syndrome (PCS) / Post-traumatic </w:t>
            </w:r>
            <w:r w:rsidRPr="00B4274D">
              <w:rPr>
                <w:color w:val="000000"/>
              </w:rPr>
              <w:lastRenderedPageBreak/>
              <w:t>Stress Disorder (PTSD) (16)</w:t>
            </w:r>
          </w:p>
        </w:tc>
        <w:tc>
          <w:tcPr>
            <w:tcW w:w="2340" w:type="dxa"/>
            <w:shd w:val="clear" w:color="auto" w:fill="auto"/>
          </w:tcPr>
          <w:p w:rsidR="00C35945" w:rsidRPr="00B4274D" w:rsidRDefault="00C35945" w:rsidP="005B3497">
            <w:pPr>
              <w:rPr>
                <w:color w:val="000000"/>
              </w:rPr>
            </w:pPr>
            <w:r w:rsidRPr="00B4274D">
              <w:rPr>
                <w:color w:val="000000"/>
              </w:rPr>
              <w:lastRenderedPageBreak/>
              <w:t>HBO2: 40 sessions of 1.5 ATA</w:t>
            </w:r>
          </w:p>
        </w:tc>
        <w:tc>
          <w:tcPr>
            <w:tcW w:w="2520" w:type="dxa"/>
            <w:shd w:val="clear" w:color="auto" w:fill="auto"/>
          </w:tcPr>
          <w:p w:rsidR="00C35945" w:rsidRPr="00B4274D" w:rsidRDefault="00C35945" w:rsidP="005B3497">
            <w:pPr>
              <w:rPr>
                <w:color w:val="000000"/>
              </w:rPr>
            </w:pPr>
            <w:r w:rsidRPr="00B4274D">
              <w:rPr>
                <w:color w:val="000000"/>
              </w:rPr>
              <w:t>Changes in PCS and PTSD symptoms, physical and neurological exams, SPECT, quality of life measures, and neuropsychological and psychological testing</w:t>
            </w:r>
          </w:p>
        </w:tc>
        <w:tc>
          <w:tcPr>
            <w:tcW w:w="2160" w:type="dxa"/>
          </w:tcPr>
          <w:p w:rsidR="00C35945" w:rsidRPr="00B4274D" w:rsidRDefault="00C35945" w:rsidP="005B3497">
            <w:pPr>
              <w:rPr>
                <w:color w:val="000000"/>
              </w:rPr>
            </w:pPr>
            <w:r w:rsidRPr="00B4274D">
              <w:rPr>
                <w:color w:val="000000"/>
              </w:rPr>
              <w:t>Reversible middle ear barotrauma (n=5); transient deterioration in symptoms (n=4); reversible bronchospasm (n=1)</w:t>
            </w:r>
          </w:p>
        </w:tc>
        <w:tc>
          <w:tcPr>
            <w:tcW w:w="3960" w:type="dxa"/>
            <w:shd w:val="clear" w:color="auto" w:fill="auto"/>
          </w:tcPr>
          <w:p w:rsidR="00C35945" w:rsidRPr="00B4274D" w:rsidRDefault="00C35945" w:rsidP="005B3497">
            <w:pPr>
              <w:rPr>
                <w:color w:val="000000"/>
              </w:rPr>
            </w:pPr>
            <w:r w:rsidRPr="00B4274D">
              <w:rPr>
                <w:color w:val="000000"/>
              </w:rPr>
              <w:t xml:space="preserve">There were significant improvements in these outcome measures at post-treatment testing.  </w:t>
            </w:r>
          </w:p>
        </w:tc>
      </w:tr>
      <w:tr w:rsidR="00C35945" w:rsidRPr="00B4274D" w:rsidTr="005B3497">
        <w:tc>
          <w:tcPr>
            <w:tcW w:w="1350" w:type="dxa"/>
            <w:shd w:val="clear" w:color="auto" w:fill="auto"/>
          </w:tcPr>
          <w:p w:rsidR="00C35945" w:rsidRPr="00B4274D" w:rsidRDefault="00C35945" w:rsidP="007F30C3">
            <w:pPr>
              <w:rPr>
                <w:color w:val="000000"/>
              </w:rPr>
            </w:pPr>
            <w:r w:rsidRPr="00B4274D">
              <w:rPr>
                <w:color w:val="000000"/>
              </w:rPr>
              <w:lastRenderedPageBreak/>
              <w:t>Hayakawa, 1971</w:t>
            </w:r>
            <w:r w:rsidR="007F30C3">
              <w:rPr>
                <w:noProof/>
                <w:color w:val="000000"/>
                <w:vertAlign w:val="superscript"/>
              </w:rPr>
              <w:t>42</w:t>
            </w:r>
          </w:p>
        </w:tc>
        <w:tc>
          <w:tcPr>
            <w:tcW w:w="1620" w:type="dxa"/>
            <w:shd w:val="clear" w:color="auto" w:fill="auto"/>
          </w:tcPr>
          <w:p w:rsidR="00C35945" w:rsidRPr="00B4274D" w:rsidRDefault="00C35945" w:rsidP="005B3497">
            <w:pPr>
              <w:rPr>
                <w:color w:val="000000"/>
              </w:rPr>
            </w:pPr>
            <w:r w:rsidRPr="00B4274D">
              <w:rPr>
                <w:color w:val="000000"/>
              </w:rPr>
              <w:t>Acute cerebral damage (13)</w:t>
            </w:r>
          </w:p>
        </w:tc>
        <w:tc>
          <w:tcPr>
            <w:tcW w:w="2340" w:type="dxa"/>
            <w:shd w:val="clear" w:color="auto" w:fill="auto"/>
          </w:tcPr>
          <w:p w:rsidR="00C35945" w:rsidRPr="00B4274D" w:rsidRDefault="00C35945" w:rsidP="005B3497">
            <w:pPr>
              <w:rPr>
                <w:color w:val="000000"/>
              </w:rPr>
            </w:pPr>
            <w:r w:rsidRPr="00B4274D">
              <w:rPr>
                <w:color w:val="000000"/>
              </w:rPr>
              <w:t>HBO2</w:t>
            </w:r>
          </w:p>
        </w:tc>
        <w:tc>
          <w:tcPr>
            <w:tcW w:w="2520" w:type="dxa"/>
            <w:shd w:val="clear" w:color="auto" w:fill="auto"/>
          </w:tcPr>
          <w:p w:rsidR="00C35945" w:rsidRPr="00B4274D" w:rsidRDefault="00C35945" w:rsidP="005B3497">
            <w:pPr>
              <w:rPr>
                <w:color w:val="000000"/>
              </w:rPr>
            </w:pPr>
            <w:r w:rsidRPr="00B4274D">
              <w:rPr>
                <w:color w:val="000000"/>
              </w:rPr>
              <w:t>Cerebrospinal fluid pressure (CSFP), carotid blood flow, arterial blood pressure, central venous pressure and superior sagittal sinus pressure</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Three patterns for CSFP and HBO2 emerged: 9 cases CSFP decreased at the beginning and rose again at the end of HBO2; 2 cases CSFP fell with HBO2 and remained significantly lower than pretreatment level; and 2 cases CSFP showed little change with HBO2.  </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t>Holbach</w:t>
            </w:r>
            <w:proofErr w:type="spellEnd"/>
            <w:r w:rsidRPr="00B4274D">
              <w:rPr>
                <w:color w:val="000000"/>
              </w:rPr>
              <w:t>, 1970</w:t>
            </w:r>
            <w:r w:rsidR="007F30C3">
              <w:rPr>
                <w:noProof/>
                <w:color w:val="000000"/>
                <w:vertAlign w:val="superscript"/>
              </w:rPr>
              <w:t>43</w:t>
            </w:r>
          </w:p>
        </w:tc>
        <w:tc>
          <w:tcPr>
            <w:tcW w:w="1620" w:type="dxa"/>
            <w:shd w:val="clear" w:color="auto" w:fill="auto"/>
          </w:tcPr>
          <w:p w:rsidR="00C35945" w:rsidRPr="00B4274D" w:rsidRDefault="00C35945" w:rsidP="005B3497">
            <w:pPr>
              <w:rPr>
                <w:color w:val="000000"/>
              </w:rPr>
            </w:pPr>
            <w:r w:rsidRPr="00B4274D">
              <w:rPr>
                <w:color w:val="000000"/>
              </w:rPr>
              <w:t>Severe head injuries; cerebrovascular disease (44)</w:t>
            </w:r>
          </w:p>
        </w:tc>
        <w:tc>
          <w:tcPr>
            <w:tcW w:w="2340" w:type="dxa"/>
            <w:shd w:val="clear" w:color="auto" w:fill="auto"/>
          </w:tcPr>
          <w:p w:rsidR="00C35945" w:rsidRPr="00B4274D" w:rsidRDefault="00C35945" w:rsidP="005B3497">
            <w:pPr>
              <w:rPr>
                <w:color w:val="000000"/>
              </w:rPr>
            </w:pPr>
            <w:r w:rsidRPr="00B4274D">
              <w:rPr>
                <w:color w:val="000000"/>
              </w:rPr>
              <w:t>HBO2: Between 2 and 3 ATA for 30-60 minutes</w:t>
            </w:r>
          </w:p>
        </w:tc>
        <w:tc>
          <w:tcPr>
            <w:tcW w:w="2520" w:type="dxa"/>
            <w:shd w:val="clear" w:color="auto" w:fill="auto"/>
          </w:tcPr>
          <w:p w:rsidR="00C35945" w:rsidRPr="00B4274D" w:rsidRDefault="00C35945" w:rsidP="005B3497">
            <w:pPr>
              <w:rPr>
                <w:color w:val="000000"/>
              </w:rPr>
            </w:pPr>
            <w:r w:rsidRPr="00B4274D">
              <w:rPr>
                <w:color w:val="000000"/>
              </w:rPr>
              <w:t>Blood gases, pH, lactate</w:t>
            </w:r>
            <w:r w:rsidRPr="00B4274D">
              <w:rPr>
                <w:color w:val="000000"/>
              </w:rPr>
              <w:br/>
              <w:t xml:space="preserve">pyruvate concentration, electrocardiogram, and </w:t>
            </w:r>
            <w:r w:rsidRPr="00B4274D">
              <w:rPr>
                <w:color w:val="1A1A1A"/>
                <w:lang w:eastAsia="ja-JP"/>
              </w:rPr>
              <w:t>electroencephalography</w:t>
            </w:r>
            <w:r w:rsidRPr="00B4274D">
              <w:rPr>
                <w:color w:val="000000"/>
              </w:rPr>
              <w:t>.</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While there was an increase in aPO</w:t>
            </w:r>
            <w:r w:rsidRPr="00B4274D">
              <w:rPr>
                <w:color w:val="000000"/>
                <w:vertAlign w:val="subscript"/>
              </w:rPr>
              <w:t>2</w:t>
            </w:r>
            <w:r w:rsidRPr="00B4274D">
              <w:rPr>
                <w:color w:val="000000"/>
              </w:rPr>
              <w:t>, the levels of PCO</w:t>
            </w:r>
            <w:r w:rsidRPr="00B4274D">
              <w:rPr>
                <w:color w:val="000000"/>
                <w:vertAlign w:val="subscript"/>
              </w:rPr>
              <w:t>2</w:t>
            </w:r>
            <w:r w:rsidRPr="00B4274D">
              <w:rPr>
                <w:color w:val="000000"/>
              </w:rPr>
              <w:t xml:space="preserve"> and pH remained within normal limits.  There was also a decrease in lactate and pyruvate concentrations as well as varying degrees of cerebral vasoconstriction under hyperbaric oxygen exposure.  </w:t>
            </w:r>
          </w:p>
        </w:tc>
      </w:tr>
      <w:tr w:rsidR="00C35945" w:rsidRPr="00B4274D" w:rsidTr="005B3497">
        <w:trPr>
          <w:trHeight w:val="260"/>
        </w:trPr>
        <w:tc>
          <w:tcPr>
            <w:tcW w:w="1350" w:type="dxa"/>
            <w:shd w:val="clear" w:color="auto" w:fill="auto"/>
          </w:tcPr>
          <w:p w:rsidR="00C35945" w:rsidRPr="00B4274D" w:rsidRDefault="00C35945" w:rsidP="007F30C3">
            <w:pPr>
              <w:rPr>
                <w:color w:val="000000"/>
              </w:rPr>
            </w:pPr>
            <w:proofErr w:type="spellStart"/>
            <w:r w:rsidRPr="00B4274D">
              <w:rPr>
                <w:color w:val="000000"/>
              </w:rPr>
              <w:t>Holbach</w:t>
            </w:r>
            <w:proofErr w:type="spellEnd"/>
            <w:r w:rsidRPr="00B4274D">
              <w:rPr>
                <w:color w:val="000000"/>
              </w:rPr>
              <w:t xml:space="preserve">, </w:t>
            </w:r>
            <w:r w:rsidRPr="00B4274D">
              <w:rPr>
                <w:color w:val="000000"/>
              </w:rPr>
              <w:lastRenderedPageBreak/>
              <w:t>1972</w:t>
            </w:r>
            <w:r w:rsidR="007F30C3">
              <w:rPr>
                <w:noProof/>
                <w:color w:val="000000"/>
                <w:vertAlign w:val="superscript"/>
              </w:rPr>
              <w:t>44</w:t>
            </w:r>
          </w:p>
        </w:tc>
        <w:tc>
          <w:tcPr>
            <w:tcW w:w="1620" w:type="dxa"/>
            <w:shd w:val="clear" w:color="auto" w:fill="auto"/>
          </w:tcPr>
          <w:p w:rsidR="00C35945" w:rsidRPr="00B4274D" w:rsidRDefault="00C35945" w:rsidP="005B3497">
            <w:pPr>
              <w:rPr>
                <w:color w:val="000000"/>
              </w:rPr>
            </w:pPr>
            <w:r w:rsidRPr="00B4274D">
              <w:rPr>
                <w:color w:val="000000"/>
              </w:rPr>
              <w:lastRenderedPageBreak/>
              <w:t xml:space="preserve">Marked </w:t>
            </w:r>
            <w:r w:rsidRPr="00B4274D">
              <w:rPr>
                <w:color w:val="000000"/>
              </w:rPr>
              <w:lastRenderedPageBreak/>
              <w:t>cerebral injuries (10)</w:t>
            </w:r>
          </w:p>
        </w:tc>
        <w:tc>
          <w:tcPr>
            <w:tcW w:w="2340" w:type="dxa"/>
            <w:shd w:val="clear" w:color="auto" w:fill="auto"/>
          </w:tcPr>
          <w:p w:rsidR="00C35945" w:rsidRPr="00B4274D" w:rsidRDefault="00C35945" w:rsidP="005B3497">
            <w:pPr>
              <w:rPr>
                <w:color w:val="000000"/>
              </w:rPr>
            </w:pPr>
            <w:r w:rsidRPr="00B4274D">
              <w:rPr>
                <w:color w:val="000000"/>
              </w:rPr>
              <w:lastRenderedPageBreak/>
              <w:t xml:space="preserve">HBO2: Between 1 and </w:t>
            </w:r>
            <w:r w:rsidRPr="00B4274D">
              <w:rPr>
                <w:color w:val="000000"/>
              </w:rPr>
              <w:lastRenderedPageBreak/>
              <w:t>3 ATA</w:t>
            </w:r>
          </w:p>
        </w:tc>
        <w:tc>
          <w:tcPr>
            <w:tcW w:w="2520" w:type="dxa"/>
            <w:shd w:val="clear" w:color="auto" w:fill="auto"/>
          </w:tcPr>
          <w:p w:rsidR="00C35945" w:rsidRPr="00B4274D" w:rsidRDefault="00C35945" w:rsidP="005B3497">
            <w:pPr>
              <w:rPr>
                <w:color w:val="000000"/>
              </w:rPr>
            </w:pPr>
            <w:r w:rsidRPr="00B4274D">
              <w:rPr>
                <w:color w:val="000000"/>
              </w:rPr>
              <w:lastRenderedPageBreak/>
              <w:t xml:space="preserve">Cerebral glucose </w:t>
            </w:r>
            <w:r w:rsidRPr="00B4274D">
              <w:rPr>
                <w:color w:val="000000"/>
              </w:rPr>
              <w:lastRenderedPageBreak/>
              <w:t>metabolism</w:t>
            </w:r>
            <w:proofErr w:type="gramStart"/>
            <w:r w:rsidRPr="00B4274D">
              <w:rPr>
                <w:color w:val="000000"/>
              </w:rPr>
              <w:t>,</w:t>
            </w:r>
            <w:proofErr w:type="gramEnd"/>
            <w:r w:rsidRPr="00B4274D">
              <w:rPr>
                <w:color w:val="000000"/>
              </w:rPr>
              <w:br/>
              <w:t xml:space="preserve">concentrations of glucose, lactate and pyruvate. </w:t>
            </w:r>
            <w:r w:rsidRPr="00B4274D">
              <w:rPr>
                <w:color w:val="000000"/>
              </w:rPr>
              <w:br/>
            </w:r>
            <w:proofErr w:type="spellStart"/>
            <w:r w:rsidRPr="00B4274D">
              <w:rPr>
                <w:color w:val="000000"/>
              </w:rPr>
              <w:t>arterio</w:t>
            </w:r>
            <w:proofErr w:type="spellEnd"/>
            <w:r w:rsidRPr="00B4274D">
              <w:rPr>
                <w:color w:val="000000"/>
              </w:rPr>
              <w:t>-cerebral venous difference, and glucose oxidation quotients (GOQ)</w:t>
            </w:r>
          </w:p>
        </w:tc>
        <w:tc>
          <w:tcPr>
            <w:tcW w:w="2160" w:type="dxa"/>
          </w:tcPr>
          <w:p w:rsidR="00C35945" w:rsidRPr="00B4274D" w:rsidRDefault="00C35945" w:rsidP="005B3497">
            <w:pPr>
              <w:rPr>
                <w:color w:val="000000"/>
              </w:rPr>
            </w:pPr>
            <w:r w:rsidRPr="00B4274D">
              <w:rPr>
                <w:color w:val="000000"/>
              </w:rPr>
              <w:lastRenderedPageBreak/>
              <w:t>ND</w:t>
            </w:r>
          </w:p>
        </w:tc>
        <w:tc>
          <w:tcPr>
            <w:tcW w:w="3960" w:type="dxa"/>
            <w:shd w:val="clear" w:color="auto" w:fill="auto"/>
          </w:tcPr>
          <w:p w:rsidR="00C35945" w:rsidRPr="00B4274D" w:rsidRDefault="00C35945" w:rsidP="005B3497">
            <w:pPr>
              <w:rPr>
                <w:color w:val="000000"/>
              </w:rPr>
            </w:pPr>
            <w:r w:rsidRPr="00B4274D">
              <w:rPr>
                <w:color w:val="000000"/>
              </w:rPr>
              <w:t xml:space="preserve">At 1.5 ATA, there was a well-balanced </w:t>
            </w:r>
            <w:r w:rsidRPr="00B4274D">
              <w:rPr>
                <w:color w:val="000000"/>
              </w:rPr>
              <w:lastRenderedPageBreak/>
              <w:t xml:space="preserve">cerebral glucose metabolism, as indicated by normal GOQ level, but at 2.0 ATA, there was an excessively increased amount of glucose in comparison to significantly decreased O2 uptake.  </w:t>
            </w:r>
          </w:p>
        </w:tc>
      </w:tr>
      <w:tr w:rsidR="00C35945" w:rsidRPr="00B4274D" w:rsidTr="005B3497">
        <w:tc>
          <w:tcPr>
            <w:tcW w:w="1350" w:type="dxa"/>
            <w:shd w:val="clear" w:color="auto" w:fill="auto"/>
          </w:tcPr>
          <w:p w:rsidR="00C35945" w:rsidRPr="00B4274D" w:rsidRDefault="00C35945" w:rsidP="005B3497">
            <w:pPr>
              <w:rPr>
                <w:color w:val="000000"/>
              </w:rPr>
            </w:pPr>
            <w:proofErr w:type="spellStart"/>
            <w:r w:rsidRPr="00B4274D">
              <w:rPr>
                <w:color w:val="000000"/>
              </w:rPr>
              <w:lastRenderedPageBreak/>
              <w:t>Mogami</w:t>
            </w:r>
            <w:proofErr w:type="spellEnd"/>
            <w:r w:rsidRPr="00B4274D">
              <w:rPr>
                <w:color w:val="000000"/>
              </w:rPr>
              <w:t>, 1969</w:t>
            </w:r>
            <w:r w:rsidRPr="005531B8">
              <w:rPr>
                <w:noProof/>
                <w:color w:val="000000"/>
                <w:vertAlign w:val="superscript"/>
              </w:rPr>
              <w:t>41</w:t>
            </w:r>
          </w:p>
        </w:tc>
        <w:tc>
          <w:tcPr>
            <w:tcW w:w="1620" w:type="dxa"/>
            <w:shd w:val="clear" w:color="auto" w:fill="auto"/>
          </w:tcPr>
          <w:p w:rsidR="00C35945" w:rsidRPr="00B4274D" w:rsidRDefault="00C35945" w:rsidP="005B3497">
            <w:pPr>
              <w:rPr>
                <w:color w:val="000000"/>
              </w:rPr>
            </w:pPr>
            <w:r w:rsidRPr="00B4274D">
              <w:rPr>
                <w:color w:val="000000"/>
              </w:rPr>
              <w:t>Severe acute cerebral damage (66)</w:t>
            </w:r>
          </w:p>
        </w:tc>
        <w:tc>
          <w:tcPr>
            <w:tcW w:w="2340" w:type="dxa"/>
            <w:shd w:val="clear" w:color="auto" w:fill="auto"/>
          </w:tcPr>
          <w:p w:rsidR="00C35945" w:rsidRPr="00B4274D" w:rsidRDefault="00C35945" w:rsidP="005B3497">
            <w:pPr>
              <w:rPr>
                <w:color w:val="000000"/>
              </w:rPr>
            </w:pPr>
            <w:r w:rsidRPr="00B4274D">
              <w:rPr>
                <w:color w:val="000000"/>
              </w:rPr>
              <w:t>HBO2: 1-2 daily sessions at 2.0 ATA for 60 minutes, plus 6 sessions of 3ATA for 30minutes</w:t>
            </w:r>
          </w:p>
        </w:tc>
        <w:tc>
          <w:tcPr>
            <w:tcW w:w="2520" w:type="dxa"/>
            <w:shd w:val="clear" w:color="auto" w:fill="auto"/>
          </w:tcPr>
          <w:p w:rsidR="00C35945" w:rsidRPr="00B4274D" w:rsidRDefault="00C35945" w:rsidP="005B3497">
            <w:pPr>
              <w:rPr>
                <w:color w:val="000000"/>
              </w:rPr>
            </w:pPr>
            <w:r w:rsidRPr="00B4274D">
              <w:rPr>
                <w:color w:val="1A1A1A"/>
                <w:lang w:eastAsia="ja-JP"/>
              </w:rPr>
              <w:t>Electroencephalography (EEG)</w:t>
            </w:r>
            <w:r w:rsidRPr="00B4274D">
              <w:rPr>
                <w:color w:val="000000"/>
              </w:rPr>
              <w:t>, Cerebrospinal fluid pressure (CSFP), and lactate and pyruvate levels.</w:t>
            </w:r>
          </w:p>
        </w:tc>
        <w:tc>
          <w:tcPr>
            <w:tcW w:w="2160" w:type="dxa"/>
          </w:tcPr>
          <w:p w:rsidR="00C35945" w:rsidRPr="00B4274D" w:rsidRDefault="00C35945" w:rsidP="005B3497">
            <w:pPr>
              <w:rPr>
                <w:color w:val="000000"/>
              </w:rPr>
            </w:pPr>
            <w:r w:rsidRPr="00B4274D">
              <w:rPr>
                <w:color w:val="000000"/>
              </w:rPr>
              <w:t xml:space="preserve">Worsening after sessions including one death soon after the end of the treatment (n=4), slightly increased convulsive seizures during HBO2 when carbon dioxide-mixed </w:t>
            </w:r>
            <w:r w:rsidRPr="00B4274D">
              <w:rPr>
                <w:color w:val="000000"/>
              </w:rPr>
              <w:lastRenderedPageBreak/>
              <w:t>gas inhalations (98% O</w:t>
            </w:r>
            <w:r w:rsidRPr="00B4274D">
              <w:rPr>
                <w:color w:val="000000"/>
                <w:vertAlign w:val="subscript"/>
              </w:rPr>
              <w:t>2</w:t>
            </w:r>
            <w:r w:rsidRPr="00B4274D">
              <w:rPr>
                <w:color w:val="000000"/>
              </w:rPr>
              <w:t>, 2% CO</w:t>
            </w:r>
            <w:r w:rsidRPr="00B4274D">
              <w:rPr>
                <w:color w:val="000000"/>
                <w:vertAlign w:val="subscript"/>
              </w:rPr>
              <w:t>2</w:t>
            </w:r>
            <w:r w:rsidRPr="00B4274D">
              <w:rPr>
                <w:color w:val="000000"/>
              </w:rPr>
              <w:t>) (n=1)</w:t>
            </w:r>
          </w:p>
        </w:tc>
        <w:tc>
          <w:tcPr>
            <w:tcW w:w="3960" w:type="dxa"/>
            <w:shd w:val="clear" w:color="auto" w:fill="auto"/>
          </w:tcPr>
          <w:p w:rsidR="00C35945" w:rsidRPr="00B4274D" w:rsidRDefault="00C35945" w:rsidP="005B3497">
            <w:pPr>
              <w:rPr>
                <w:color w:val="000000"/>
              </w:rPr>
            </w:pPr>
            <w:r w:rsidRPr="00B4274D">
              <w:rPr>
                <w:color w:val="000000"/>
              </w:rPr>
              <w:lastRenderedPageBreak/>
              <w:t xml:space="preserve">After treatment, neurological improvements were observed in half of the patients, and reduction of EEG abnormalities was noted in one-third of the patients. While there were individual variations in the change of CSFP, the pressure generally decreased at the beginning of the treatment, was maintained at a low level during the </w:t>
            </w:r>
            <w:r w:rsidRPr="00B4274D">
              <w:rPr>
                <w:color w:val="000000"/>
              </w:rPr>
              <w:lastRenderedPageBreak/>
              <w:t xml:space="preserve">treatment, and rebounded at the end of the treatment. HBO2 was also associated with a slight decrease in the lactate pyruvate ratio in the cerebrospinal fluid.  </w:t>
            </w:r>
          </w:p>
        </w:tc>
      </w:tr>
      <w:tr w:rsidR="00C35945" w:rsidRPr="00B4274D" w:rsidTr="005B3497">
        <w:tc>
          <w:tcPr>
            <w:tcW w:w="1350" w:type="dxa"/>
            <w:shd w:val="clear" w:color="auto" w:fill="auto"/>
          </w:tcPr>
          <w:p w:rsidR="00C35945" w:rsidRPr="00B4274D" w:rsidRDefault="00C35945" w:rsidP="007F30C3">
            <w:pPr>
              <w:rPr>
                <w:color w:val="000000"/>
              </w:rPr>
            </w:pPr>
            <w:r w:rsidRPr="00B4274D">
              <w:rPr>
                <w:color w:val="000000"/>
              </w:rPr>
              <w:lastRenderedPageBreak/>
              <w:t>Nakamura, 2008</w:t>
            </w:r>
            <w:r w:rsidR="007F30C3">
              <w:rPr>
                <w:noProof/>
                <w:color w:val="000000"/>
                <w:vertAlign w:val="superscript"/>
              </w:rPr>
              <w:t>45</w:t>
            </w:r>
          </w:p>
        </w:tc>
        <w:tc>
          <w:tcPr>
            <w:tcW w:w="1620" w:type="dxa"/>
            <w:shd w:val="clear" w:color="auto" w:fill="auto"/>
          </w:tcPr>
          <w:p w:rsidR="00C35945" w:rsidRPr="00B4274D" w:rsidRDefault="00C35945" w:rsidP="005B3497">
            <w:pPr>
              <w:rPr>
                <w:color w:val="000000"/>
              </w:rPr>
            </w:pPr>
            <w:r w:rsidRPr="00B4274D">
              <w:rPr>
                <w:color w:val="000000"/>
              </w:rPr>
              <w:t>Disturbances in consciousness after head injury in the sub-acute phase (7)</w:t>
            </w:r>
          </w:p>
        </w:tc>
        <w:tc>
          <w:tcPr>
            <w:tcW w:w="2340" w:type="dxa"/>
            <w:shd w:val="clear" w:color="auto" w:fill="auto"/>
          </w:tcPr>
          <w:p w:rsidR="00C35945" w:rsidRPr="00B4274D" w:rsidRDefault="00C35945" w:rsidP="005B3497">
            <w:pPr>
              <w:rPr>
                <w:color w:val="000000"/>
              </w:rPr>
            </w:pPr>
            <w:r w:rsidRPr="00B4274D">
              <w:rPr>
                <w:color w:val="000000"/>
              </w:rPr>
              <w:t>HBO2: 5 daily sessions of 100% O2 at 2.7 ATA for 60 minutes</w:t>
            </w:r>
          </w:p>
        </w:tc>
        <w:tc>
          <w:tcPr>
            <w:tcW w:w="2520" w:type="dxa"/>
            <w:shd w:val="clear" w:color="auto" w:fill="auto"/>
          </w:tcPr>
          <w:p w:rsidR="00C35945" w:rsidRPr="00B4274D" w:rsidRDefault="00C35945" w:rsidP="005B3497">
            <w:pPr>
              <w:rPr>
                <w:color w:val="000000"/>
              </w:rPr>
            </w:pPr>
            <w:r w:rsidRPr="00B4274D">
              <w:rPr>
                <w:color w:val="000000"/>
              </w:rPr>
              <w:t>Cerebral circulation by mean flow velocity (</w:t>
            </w:r>
            <w:proofErr w:type="spellStart"/>
            <w:r w:rsidRPr="00B4274D">
              <w:rPr>
                <w:color w:val="000000"/>
              </w:rPr>
              <w:t>mFV</w:t>
            </w:r>
            <w:proofErr w:type="spellEnd"/>
            <w:r w:rsidRPr="00B4274D">
              <w:rPr>
                <w:color w:val="000000"/>
              </w:rPr>
              <w:t xml:space="preserve">), </w:t>
            </w:r>
            <w:proofErr w:type="spellStart"/>
            <w:r w:rsidRPr="00B4274D">
              <w:rPr>
                <w:color w:val="000000"/>
              </w:rPr>
              <w:t>pulsatility</w:t>
            </w:r>
            <w:proofErr w:type="spellEnd"/>
            <w:r w:rsidRPr="00B4274D">
              <w:rPr>
                <w:color w:val="000000"/>
              </w:rPr>
              <w:t xml:space="preserve"> index at horizontal portion of middle cerebral artery by transcranial Doppler (PI), </w:t>
            </w:r>
            <w:r w:rsidRPr="00B4274D">
              <w:rPr>
                <w:color w:val="000000"/>
              </w:rPr>
              <w:br/>
              <w:t xml:space="preserve">cerebral metabolism by </w:t>
            </w:r>
            <w:proofErr w:type="spellStart"/>
            <w:r w:rsidRPr="00B4274D">
              <w:rPr>
                <w:color w:val="000000"/>
              </w:rPr>
              <w:t>arterio</w:t>
            </w:r>
            <w:proofErr w:type="spellEnd"/>
            <w:r w:rsidRPr="00B4274D">
              <w:rPr>
                <w:color w:val="000000"/>
              </w:rPr>
              <w:t>-jugular venous difference of oxygen (AJDO2) and jugular venous lactate (lac-JV).</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While both PI and lac-JV were significantly decreased after HBO2 treatment, there were no significant changes in </w:t>
            </w:r>
            <w:proofErr w:type="spellStart"/>
            <w:r w:rsidRPr="00B4274D">
              <w:rPr>
                <w:color w:val="000000"/>
              </w:rPr>
              <w:t>mFV</w:t>
            </w:r>
            <w:proofErr w:type="spellEnd"/>
            <w:r w:rsidRPr="00B4274D">
              <w:rPr>
                <w:color w:val="000000"/>
              </w:rPr>
              <w:t xml:space="preserve"> and AJDO2.  </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t>Rockswold</w:t>
            </w:r>
            <w:proofErr w:type="spellEnd"/>
            <w:r w:rsidRPr="00B4274D">
              <w:rPr>
                <w:color w:val="000000"/>
              </w:rPr>
              <w:t>, 2001</w:t>
            </w:r>
            <w:r w:rsidR="007F30C3">
              <w:rPr>
                <w:noProof/>
                <w:color w:val="000000"/>
                <w:vertAlign w:val="superscript"/>
              </w:rPr>
              <w:t>46</w:t>
            </w:r>
          </w:p>
        </w:tc>
        <w:tc>
          <w:tcPr>
            <w:tcW w:w="1620" w:type="dxa"/>
            <w:shd w:val="clear" w:color="auto" w:fill="auto"/>
          </w:tcPr>
          <w:p w:rsidR="00C35945" w:rsidRPr="00B4274D" w:rsidRDefault="00C35945" w:rsidP="005B3497">
            <w:pPr>
              <w:rPr>
                <w:color w:val="000000"/>
              </w:rPr>
            </w:pPr>
            <w:r w:rsidRPr="00B4274D">
              <w:t xml:space="preserve">Severely brain injured </w:t>
            </w:r>
            <w:r w:rsidRPr="00B4274D">
              <w:lastRenderedPageBreak/>
              <w:t>patients (37)</w:t>
            </w:r>
          </w:p>
        </w:tc>
        <w:tc>
          <w:tcPr>
            <w:tcW w:w="2340" w:type="dxa"/>
            <w:shd w:val="clear" w:color="auto" w:fill="auto"/>
          </w:tcPr>
          <w:p w:rsidR="00C35945" w:rsidRPr="00B4274D" w:rsidRDefault="00C35945" w:rsidP="005B3497">
            <w:pPr>
              <w:rPr>
                <w:color w:val="000000"/>
              </w:rPr>
            </w:pPr>
            <w:r w:rsidRPr="00B4274D">
              <w:rPr>
                <w:color w:val="000000"/>
              </w:rPr>
              <w:lastRenderedPageBreak/>
              <w:t xml:space="preserve">HBO2: 7 or fewer sessions of 100% O2 at </w:t>
            </w:r>
            <w:r w:rsidRPr="00B4274D">
              <w:rPr>
                <w:color w:val="000000"/>
              </w:rPr>
              <w:lastRenderedPageBreak/>
              <w:t>1.5 ATA for 60 minutes</w:t>
            </w:r>
          </w:p>
        </w:tc>
        <w:tc>
          <w:tcPr>
            <w:tcW w:w="2520" w:type="dxa"/>
            <w:shd w:val="clear" w:color="auto" w:fill="auto"/>
          </w:tcPr>
          <w:p w:rsidR="00C35945" w:rsidRPr="00B4274D" w:rsidRDefault="00C35945" w:rsidP="005B3497">
            <w:pPr>
              <w:rPr>
                <w:color w:val="000000"/>
              </w:rPr>
            </w:pPr>
            <w:r w:rsidRPr="00B4274D">
              <w:rPr>
                <w:color w:val="000000"/>
              </w:rPr>
              <w:lastRenderedPageBreak/>
              <w:t>Cerebral blood flow (CBF)</w:t>
            </w:r>
            <w:proofErr w:type="gramStart"/>
            <w:r w:rsidRPr="00B4274D">
              <w:rPr>
                <w:color w:val="000000"/>
              </w:rPr>
              <w:t>,</w:t>
            </w:r>
            <w:proofErr w:type="gramEnd"/>
            <w:r w:rsidRPr="00B4274D">
              <w:rPr>
                <w:color w:val="000000"/>
              </w:rPr>
              <w:br/>
            </w:r>
            <w:r w:rsidRPr="00B4274D">
              <w:rPr>
                <w:color w:val="000000"/>
              </w:rPr>
              <w:lastRenderedPageBreak/>
              <w:t>arteriovenous oxygen difference (AVDO</w:t>
            </w:r>
            <w:r w:rsidRPr="00B4274D">
              <w:rPr>
                <w:color w:val="000000"/>
                <w:vertAlign w:val="subscript"/>
              </w:rPr>
              <w:t>2</w:t>
            </w:r>
            <w:r w:rsidRPr="00B4274D">
              <w:rPr>
                <w:color w:val="000000"/>
              </w:rPr>
              <w:t>),</w:t>
            </w:r>
            <w:r w:rsidRPr="00B4274D">
              <w:rPr>
                <w:color w:val="000000"/>
              </w:rPr>
              <w:br/>
              <w:t>cerebral metabolic rate of oxygen (CMRO</w:t>
            </w:r>
            <w:r w:rsidRPr="00B4274D">
              <w:rPr>
                <w:color w:val="000000"/>
                <w:vertAlign w:val="subscript"/>
              </w:rPr>
              <w:t>2</w:t>
            </w:r>
            <w:r w:rsidRPr="00B4274D">
              <w:rPr>
                <w:color w:val="000000"/>
              </w:rPr>
              <w:t xml:space="preserve">), </w:t>
            </w:r>
            <w:r w:rsidRPr="00B4274D">
              <w:rPr>
                <w:color w:val="000000"/>
              </w:rPr>
              <w:br/>
              <w:t>ventricular cerebrospinal fluid (CSF) lactate and</w:t>
            </w:r>
            <w:r w:rsidRPr="00B4274D">
              <w:rPr>
                <w:color w:val="000000"/>
              </w:rPr>
              <w:br/>
              <w:t>intracranial pressure.</w:t>
            </w:r>
          </w:p>
        </w:tc>
        <w:tc>
          <w:tcPr>
            <w:tcW w:w="2160" w:type="dxa"/>
          </w:tcPr>
          <w:p w:rsidR="00C35945" w:rsidRPr="00B4274D" w:rsidRDefault="00C35945" w:rsidP="005B3497">
            <w:pPr>
              <w:rPr>
                <w:color w:val="000000"/>
              </w:rPr>
            </w:pPr>
            <w:r w:rsidRPr="00B4274D">
              <w:rPr>
                <w:color w:val="000000"/>
              </w:rPr>
              <w:lastRenderedPageBreak/>
              <w:t>ND</w:t>
            </w:r>
          </w:p>
        </w:tc>
        <w:tc>
          <w:tcPr>
            <w:tcW w:w="3960" w:type="dxa"/>
            <w:shd w:val="clear" w:color="auto" w:fill="auto"/>
          </w:tcPr>
          <w:p w:rsidR="00C35945" w:rsidRPr="00B4274D" w:rsidRDefault="00C35945" w:rsidP="005B3497">
            <w:pPr>
              <w:rPr>
                <w:color w:val="000000"/>
              </w:rPr>
            </w:pPr>
            <w:r w:rsidRPr="00B4274D">
              <w:rPr>
                <w:color w:val="000000"/>
              </w:rPr>
              <w:t>HBO2 treatment increased CMRO</w:t>
            </w:r>
            <w:r w:rsidRPr="00B4274D">
              <w:rPr>
                <w:color w:val="000000"/>
                <w:vertAlign w:val="subscript"/>
              </w:rPr>
              <w:t>2</w:t>
            </w:r>
            <w:r w:rsidRPr="00B4274D">
              <w:rPr>
                <w:color w:val="000000"/>
              </w:rPr>
              <w:t xml:space="preserve"> and decreased CSF lactate levels and had a </w:t>
            </w:r>
            <w:r w:rsidRPr="00B4274D">
              <w:rPr>
                <w:color w:val="000000"/>
              </w:rPr>
              <w:lastRenderedPageBreak/>
              <w:t xml:space="preserve">prolonged effect on CBF and cerebral metabolism at 6-hour post measurement, but the effects of each HBO2 treatment did not last until the next HBO session. Based on these findings, authors asserted that shorter, more frequent exposure to HBO2 may optimize treatment.  </w:t>
            </w:r>
          </w:p>
        </w:tc>
      </w:tr>
      <w:tr w:rsidR="00C35945" w:rsidRPr="00B4274D" w:rsidTr="005B3497">
        <w:tc>
          <w:tcPr>
            <w:tcW w:w="1350" w:type="dxa"/>
            <w:tcBorders>
              <w:bottom w:val="single" w:sz="4" w:space="0" w:color="auto"/>
            </w:tcBorders>
            <w:shd w:val="clear" w:color="auto" w:fill="auto"/>
          </w:tcPr>
          <w:p w:rsidR="00C35945" w:rsidRPr="00B4274D" w:rsidRDefault="00C35945" w:rsidP="007F30C3">
            <w:pPr>
              <w:rPr>
                <w:color w:val="000000"/>
              </w:rPr>
            </w:pPr>
            <w:r w:rsidRPr="00B4274D">
              <w:rPr>
                <w:color w:val="000000"/>
              </w:rPr>
              <w:lastRenderedPageBreak/>
              <w:t>Shi, 2006</w:t>
            </w:r>
            <w:r w:rsidR="007F30C3">
              <w:rPr>
                <w:noProof/>
                <w:color w:val="000000"/>
                <w:vertAlign w:val="superscript"/>
              </w:rPr>
              <w:t>47</w:t>
            </w:r>
            <w:r w:rsidRPr="00B4274D">
              <w:rPr>
                <w:color w:val="000000"/>
              </w:rPr>
              <w:t xml:space="preserve"> </w:t>
            </w:r>
          </w:p>
        </w:tc>
        <w:tc>
          <w:tcPr>
            <w:tcW w:w="1620" w:type="dxa"/>
            <w:tcBorders>
              <w:bottom w:val="single" w:sz="4" w:space="0" w:color="auto"/>
            </w:tcBorders>
            <w:shd w:val="clear" w:color="auto" w:fill="auto"/>
          </w:tcPr>
          <w:p w:rsidR="00C35945" w:rsidRPr="00B4274D" w:rsidRDefault="00C35945" w:rsidP="005B3497">
            <w:pPr>
              <w:rPr>
                <w:color w:val="000000"/>
              </w:rPr>
            </w:pPr>
            <w:r w:rsidRPr="00B4274D">
              <w:rPr>
                <w:color w:val="000000"/>
              </w:rPr>
              <w:t>Neuropsychiatric disorders arising from traumatic brain injury (310)</w:t>
            </w:r>
          </w:p>
        </w:tc>
        <w:tc>
          <w:tcPr>
            <w:tcW w:w="2340" w:type="dxa"/>
            <w:tcBorders>
              <w:bottom w:val="single" w:sz="4" w:space="0" w:color="auto"/>
            </w:tcBorders>
            <w:shd w:val="clear" w:color="auto" w:fill="auto"/>
          </w:tcPr>
          <w:p w:rsidR="00C35945" w:rsidRPr="00B4274D" w:rsidRDefault="00C35945" w:rsidP="005B3497">
            <w:pPr>
              <w:rPr>
                <w:color w:val="000000"/>
              </w:rPr>
            </w:pPr>
            <w:r w:rsidRPr="00B4274D">
              <w:rPr>
                <w:color w:val="000000"/>
              </w:rPr>
              <w:t>HBO2: 2 sessions</w:t>
            </w:r>
          </w:p>
        </w:tc>
        <w:tc>
          <w:tcPr>
            <w:tcW w:w="2520" w:type="dxa"/>
            <w:tcBorders>
              <w:bottom w:val="single" w:sz="4" w:space="0" w:color="auto"/>
            </w:tcBorders>
            <w:shd w:val="clear" w:color="auto" w:fill="auto"/>
          </w:tcPr>
          <w:p w:rsidR="00C35945" w:rsidRPr="00B4274D" w:rsidRDefault="00C35945" w:rsidP="005B3497">
            <w:pPr>
              <w:rPr>
                <w:color w:val="000000"/>
              </w:rPr>
            </w:pPr>
            <w:r w:rsidRPr="00B4274D">
              <w:rPr>
                <w:color w:val="000000"/>
              </w:rPr>
              <w:t xml:space="preserve">SPECT, CT </w:t>
            </w:r>
          </w:p>
        </w:tc>
        <w:tc>
          <w:tcPr>
            <w:tcW w:w="2160" w:type="dxa"/>
            <w:tcBorders>
              <w:bottom w:val="single" w:sz="4" w:space="0" w:color="auto"/>
            </w:tcBorders>
          </w:tcPr>
          <w:p w:rsidR="00C35945" w:rsidRPr="00B4274D" w:rsidRDefault="00C35945" w:rsidP="005B3497">
            <w:pPr>
              <w:rPr>
                <w:color w:val="000000"/>
              </w:rPr>
            </w:pPr>
            <w:r w:rsidRPr="00B4274D">
              <w:rPr>
                <w:color w:val="000000"/>
              </w:rPr>
              <w:t>ND</w:t>
            </w:r>
          </w:p>
        </w:tc>
        <w:tc>
          <w:tcPr>
            <w:tcW w:w="3960" w:type="dxa"/>
            <w:tcBorders>
              <w:bottom w:val="single" w:sz="4" w:space="0" w:color="auto"/>
            </w:tcBorders>
            <w:shd w:val="clear" w:color="auto" w:fill="auto"/>
          </w:tcPr>
          <w:p w:rsidR="00C35945" w:rsidRPr="00B4274D" w:rsidRDefault="00C35945" w:rsidP="005B3497">
            <w:pPr>
              <w:rPr>
                <w:color w:val="000000"/>
              </w:rPr>
            </w:pPr>
            <w:r w:rsidRPr="00B4274D">
              <w:rPr>
                <w:color w:val="000000"/>
              </w:rPr>
              <w:t xml:space="preserve">Following HBO treatment, significant improvements were detected by SPECT.  </w:t>
            </w:r>
          </w:p>
        </w:tc>
      </w:tr>
      <w:tr w:rsidR="00C35945" w:rsidRPr="00B4274D" w:rsidTr="005B3497">
        <w:tc>
          <w:tcPr>
            <w:tcW w:w="13950" w:type="dxa"/>
            <w:gridSpan w:val="6"/>
            <w:shd w:val="clear" w:color="auto" w:fill="87B0E1"/>
          </w:tcPr>
          <w:p w:rsidR="00C35945" w:rsidRPr="00B4274D" w:rsidRDefault="00C35945" w:rsidP="005B3497">
            <w:pPr>
              <w:jc w:val="center"/>
              <w:rPr>
                <w:b/>
                <w:color w:val="000000"/>
              </w:rPr>
            </w:pPr>
            <w:r w:rsidRPr="00B4274D">
              <w:rPr>
                <w:b/>
                <w:color w:val="000000"/>
              </w:rPr>
              <w:t>Clinical Controlled Trials</w:t>
            </w:r>
          </w:p>
        </w:tc>
      </w:tr>
      <w:tr w:rsidR="00C35945" w:rsidRPr="00B4274D" w:rsidTr="005B3497">
        <w:tc>
          <w:tcPr>
            <w:tcW w:w="1350" w:type="dxa"/>
            <w:shd w:val="clear" w:color="auto" w:fill="auto"/>
          </w:tcPr>
          <w:p w:rsidR="00C35945" w:rsidRPr="00B4274D" w:rsidRDefault="00C35945" w:rsidP="005B3497">
            <w:pPr>
              <w:rPr>
                <w:color w:val="000000"/>
              </w:rPr>
            </w:pPr>
            <w:r w:rsidRPr="00B4274D">
              <w:rPr>
                <w:color w:val="000000"/>
              </w:rPr>
              <w:t>Barrett, 2004</w:t>
            </w:r>
            <w:r w:rsidRPr="005531B8">
              <w:rPr>
                <w:noProof/>
                <w:color w:val="000000"/>
                <w:vertAlign w:val="superscript"/>
              </w:rPr>
              <w:t>36</w:t>
            </w:r>
          </w:p>
        </w:tc>
        <w:tc>
          <w:tcPr>
            <w:tcW w:w="1620" w:type="dxa"/>
            <w:shd w:val="clear" w:color="auto" w:fill="auto"/>
          </w:tcPr>
          <w:p w:rsidR="00C35945" w:rsidRPr="00B4274D" w:rsidRDefault="00C35945" w:rsidP="005B3497">
            <w:pPr>
              <w:rPr>
                <w:color w:val="000000"/>
              </w:rPr>
            </w:pPr>
            <w:r w:rsidRPr="00B4274D">
              <w:rPr>
                <w:color w:val="000000"/>
              </w:rPr>
              <w:t xml:space="preserve">Chronic stable TBI patients at least 3 years post injury </w:t>
            </w:r>
            <w:r w:rsidRPr="00B4274D">
              <w:rPr>
                <w:color w:val="000000"/>
              </w:rPr>
              <w:lastRenderedPageBreak/>
              <w:t>(10); healthy subjects (5); data bank to compare SPECT scans (68)</w:t>
            </w:r>
          </w:p>
        </w:tc>
        <w:tc>
          <w:tcPr>
            <w:tcW w:w="2340" w:type="dxa"/>
            <w:shd w:val="clear" w:color="auto" w:fill="auto"/>
          </w:tcPr>
          <w:p w:rsidR="00C35945" w:rsidRPr="00B4274D" w:rsidRDefault="00C35945" w:rsidP="005B3497">
            <w:pPr>
              <w:rPr>
                <w:color w:val="000000"/>
              </w:rPr>
            </w:pPr>
            <w:r w:rsidRPr="00B4274D">
              <w:rPr>
                <w:color w:val="000000"/>
              </w:rPr>
              <w:lastRenderedPageBreak/>
              <w:t xml:space="preserve">HBO2: 120 sessions with an interval five-month break after the first 80 sessions. </w:t>
            </w:r>
          </w:p>
        </w:tc>
        <w:tc>
          <w:tcPr>
            <w:tcW w:w="2520" w:type="dxa"/>
            <w:shd w:val="clear" w:color="auto" w:fill="auto"/>
          </w:tcPr>
          <w:p w:rsidR="00C35945" w:rsidRPr="00B4274D" w:rsidRDefault="00C35945" w:rsidP="005B3497">
            <w:pPr>
              <w:rPr>
                <w:color w:val="000000"/>
              </w:rPr>
            </w:pPr>
            <w:r w:rsidRPr="00B4274D">
              <w:rPr>
                <w:color w:val="000000"/>
              </w:rPr>
              <w:t xml:space="preserve">Neurologic, </w:t>
            </w:r>
            <w:proofErr w:type="spellStart"/>
            <w:r w:rsidRPr="00B4274D">
              <w:rPr>
                <w:color w:val="000000"/>
              </w:rPr>
              <w:t>neuropsychometric</w:t>
            </w:r>
            <w:proofErr w:type="spellEnd"/>
            <w:r w:rsidRPr="00B4274D">
              <w:rPr>
                <w:color w:val="000000"/>
              </w:rPr>
              <w:t>, and exercise testing, MRIs, or CT scans, SPECT.</w:t>
            </w:r>
          </w:p>
        </w:tc>
        <w:tc>
          <w:tcPr>
            <w:tcW w:w="2160" w:type="dxa"/>
          </w:tcPr>
          <w:p w:rsidR="00C35945" w:rsidRPr="00B4274D" w:rsidRDefault="00C35945" w:rsidP="005B3497">
            <w:pPr>
              <w:rPr>
                <w:color w:val="000000"/>
              </w:rPr>
            </w:pPr>
            <w:r w:rsidRPr="00B4274D">
              <w:t>issues equalizing pressure (n=ND)</w:t>
            </w:r>
          </w:p>
        </w:tc>
        <w:tc>
          <w:tcPr>
            <w:tcW w:w="3960" w:type="dxa"/>
            <w:shd w:val="clear" w:color="auto" w:fill="auto"/>
          </w:tcPr>
          <w:p w:rsidR="00C35945" w:rsidRPr="00B4274D" w:rsidRDefault="00C35945" w:rsidP="005B3497">
            <w:pPr>
              <w:rPr>
                <w:color w:val="000000"/>
              </w:rPr>
            </w:pPr>
            <w:r w:rsidRPr="00B4274D">
              <w:rPr>
                <w:color w:val="000000"/>
              </w:rPr>
              <w:t xml:space="preserve">There were no significant objective changes in neurologic, </w:t>
            </w:r>
            <w:proofErr w:type="spellStart"/>
            <w:r w:rsidRPr="00B4274D">
              <w:rPr>
                <w:color w:val="000000"/>
              </w:rPr>
              <w:t>neuropsychometric</w:t>
            </w:r>
            <w:proofErr w:type="spellEnd"/>
            <w:r w:rsidRPr="00B4274D">
              <w:rPr>
                <w:color w:val="000000"/>
              </w:rPr>
              <w:t xml:space="preserve">, exercise testing, MRIs, or regional CBF. In this small pilot </w:t>
            </w:r>
            <w:r w:rsidRPr="00B4274D">
              <w:rPr>
                <w:color w:val="000000"/>
              </w:rPr>
              <w:lastRenderedPageBreak/>
              <w:t xml:space="preserve">study, HBO2 did not </w:t>
            </w:r>
            <w:proofErr w:type="spellStart"/>
            <w:r w:rsidRPr="00B4274D">
              <w:rPr>
                <w:color w:val="000000"/>
              </w:rPr>
              <w:t>effect</w:t>
            </w:r>
            <w:proofErr w:type="spellEnd"/>
            <w:r w:rsidRPr="00B4274D">
              <w:rPr>
                <w:color w:val="000000"/>
              </w:rPr>
              <w:t xml:space="preserve"> clinical or regional cerebral blood flow improvement in TBI subjects.</w:t>
            </w:r>
          </w:p>
        </w:tc>
      </w:tr>
      <w:tr w:rsidR="00C35945" w:rsidRPr="00B4274D" w:rsidTr="005B3497">
        <w:tc>
          <w:tcPr>
            <w:tcW w:w="1350" w:type="dxa"/>
            <w:tcBorders>
              <w:bottom w:val="single" w:sz="4" w:space="0" w:color="auto"/>
            </w:tcBorders>
            <w:shd w:val="clear" w:color="auto" w:fill="auto"/>
          </w:tcPr>
          <w:p w:rsidR="00C35945" w:rsidRPr="00B4274D" w:rsidRDefault="00C35945" w:rsidP="007F30C3">
            <w:pPr>
              <w:rPr>
                <w:color w:val="000000"/>
              </w:rPr>
            </w:pPr>
            <w:proofErr w:type="spellStart"/>
            <w:r w:rsidRPr="00B4274D">
              <w:rPr>
                <w:color w:val="000000"/>
              </w:rPr>
              <w:lastRenderedPageBreak/>
              <w:t>Holbach</w:t>
            </w:r>
            <w:proofErr w:type="spellEnd"/>
            <w:r w:rsidRPr="00B4274D">
              <w:rPr>
                <w:color w:val="000000"/>
              </w:rPr>
              <w:t>, 1977</w:t>
            </w:r>
            <w:r w:rsidR="007F30C3">
              <w:rPr>
                <w:noProof/>
                <w:color w:val="000000"/>
                <w:vertAlign w:val="superscript"/>
              </w:rPr>
              <w:t>48</w:t>
            </w:r>
          </w:p>
        </w:tc>
        <w:tc>
          <w:tcPr>
            <w:tcW w:w="1620" w:type="dxa"/>
            <w:tcBorders>
              <w:bottom w:val="single" w:sz="4" w:space="0" w:color="auto"/>
            </w:tcBorders>
            <w:shd w:val="clear" w:color="auto" w:fill="auto"/>
          </w:tcPr>
          <w:p w:rsidR="00C35945" w:rsidRPr="00B4274D" w:rsidRDefault="00C35945" w:rsidP="005B3497">
            <w:pPr>
              <w:rPr>
                <w:color w:val="000000"/>
              </w:rPr>
            </w:pPr>
            <w:r w:rsidRPr="00B4274D">
              <w:rPr>
                <w:color w:val="000000"/>
              </w:rPr>
              <w:t>Head injury or ischemic brain lesion (30)</w:t>
            </w:r>
          </w:p>
        </w:tc>
        <w:tc>
          <w:tcPr>
            <w:tcW w:w="2340" w:type="dxa"/>
            <w:tcBorders>
              <w:bottom w:val="single" w:sz="4" w:space="0" w:color="auto"/>
            </w:tcBorders>
            <w:shd w:val="clear" w:color="auto" w:fill="auto"/>
          </w:tcPr>
          <w:p w:rsidR="00C35945" w:rsidRPr="00B4274D" w:rsidRDefault="00C35945" w:rsidP="005B3497">
            <w:pPr>
              <w:rPr>
                <w:color w:val="000000"/>
              </w:rPr>
            </w:pPr>
            <w:r w:rsidRPr="00B4274D">
              <w:rPr>
                <w:color w:val="000000"/>
              </w:rPr>
              <w:t>HBO2: Either 2.0 ATA or 1.5 ATA.</w:t>
            </w:r>
          </w:p>
        </w:tc>
        <w:tc>
          <w:tcPr>
            <w:tcW w:w="2520" w:type="dxa"/>
            <w:tcBorders>
              <w:bottom w:val="single" w:sz="4" w:space="0" w:color="auto"/>
            </w:tcBorders>
            <w:shd w:val="clear" w:color="auto" w:fill="auto"/>
          </w:tcPr>
          <w:p w:rsidR="00C35945" w:rsidRPr="00B4274D" w:rsidRDefault="00C35945" w:rsidP="005B3497">
            <w:pPr>
              <w:rPr>
                <w:color w:val="000000"/>
              </w:rPr>
            </w:pPr>
            <w:r w:rsidRPr="00B4274D">
              <w:rPr>
                <w:color w:val="000000"/>
              </w:rPr>
              <w:t>Cerebral arteriovenous difference (AVDO</w:t>
            </w:r>
            <w:r w:rsidRPr="00B4274D">
              <w:rPr>
                <w:color w:val="000000"/>
                <w:vertAlign w:val="subscript"/>
              </w:rPr>
              <w:t>2</w:t>
            </w:r>
            <w:r w:rsidRPr="00B4274D">
              <w:rPr>
                <w:color w:val="000000"/>
              </w:rPr>
              <w:t>)</w:t>
            </w:r>
            <w:proofErr w:type="gramStart"/>
            <w:r w:rsidRPr="00B4274D">
              <w:rPr>
                <w:color w:val="000000"/>
              </w:rPr>
              <w:t>,</w:t>
            </w:r>
            <w:proofErr w:type="gramEnd"/>
            <w:r w:rsidRPr="00B4274D">
              <w:rPr>
                <w:color w:val="000000"/>
              </w:rPr>
              <w:br/>
              <w:t>levels of glucose, pyruvate, and lactate, blood gas pressures, pH, and cerebral glucose metabolism.</w:t>
            </w:r>
          </w:p>
        </w:tc>
        <w:tc>
          <w:tcPr>
            <w:tcW w:w="2160" w:type="dxa"/>
            <w:tcBorders>
              <w:bottom w:val="single" w:sz="4" w:space="0" w:color="auto"/>
            </w:tcBorders>
          </w:tcPr>
          <w:p w:rsidR="00C35945" w:rsidRPr="00B4274D" w:rsidRDefault="00C35945" w:rsidP="005B3497">
            <w:pPr>
              <w:rPr>
                <w:color w:val="000000"/>
              </w:rPr>
            </w:pPr>
            <w:r w:rsidRPr="00B4274D">
              <w:rPr>
                <w:color w:val="000000"/>
              </w:rPr>
              <w:t>ND</w:t>
            </w:r>
          </w:p>
        </w:tc>
        <w:tc>
          <w:tcPr>
            <w:tcW w:w="3960" w:type="dxa"/>
            <w:tcBorders>
              <w:bottom w:val="single" w:sz="4" w:space="0" w:color="auto"/>
            </w:tcBorders>
            <w:shd w:val="clear" w:color="auto" w:fill="auto"/>
          </w:tcPr>
          <w:p w:rsidR="00C35945" w:rsidRPr="00B4274D" w:rsidRDefault="00C35945" w:rsidP="005B3497">
            <w:pPr>
              <w:rPr>
                <w:color w:val="000000"/>
              </w:rPr>
            </w:pPr>
            <w:r w:rsidRPr="00B4274D">
              <w:rPr>
                <w:color w:val="000000"/>
              </w:rPr>
              <w:t xml:space="preserve">At 1.5 ATA, there was an improved balanced cerebral glucose metabolism or the appearance of a Pasteur effect, indicating an adequate cerebral oxygenation and energy formation of the affected brain. However, at 2.0 ATA, there was a considerable increase in cerebral glycolysis and disturbed oxidative energy formation.  Thus, the results showed HBO2 exposure at 1.5 ATA is well tolerated by an injured brain and has a favorable effect on the glucose </w:t>
            </w:r>
            <w:r w:rsidRPr="00B4274D">
              <w:rPr>
                <w:color w:val="000000"/>
              </w:rPr>
              <w:lastRenderedPageBreak/>
              <w:t>or energy metabolism, while exposure at 2.0 ATA is not well tolerated.</w:t>
            </w:r>
          </w:p>
        </w:tc>
      </w:tr>
      <w:tr w:rsidR="00C35945" w:rsidRPr="00B4274D" w:rsidTr="005B3497">
        <w:tc>
          <w:tcPr>
            <w:tcW w:w="13950" w:type="dxa"/>
            <w:gridSpan w:val="6"/>
            <w:shd w:val="clear" w:color="auto" w:fill="87B0E1"/>
          </w:tcPr>
          <w:p w:rsidR="00C35945" w:rsidRPr="00B4274D" w:rsidRDefault="00C35945" w:rsidP="005B3497">
            <w:pPr>
              <w:jc w:val="center"/>
              <w:rPr>
                <w:b/>
                <w:color w:val="000000"/>
              </w:rPr>
            </w:pPr>
            <w:r w:rsidRPr="00B4274D">
              <w:rPr>
                <w:b/>
                <w:color w:val="000000"/>
              </w:rPr>
              <w:lastRenderedPageBreak/>
              <w:t>Chart Reviews</w:t>
            </w:r>
          </w:p>
        </w:tc>
      </w:tr>
      <w:tr w:rsidR="00C35945" w:rsidRPr="00B4274D" w:rsidTr="005B3497">
        <w:trPr>
          <w:trHeight w:val="980"/>
        </w:trPr>
        <w:tc>
          <w:tcPr>
            <w:tcW w:w="1350" w:type="dxa"/>
            <w:shd w:val="clear" w:color="auto" w:fill="auto"/>
          </w:tcPr>
          <w:p w:rsidR="00C35945" w:rsidRPr="00B4274D" w:rsidRDefault="00C35945" w:rsidP="005B3497">
            <w:pPr>
              <w:rPr>
                <w:color w:val="000000"/>
              </w:rPr>
            </w:pPr>
            <w:proofErr w:type="spellStart"/>
            <w:r w:rsidRPr="00B4274D">
              <w:rPr>
                <w:color w:val="000000"/>
              </w:rPr>
              <w:t>Giebfried</w:t>
            </w:r>
            <w:proofErr w:type="spellEnd"/>
            <w:r w:rsidRPr="00B4274D">
              <w:rPr>
                <w:color w:val="000000"/>
              </w:rPr>
              <w:t>, 1986</w:t>
            </w:r>
            <w:r w:rsidRPr="005531B8">
              <w:rPr>
                <w:noProof/>
                <w:color w:val="000000"/>
                <w:vertAlign w:val="superscript"/>
              </w:rPr>
              <w:t>38</w:t>
            </w:r>
          </w:p>
        </w:tc>
        <w:tc>
          <w:tcPr>
            <w:tcW w:w="1620" w:type="dxa"/>
            <w:shd w:val="clear" w:color="auto" w:fill="auto"/>
          </w:tcPr>
          <w:p w:rsidR="00C35945" w:rsidRPr="00B4274D" w:rsidRDefault="00C35945" w:rsidP="005B3497">
            <w:pPr>
              <w:rPr>
                <w:color w:val="000000"/>
              </w:rPr>
            </w:pPr>
            <w:r w:rsidRPr="00B4274D">
              <w:rPr>
                <w:color w:val="000000"/>
              </w:rPr>
              <w:t>Head and neck diseases (ND)</w:t>
            </w:r>
          </w:p>
        </w:tc>
        <w:tc>
          <w:tcPr>
            <w:tcW w:w="2340" w:type="dxa"/>
            <w:shd w:val="clear" w:color="auto" w:fill="auto"/>
          </w:tcPr>
          <w:p w:rsidR="00C35945" w:rsidRPr="00B4274D" w:rsidRDefault="00C35945" w:rsidP="005B3497">
            <w:pPr>
              <w:rPr>
                <w:color w:val="000000"/>
              </w:rPr>
            </w:pPr>
            <w:r w:rsidRPr="00B4274D">
              <w:rPr>
                <w:color w:val="000000"/>
              </w:rPr>
              <w:t>HBO2</w:t>
            </w:r>
          </w:p>
        </w:tc>
        <w:tc>
          <w:tcPr>
            <w:tcW w:w="2520" w:type="dxa"/>
            <w:shd w:val="clear" w:color="auto" w:fill="auto"/>
          </w:tcPr>
          <w:p w:rsidR="00C35945" w:rsidRPr="00B4274D" w:rsidRDefault="00C35945" w:rsidP="005B3497">
            <w:pPr>
              <w:rPr>
                <w:color w:val="000000"/>
              </w:rPr>
            </w:pPr>
          </w:p>
        </w:tc>
        <w:tc>
          <w:tcPr>
            <w:tcW w:w="2160" w:type="dxa"/>
          </w:tcPr>
          <w:p w:rsidR="00C35945" w:rsidRPr="00B4274D" w:rsidRDefault="00C35945" w:rsidP="005B3497">
            <w:pPr>
              <w:rPr>
                <w:color w:val="000000"/>
              </w:rPr>
            </w:pPr>
            <w:r w:rsidRPr="00B4274D">
              <w:rPr>
                <w:color w:val="000000"/>
              </w:rPr>
              <w:t xml:space="preserve">The review found serious complications associated with hyperbaric oxygen treatment, including seizure, stroke, and myocardial infarction.  </w:t>
            </w:r>
          </w:p>
        </w:tc>
        <w:tc>
          <w:tcPr>
            <w:tcW w:w="3960" w:type="dxa"/>
            <w:shd w:val="clear" w:color="auto" w:fill="auto"/>
          </w:tcPr>
          <w:p w:rsidR="00C35945" w:rsidRPr="00B4274D" w:rsidRDefault="00C35945" w:rsidP="005B3497">
            <w:pPr>
              <w:rPr>
                <w:color w:val="000000"/>
              </w:rPr>
            </w:pPr>
            <w:r w:rsidRPr="00B4274D">
              <w:rPr>
                <w:color w:val="000000"/>
              </w:rPr>
              <w:t>Only adverse events reported.  Please see adverse events report.</w:t>
            </w:r>
          </w:p>
        </w:tc>
      </w:tr>
      <w:tr w:rsidR="00C35945" w:rsidRPr="00B4274D" w:rsidTr="005B3497">
        <w:tc>
          <w:tcPr>
            <w:tcW w:w="1350" w:type="dxa"/>
            <w:tcBorders>
              <w:bottom w:val="single" w:sz="4" w:space="0" w:color="auto"/>
            </w:tcBorders>
            <w:shd w:val="clear" w:color="auto" w:fill="auto"/>
          </w:tcPr>
          <w:p w:rsidR="00C35945" w:rsidRPr="00B4274D" w:rsidRDefault="00C35945" w:rsidP="007F30C3">
            <w:pPr>
              <w:rPr>
                <w:color w:val="000000"/>
              </w:rPr>
            </w:pPr>
            <w:proofErr w:type="spellStart"/>
            <w:r w:rsidRPr="00B4274D">
              <w:rPr>
                <w:color w:val="000000"/>
              </w:rPr>
              <w:t>Sahni</w:t>
            </w:r>
            <w:proofErr w:type="spellEnd"/>
            <w:r w:rsidRPr="00B4274D">
              <w:rPr>
                <w:color w:val="000000"/>
              </w:rPr>
              <w:t>, 2012</w:t>
            </w:r>
            <w:r w:rsidR="007F30C3">
              <w:rPr>
                <w:noProof/>
                <w:color w:val="000000"/>
                <w:vertAlign w:val="superscript"/>
              </w:rPr>
              <w:t>49</w:t>
            </w:r>
          </w:p>
        </w:tc>
        <w:tc>
          <w:tcPr>
            <w:tcW w:w="1620" w:type="dxa"/>
            <w:tcBorders>
              <w:bottom w:val="single" w:sz="4" w:space="0" w:color="auto"/>
            </w:tcBorders>
            <w:shd w:val="clear" w:color="auto" w:fill="auto"/>
          </w:tcPr>
          <w:p w:rsidR="00C35945" w:rsidRPr="00B4274D" w:rsidRDefault="00C35945" w:rsidP="005B3497">
            <w:pPr>
              <w:rPr>
                <w:color w:val="000000"/>
              </w:rPr>
            </w:pPr>
            <w:r w:rsidRPr="00B4274D">
              <w:rPr>
                <w:color w:val="000000"/>
              </w:rPr>
              <w:t>TBI patients who received HBO (20) vs “standard care” (20)</w:t>
            </w:r>
          </w:p>
        </w:tc>
        <w:tc>
          <w:tcPr>
            <w:tcW w:w="2340" w:type="dxa"/>
            <w:tcBorders>
              <w:bottom w:val="single" w:sz="4" w:space="0" w:color="auto"/>
            </w:tcBorders>
            <w:shd w:val="clear" w:color="auto" w:fill="auto"/>
          </w:tcPr>
          <w:p w:rsidR="00C35945" w:rsidRPr="00B4274D" w:rsidRDefault="00C35945" w:rsidP="005B3497">
            <w:pPr>
              <w:rPr>
                <w:color w:val="000000"/>
              </w:rPr>
            </w:pPr>
            <w:r w:rsidRPr="00B4274D">
              <w:rPr>
                <w:color w:val="000000"/>
              </w:rPr>
              <w:t>HBO2 or “standard care”</w:t>
            </w:r>
          </w:p>
        </w:tc>
        <w:tc>
          <w:tcPr>
            <w:tcW w:w="2520" w:type="dxa"/>
            <w:tcBorders>
              <w:bottom w:val="single" w:sz="4" w:space="0" w:color="auto"/>
            </w:tcBorders>
            <w:shd w:val="clear" w:color="auto" w:fill="auto"/>
          </w:tcPr>
          <w:p w:rsidR="00C35945" w:rsidRPr="00B4274D" w:rsidRDefault="00C35945" w:rsidP="005B3497">
            <w:pPr>
              <w:rPr>
                <w:color w:val="000000"/>
              </w:rPr>
            </w:pPr>
            <w:r w:rsidRPr="00B4274D">
              <w:rPr>
                <w:color w:val="000000"/>
              </w:rPr>
              <w:t xml:space="preserve">Disability Rating Scale (DRS), Glasgow Coma Scale (GCS), and Rancho Los Amigos Scale (RLAS).  </w:t>
            </w:r>
          </w:p>
        </w:tc>
        <w:tc>
          <w:tcPr>
            <w:tcW w:w="2160" w:type="dxa"/>
            <w:tcBorders>
              <w:bottom w:val="single" w:sz="4" w:space="0" w:color="auto"/>
            </w:tcBorders>
          </w:tcPr>
          <w:p w:rsidR="00C35945" w:rsidRPr="00B4274D" w:rsidRDefault="00C35945" w:rsidP="005B3497">
            <w:pPr>
              <w:rPr>
                <w:color w:val="000000"/>
              </w:rPr>
            </w:pPr>
            <w:r w:rsidRPr="00B4274D">
              <w:rPr>
                <w:color w:val="000000"/>
              </w:rPr>
              <w:t>ND</w:t>
            </w:r>
          </w:p>
        </w:tc>
        <w:tc>
          <w:tcPr>
            <w:tcW w:w="3960" w:type="dxa"/>
            <w:tcBorders>
              <w:bottom w:val="single" w:sz="4" w:space="0" w:color="auto"/>
            </w:tcBorders>
            <w:shd w:val="clear" w:color="auto" w:fill="auto"/>
          </w:tcPr>
          <w:p w:rsidR="00C35945" w:rsidRPr="00B4274D" w:rsidRDefault="00C35945" w:rsidP="005B3497">
            <w:pPr>
              <w:rPr>
                <w:color w:val="000000"/>
              </w:rPr>
            </w:pPr>
            <w:r w:rsidRPr="00B4274D">
              <w:rPr>
                <w:color w:val="000000"/>
              </w:rPr>
              <w:t xml:space="preserve">According to the analysis, a significantly higher proportion of patients receiving HBO2 showed improvements compared to patients receiving only standard care.  </w:t>
            </w:r>
          </w:p>
        </w:tc>
      </w:tr>
      <w:tr w:rsidR="00C35945" w:rsidRPr="00B4274D" w:rsidTr="005B3497">
        <w:tc>
          <w:tcPr>
            <w:tcW w:w="13950" w:type="dxa"/>
            <w:gridSpan w:val="6"/>
            <w:shd w:val="clear" w:color="auto" w:fill="87B0E1"/>
          </w:tcPr>
          <w:p w:rsidR="00C35945" w:rsidRPr="00B4274D" w:rsidRDefault="00C35945" w:rsidP="005B3497">
            <w:pPr>
              <w:jc w:val="center"/>
              <w:rPr>
                <w:b/>
                <w:color w:val="000000"/>
              </w:rPr>
            </w:pPr>
            <w:r w:rsidRPr="00B4274D">
              <w:rPr>
                <w:b/>
                <w:color w:val="000000"/>
              </w:rPr>
              <w:t>Survey</w:t>
            </w:r>
          </w:p>
        </w:tc>
      </w:tr>
      <w:tr w:rsidR="00C35945" w:rsidRPr="00B4274D" w:rsidTr="005B3497">
        <w:tc>
          <w:tcPr>
            <w:tcW w:w="1350" w:type="dxa"/>
            <w:tcBorders>
              <w:bottom w:val="single" w:sz="4" w:space="0" w:color="auto"/>
            </w:tcBorders>
            <w:shd w:val="clear" w:color="auto" w:fill="auto"/>
          </w:tcPr>
          <w:p w:rsidR="00C35945" w:rsidRPr="00B4274D" w:rsidRDefault="00C35945" w:rsidP="007F30C3">
            <w:pPr>
              <w:rPr>
                <w:color w:val="000000"/>
              </w:rPr>
            </w:pPr>
            <w:r w:rsidRPr="00B4274D">
              <w:rPr>
                <w:color w:val="000000"/>
              </w:rPr>
              <w:lastRenderedPageBreak/>
              <w:t>Myers, 1982</w:t>
            </w:r>
            <w:r w:rsidR="007F30C3">
              <w:rPr>
                <w:noProof/>
                <w:color w:val="000000"/>
                <w:vertAlign w:val="superscript"/>
              </w:rPr>
              <w:t>50</w:t>
            </w:r>
          </w:p>
        </w:tc>
        <w:tc>
          <w:tcPr>
            <w:tcW w:w="1620" w:type="dxa"/>
            <w:tcBorders>
              <w:bottom w:val="single" w:sz="4" w:space="0" w:color="auto"/>
            </w:tcBorders>
            <w:shd w:val="clear" w:color="auto" w:fill="auto"/>
          </w:tcPr>
          <w:p w:rsidR="00C35945" w:rsidRPr="00B4274D" w:rsidRDefault="00C35945" w:rsidP="005B3497">
            <w:pPr>
              <w:rPr>
                <w:color w:val="000000"/>
              </w:rPr>
            </w:pPr>
            <w:r w:rsidRPr="00B4274D">
              <w:rPr>
                <w:color w:val="000000"/>
              </w:rPr>
              <w:t>Use of HBO2 at 83 North American HBO2 centers</w:t>
            </w:r>
          </w:p>
        </w:tc>
        <w:tc>
          <w:tcPr>
            <w:tcW w:w="2340" w:type="dxa"/>
            <w:tcBorders>
              <w:bottom w:val="single" w:sz="4" w:space="0" w:color="auto"/>
            </w:tcBorders>
            <w:shd w:val="clear" w:color="auto" w:fill="auto"/>
          </w:tcPr>
          <w:p w:rsidR="00C35945" w:rsidRPr="00B4274D" w:rsidRDefault="00C35945" w:rsidP="005B3497">
            <w:pPr>
              <w:rPr>
                <w:color w:val="000000"/>
              </w:rPr>
            </w:pPr>
          </w:p>
        </w:tc>
        <w:tc>
          <w:tcPr>
            <w:tcW w:w="2520" w:type="dxa"/>
            <w:tcBorders>
              <w:bottom w:val="single" w:sz="4" w:space="0" w:color="auto"/>
            </w:tcBorders>
            <w:shd w:val="clear" w:color="auto" w:fill="auto"/>
          </w:tcPr>
          <w:p w:rsidR="00C35945" w:rsidRPr="00B4274D" w:rsidRDefault="00C35945" w:rsidP="005B3497">
            <w:pPr>
              <w:rPr>
                <w:color w:val="000000"/>
              </w:rPr>
            </w:pPr>
          </w:p>
        </w:tc>
        <w:tc>
          <w:tcPr>
            <w:tcW w:w="2160" w:type="dxa"/>
            <w:tcBorders>
              <w:bottom w:val="single" w:sz="4" w:space="0" w:color="auto"/>
            </w:tcBorders>
          </w:tcPr>
          <w:p w:rsidR="00C35945" w:rsidRPr="00B4274D" w:rsidRDefault="00C35945" w:rsidP="005B3497">
            <w:pPr>
              <w:spacing w:after="200"/>
              <w:contextualSpacing/>
              <w:rPr>
                <w:rFonts w:eastAsiaTheme="minorHAnsi" w:cstheme="minorBidi"/>
              </w:rPr>
            </w:pPr>
            <w:r w:rsidRPr="00B4274D">
              <w:rPr>
                <w:rFonts w:eastAsiaTheme="minorHAnsi" w:cstheme="minorBidi"/>
              </w:rPr>
              <w:t>ND</w:t>
            </w:r>
          </w:p>
        </w:tc>
        <w:tc>
          <w:tcPr>
            <w:tcW w:w="3960" w:type="dxa"/>
            <w:tcBorders>
              <w:bottom w:val="single" w:sz="4" w:space="0" w:color="auto"/>
            </w:tcBorders>
            <w:shd w:val="clear" w:color="auto" w:fill="auto"/>
          </w:tcPr>
          <w:p w:rsidR="00C35945" w:rsidRPr="00B4274D" w:rsidRDefault="00C35945" w:rsidP="005B3497">
            <w:pPr>
              <w:spacing w:after="200"/>
              <w:contextualSpacing/>
              <w:rPr>
                <w:rFonts w:eastAsiaTheme="minorHAnsi" w:cstheme="minorBidi"/>
                <w:b/>
              </w:rPr>
            </w:pPr>
            <w:r w:rsidRPr="00B4274D">
              <w:rPr>
                <w:rFonts w:eastAsiaTheme="minorHAnsi" w:cstheme="minorBidi"/>
                <w:color w:val="000000"/>
              </w:rPr>
              <w:t>According to the 57 centers that responded to the survey, a total of 10,942 patients were treated during the eight-year survey period and 8,408 patients (76%) had category I or II conditions, as defined by the Undersea Medical Society.</w:t>
            </w:r>
          </w:p>
        </w:tc>
      </w:tr>
      <w:tr w:rsidR="00C35945" w:rsidRPr="00B4274D" w:rsidTr="005B3497">
        <w:tc>
          <w:tcPr>
            <w:tcW w:w="13950" w:type="dxa"/>
            <w:gridSpan w:val="6"/>
            <w:shd w:val="clear" w:color="auto" w:fill="87B0E1"/>
          </w:tcPr>
          <w:p w:rsidR="00C35945" w:rsidRPr="00B4274D" w:rsidRDefault="00C35945" w:rsidP="005B3497">
            <w:pPr>
              <w:jc w:val="center"/>
              <w:rPr>
                <w:b/>
                <w:color w:val="000000"/>
              </w:rPr>
            </w:pPr>
            <w:r w:rsidRPr="00B4274D">
              <w:rPr>
                <w:b/>
                <w:color w:val="000000"/>
              </w:rPr>
              <w:t>Case Studies</w:t>
            </w:r>
          </w:p>
        </w:tc>
      </w:tr>
      <w:tr w:rsidR="00C35945" w:rsidRPr="00B4274D" w:rsidTr="005B3497">
        <w:tc>
          <w:tcPr>
            <w:tcW w:w="1350" w:type="dxa"/>
            <w:shd w:val="clear" w:color="auto" w:fill="auto"/>
          </w:tcPr>
          <w:p w:rsidR="00C35945" w:rsidRPr="00B4274D" w:rsidRDefault="00C35945" w:rsidP="007F30C3">
            <w:pPr>
              <w:rPr>
                <w:color w:val="000000"/>
              </w:rPr>
            </w:pPr>
            <w:r w:rsidRPr="00B4274D">
              <w:rPr>
                <w:color w:val="000000"/>
              </w:rPr>
              <w:t>Brown, 1988</w:t>
            </w:r>
            <w:r w:rsidR="007F30C3">
              <w:rPr>
                <w:noProof/>
                <w:color w:val="000000"/>
                <w:vertAlign w:val="superscript"/>
              </w:rPr>
              <w:t>51</w:t>
            </w:r>
          </w:p>
        </w:tc>
        <w:tc>
          <w:tcPr>
            <w:tcW w:w="1620" w:type="dxa"/>
            <w:shd w:val="clear" w:color="auto" w:fill="auto"/>
          </w:tcPr>
          <w:p w:rsidR="00C35945" w:rsidRPr="00B4274D" w:rsidRDefault="00C35945" w:rsidP="005B3497">
            <w:pPr>
              <w:rPr>
                <w:color w:val="2F3132"/>
              </w:rPr>
            </w:pPr>
            <w:r w:rsidRPr="00B4274D">
              <w:rPr>
                <w:color w:val="2F3132"/>
              </w:rPr>
              <w:t xml:space="preserve">1) Diffuse cerebral swelling after blunt trauma  2) </w:t>
            </w:r>
            <w:proofErr w:type="spellStart"/>
            <w:r w:rsidRPr="00B4274D">
              <w:rPr>
                <w:color w:val="2F3132"/>
              </w:rPr>
              <w:t>Gun shot</w:t>
            </w:r>
            <w:proofErr w:type="spellEnd"/>
            <w:r w:rsidRPr="00B4274D">
              <w:rPr>
                <w:color w:val="2F3132"/>
              </w:rPr>
              <w:t xml:space="preserve"> wound </w:t>
            </w:r>
            <w:r w:rsidRPr="00B4274D">
              <w:rPr>
                <w:color w:val="000000"/>
              </w:rPr>
              <w:t>(2)</w:t>
            </w:r>
          </w:p>
        </w:tc>
        <w:tc>
          <w:tcPr>
            <w:tcW w:w="2340" w:type="dxa"/>
            <w:shd w:val="clear" w:color="auto" w:fill="auto"/>
          </w:tcPr>
          <w:p w:rsidR="00C35945" w:rsidRPr="00B4274D" w:rsidRDefault="00C35945" w:rsidP="005B3497">
            <w:pPr>
              <w:rPr>
                <w:color w:val="000000"/>
              </w:rPr>
            </w:pPr>
            <w:r w:rsidRPr="00B4274D">
              <w:rPr>
                <w:color w:val="000000"/>
              </w:rPr>
              <w:t xml:space="preserve">HBO2: 4 sessions of 100% O2 at 2.0 ATA </w:t>
            </w:r>
          </w:p>
        </w:tc>
        <w:tc>
          <w:tcPr>
            <w:tcW w:w="2520" w:type="dxa"/>
            <w:shd w:val="clear" w:color="auto" w:fill="auto"/>
          </w:tcPr>
          <w:p w:rsidR="00C35945" w:rsidRPr="00B4274D" w:rsidRDefault="00C35945" w:rsidP="005B3497">
            <w:pPr>
              <w:rPr>
                <w:color w:val="000000"/>
              </w:rPr>
            </w:pPr>
            <w:r w:rsidRPr="00B4274D">
              <w:rPr>
                <w:color w:val="000000"/>
              </w:rPr>
              <w:t>Intracranial pressure (ICP)</w:t>
            </w:r>
          </w:p>
        </w:tc>
        <w:tc>
          <w:tcPr>
            <w:tcW w:w="2160" w:type="dxa"/>
          </w:tcPr>
          <w:p w:rsidR="00C35945" w:rsidRPr="00B4274D" w:rsidRDefault="00C35945" w:rsidP="005B3497">
            <w:pPr>
              <w:rPr>
                <w:color w:val="2F3132"/>
              </w:rPr>
            </w:pPr>
            <w:r w:rsidRPr="00B4274D">
              <w:rPr>
                <w:color w:val="2F3132"/>
              </w:rPr>
              <w:t>ND</w:t>
            </w:r>
          </w:p>
        </w:tc>
        <w:tc>
          <w:tcPr>
            <w:tcW w:w="3960" w:type="dxa"/>
            <w:shd w:val="clear" w:color="auto" w:fill="auto"/>
          </w:tcPr>
          <w:p w:rsidR="00C35945" w:rsidRPr="00B4274D" w:rsidRDefault="00C35945" w:rsidP="005B3497">
            <w:pPr>
              <w:rPr>
                <w:color w:val="2F3132"/>
              </w:rPr>
            </w:pPr>
            <w:r w:rsidRPr="00B4274D">
              <w:rPr>
                <w:color w:val="2F3132"/>
              </w:rPr>
              <w:t xml:space="preserve">During pressurization the mean ICP dropped from 13 to 8 </w:t>
            </w:r>
            <w:proofErr w:type="spellStart"/>
            <w:r w:rsidRPr="00B4274D">
              <w:rPr>
                <w:color w:val="2F3132"/>
              </w:rPr>
              <w:t>Torr</w:t>
            </w:r>
            <w:proofErr w:type="spellEnd"/>
            <w:r w:rsidRPr="00B4274D">
              <w:rPr>
                <w:color w:val="2F3132"/>
              </w:rPr>
              <w:t xml:space="preserve">, rising to 14 </w:t>
            </w:r>
            <w:proofErr w:type="spellStart"/>
            <w:r w:rsidRPr="00B4274D">
              <w:rPr>
                <w:color w:val="2F3132"/>
              </w:rPr>
              <w:t>Torr</w:t>
            </w:r>
            <w:proofErr w:type="spellEnd"/>
            <w:r w:rsidRPr="00B4274D">
              <w:rPr>
                <w:color w:val="2F3132"/>
              </w:rPr>
              <w:t xml:space="preserve"> during HBO2 at 2 ATA, and to 16 </w:t>
            </w:r>
            <w:proofErr w:type="spellStart"/>
            <w:r w:rsidRPr="00B4274D">
              <w:rPr>
                <w:color w:val="2F3132"/>
              </w:rPr>
              <w:t>Torr</w:t>
            </w:r>
            <w:proofErr w:type="spellEnd"/>
            <w:r w:rsidRPr="00B4274D">
              <w:rPr>
                <w:color w:val="2F3132"/>
              </w:rPr>
              <w:t xml:space="preserve"> during depressurization to 1 atmosphere, </w:t>
            </w:r>
            <w:proofErr w:type="gramStart"/>
            <w:r w:rsidRPr="00B4274D">
              <w:rPr>
                <w:color w:val="2F3132"/>
              </w:rPr>
              <w:t>then</w:t>
            </w:r>
            <w:proofErr w:type="gramEnd"/>
            <w:r w:rsidRPr="00B4274D">
              <w:rPr>
                <w:color w:val="2F3132"/>
              </w:rPr>
              <w:t xml:space="preserve"> returning to 12 </w:t>
            </w:r>
            <w:proofErr w:type="spellStart"/>
            <w:r w:rsidRPr="00B4274D">
              <w:rPr>
                <w:color w:val="2F3132"/>
              </w:rPr>
              <w:t>Torr</w:t>
            </w:r>
            <w:proofErr w:type="spellEnd"/>
            <w:r w:rsidRPr="00B4274D">
              <w:rPr>
                <w:color w:val="2F3132"/>
              </w:rPr>
              <w:t xml:space="preserve"> after HBO2.</w:t>
            </w:r>
          </w:p>
        </w:tc>
      </w:tr>
      <w:tr w:rsidR="00C35945" w:rsidRPr="00B4274D" w:rsidTr="005B3497">
        <w:tc>
          <w:tcPr>
            <w:tcW w:w="1350" w:type="dxa"/>
            <w:shd w:val="clear" w:color="auto" w:fill="auto"/>
          </w:tcPr>
          <w:p w:rsidR="00C35945" w:rsidRPr="00B4274D" w:rsidRDefault="00C35945" w:rsidP="007F30C3">
            <w:pPr>
              <w:rPr>
                <w:color w:val="000000"/>
              </w:rPr>
            </w:pPr>
            <w:r w:rsidRPr="00B4274D">
              <w:rPr>
                <w:color w:val="000000"/>
              </w:rPr>
              <w:t>Hardy, 2007</w:t>
            </w:r>
            <w:r w:rsidR="007F30C3">
              <w:rPr>
                <w:noProof/>
                <w:color w:val="000000"/>
                <w:vertAlign w:val="superscript"/>
              </w:rPr>
              <w:t>52</w:t>
            </w:r>
          </w:p>
        </w:tc>
        <w:tc>
          <w:tcPr>
            <w:tcW w:w="1620" w:type="dxa"/>
            <w:shd w:val="clear" w:color="auto" w:fill="auto"/>
          </w:tcPr>
          <w:p w:rsidR="00C35945" w:rsidRPr="00B4274D" w:rsidRDefault="00C35945" w:rsidP="005B3497">
            <w:pPr>
              <w:rPr>
                <w:color w:val="000000"/>
              </w:rPr>
            </w:pPr>
            <w:r w:rsidRPr="00B4274D">
              <w:rPr>
                <w:color w:val="000000"/>
              </w:rPr>
              <w:t xml:space="preserve">54, m, traumatic injuries </w:t>
            </w:r>
            <w:r w:rsidRPr="00B4274D">
              <w:rPr>
                <w:color w:val="000000"/>
              </w:rPr>
              <w:lastRenderedPageBreak/>
              <w:t>resulting in neurological symptoms (1)</w:t>
            </w:r>
          </w:p>
        </w:tc>
        <w:tc>
          <w:tcPr>
            <w:tcW w:w="2340" w:type="dxa"/>
            <w:shd w:val="clear" w:color="auto" w:fill="auto"/>
          </w:tcPr>
          <w:p w:rsidR="00C35945" w:rsidRPr="00B4274D" w:rsidRDefault="00C35945" w:rsidP="005B3497">
            <w:pPr>
              <w:rPr>
                <w:color w:val="000000"/>
              </w:rPr>
            </w:pPr>
            <w:r w:rsidRPr="00B4274D">
              <w:rPr>
                <w:color w:val="000000"/>
              </w:rPr>
              <w:lastRenderedPageBreak/>
              <w:t>HBO2: 2.0 ATA</w:t>
            </w:r>
          </w:p>
        </w:tc>
        <w:tc>
          <w:tcPr>
            <w:tcW w:w="2520" w:type="dxa"/>
            <w:shd w:val="clear" w:color="auto" w:fill="auto"/>
          </w:tcPr>
          <w:p w:rsidR="00C35945" w:rsidRPr="00B4274D" w:rsidRDefault="00C35945" w:rsidP="005B3497">
            <w:pPr>
              <w:rPr>
                <w:color w:val="000000"/>
              </w:rPr>
            </w:pPr>
            <w:r w:rsidRPr="00B4274D">
              <w:rPr>
                <w:color w:val="000000"/>
              </w:rPr>
              <w:t>Electrophysiological, metabolic and behavioral measurements.</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Following the initial treatment series of 20 exposures, the patient showed improvements, especially in sensorimotor </w:t>
            </w:r>
            <w:r w:rsidRPr="00B4274D">
              <w:rPr>
                <w:color w:val="000000"/>
              </w:rPr>
              <w:lastRenderedPageBreak/>
              <w:t xml:space="preserve">functions, but these gains were no longer observed one year after treatment.  However, after an additional treatment series of 60 exposures, the improvements were reinstated.   </w:t>
            </w:r>
          </w:p>
        </w:tc>
      </w:tr>
      <w:tr w:rsidR="00C35945" w:rsidRPr="00B4274D" w:rsidTr="005B3497">
        <w:tc>
          <w:tcPr>
            <w:tcW w:w="1350" w:type="dxa"/>
            <w:shd w:val="clear" w:color="auto" w:fill="auto"/>
          </w:tcPr>
          <w:p w:rsidR="00C35945" w:rsidRPr="00B4274D" w:rsidRDefault="00C35945" w:rsidP="005B3497">
            <w:pPr>
              <w:rPr>
                <w:color w:val="000000"/>
              </w:rPr>
            </w:pPr>
            <w:r w:rsidRPr="00B4274D">
              <w:rPr>
                <w:color w:val="000000"/>
              </w:rPr>
              <w:lastRenderedPageBreak/>
              <w:t>Lee, 2009</w:t>
            </w:r>
            <w:r w:rsidRPr="005531B8">
              <w:rPr>
                <w:noProof/>
                <w:color w:val="000000"/>
                <w:vertAlign w:val="superscript"/>
              </w:rPr>
              <w:t>33</w:t>
            </w:r>
          </w:p>
        </w:tc>
        <w:tc>
          <w:tcPr>
            <w:tcW w:w="1620" w:type="dxa"/>
            <w:shd w:val="clear" w:color="auto" w:fill="auto"/>
          </w:tcPr>
          <w:p w:rsidR="00C35945" w:rsidRPr="00B4274D" w:rsidRDefault="00C35945" w:rsidP="005B3497">
            <w:pPr>
              <w:rPr>
                <w:color w:val="000000"/>
              </w:rPr>
            </w:pPr>
            <w:r w:rsidRPr="00B4274D">
              <w:rPr>
                <w:color w:val="000000"/>
              </w:rPr>
              <w:t>40, m, subdural hemorrhage, skull bone fractures, facial bone fractures, sinus fractures, and cerebrospinal fluid (CSF) leakage after a one-story fall (1)</w:t>
            </w:r>
          </w:p>
        </w:tc>
        <w:tc>
          <w:tcPr>
            <w:tcW w:w="2340" w:type="dxa"/>
            <w:shd w:val="clear" w:color="auto" w:fill="auto"/>
          </w:tcPr>
          <w:p w:rsidR="00C35945" w:rsidRPr="00B4274D" w:rsidRDefault="00C35945" w:rsidP="005B3497">
            <w:pPr>
              <w:rPr>
                <w:color w:val="000000"/>
              </w:rPr>
            </w:pPr>
            <w:r w:rsidRPr="00B4274D">
              <w:rPr>
                <w:color w:val="000000"/>
              </w:rPr>
              <w:t>HBO2</w:t>
            </w:r>
          </w:p>
        </w:tc>
        <w:tc>
          <w:tcPr>
            <w:tcW w:w="2520" w:type="dxa"/>
            <w:shd w:val="clear" w:color="auto" w:fill="auto"/>
          </w:tcPr>
          <w:p w:rsidR="00C35945" w:rsidRPr="00B4274D" w:rsidRDefault="00C35945" w:rsidP="005B3497">
            <w:pPr>
              <w:rPr>
                <w:color w:val="000000"/>
              </w:rPr>
            </w:pPr>
          </w:p>
        </w:tc>
        <w:tc>
          <w:tcPr>
            <w:tcW w:w="2160" w:type="dxa"/>
          </w:tcPr>
          <w:p w:rsidR="00C35945" w:rsidRPr="00B4274D" w:rsidRDefault="00C35945" w:rsidP="005B3497">
            <w:pPr>
              <w:rPr>
                <w:color w:val="000000"/>
              </w:rPr>
            </w:pPr>
            <w:r w:rsidRPr="00B4274D">
              <w:rPr>
                <w:color w:val="2F3132"/>
              </w:rPr>
              <w:t xml:space="preserve">Tension </w:t>
            </w:r>
            <w:proofErr w:type="spellStart"/>
            <w:r w:rsidRPr="00B4274D">
              <w:rPr>
                <w:color w:val="2F3132"/>
              </w:rPr>
              <w:t>pneumocephalus</w:t>
            </w:r>
            <w:proofErr w:type="spellEnd"/>
            <w:r w:rsidRPr="00B4274D">
              <w:rPr>
                <w:color w:val="2F3132"/>
              </w:rPr>
              <w:t xml:space="preserve"> (n=1)</w:t>
            </w:r>
          </w:p>
        </w:tc>
        <w:tc>
          <w:tcPr>
            <w:tcW w:w="3960" w:type="dxa"/>
            <w:shd w:val="clear" w:color="auto" w:fill="auto"/>
          </w:tcPr>
          <w:p w:rsidR="00C35945" w:rsidRPr="00B4274D" w:rsidRDefault="00C35945" w:rsidP="005B3497">
            <w:pPr>
              <w:rPr>
                <w:color w:val="000000"/>
              </w:rPr>
            </w:pPr>
            <w:r w:rsidRPr="00B4274D">
              <w:rPr>
                <w:color w:val="2F3132"/>
              </w:rPr>
              <w:t xml:space="preserve">This case report advises that </w:t>
            </w:r>
            <w:proofErr w:type="spellStart"/>
            <w:r w:rsidRPr="00B4274D">
              <w:rPr>
                <w:color w:val="2F3132"/>
              </w:rPr>
              <w:t>pneumocephalus</w:t>
            </w:r>
            <w:proofErr w:type="spellEnd"/>
            <w:r w:rsidRPr="00B4274D">
              <w:rPr>
                <w:color w:val="2F3132"/>
              </w:rPr>
              <w:t>, untreated skull base fracture, and CSF leakage should be considered contraindications to HBOT.</w:t>
            </w:r>
          </w:p>
        </w:tc>
      </w:tr>
      <w:tr w:rsidR="00C35945" w:rsidRPr="00B4274D" w:rsidTr="005B3497">
        <w:tc>
          <w:tcPr>
            <w:tcW w:w="1350" w:type="dxa"/>
            <w:shd w:val="clear" w:color="auto" w:fill="auto"/>
          </w:tcPr>
          <w:p w:rsidR="00C35945" w:rsidRPr="00B4274D" w:rsidRDefault="00C35945" w:rsidP="005B3497">
            <w:pPr>
              <w:rPr>
                <w:color w:val="000000"/>
              </w:rPr>
            </w:pPr>
            <w:r w:rsidRPr="00B4274D">
              <w:rPr>
                <w:color w:val="000000"/>
              </w:rPr>
              <w:lastRenderedPageBreak/>
              <w:t>Lee, 2012</w:t>
            </w:r>
            <w:r w:rsidRPr="005531B8">
              <w:rPr>
                <w:noProof/>
                <w:color w:val="000000"/>
                <w:vertAlign w:val="superscript"/>
              </w:rPr>
              <w:t>34</w:t>
            </w:r>
          </w:p>
        </w:tc>
        <w:tc>
          <w:tcPr>
            <w:tcW w:w="1620" w:type="dxa"/>
            <w:shd w:val="clear" w:color="auto" w:fill="auto"/>
          </w:tcPr>
          <w:p w:rsidR="00C35945" w:rsidRPr="00B4274D" w:rsidRDefault="00C35945" w:rsidP="005B3497">
            <w:pPr>
              <w:rPr>
                <w:color w:val="000000"/>
              </w:rPr>
            </w:pPr>
            <w:r w:rsidRPr="00B4274D">
              <w:rPr>
                <w:color w:val="000000"/>
              </w:rPr>
              <w:t>25, m, left occipital bone fracture and subarachnoid and subdural hemorrhage after being hit by a car (1)</w:t>
            </w:r>
          </w:p>
        </w:tc>
        <w:tc>
          <w:tcPr>
            <w:tcW w:w="2340" w:type="dxa"/>
            <w:shd w:val="clear" w:color="auto" w:fill="auto"/>
          </w:tcPr>
          <w:p w:rsidR="00C35945" w:rsidRPr="00B4274D" w:rsidRDefault="00C35945" w:rsidP="005B3497">
            <w:pPr>
              <w:rPr>
                <w:color w:val="000000"/>
              </w:rPr>
            </w:pPr>
            <w:r w:rsidRPr="00B4274D">
              <w:rPr>
                <w:color w:val="000000"/>
              </w:rPr>
              <w:t>HBO2</w:t>
            </w:r>
          </w:p>
        </w:tc>
        <w:tc>
          <w:tcPr>
            <w:tcW w:w="2520" w:type="dxa"/>
            <w:shd w:val="clear" w:color="auto" w:fill="auto"/>
          </w:tcPr>
          <w:p w:rsidR="00C35945" w:rsidRPr="00B4274D" w:rsidRDefault="00C35945" w:rsidP="005B3497">
            <w:pPr>
              <w:rPr>
                <w:color w:val="000000"/>
              </w:rPr>
            </w:pPr>
          </w:p>
        </w:tc>
        <w:tc>
          <w:tcPr>
            <w:tcW w:w="2160" w:type="dxa"/>
          </w:tcPr>
          <w:p w:rsidR="00C35945" w:rsidRPr="00B4274D" w:rsidRDefault="00C35945" w:rsidP="005B3497">
            <w:pPr>
              <w:rPr>
                <w:color w:val="000000"/>
              </w:rPr>
            </w:pPr>
            <w:r w:rsidRPr="00B4274D">
              <w:rPr>
                <w:color w:val="2F3132"/>
              </w:rPr>
              <w:t xml:space="preserve">Tension </w:t>
            </w:r>
            <w:proofErr w:type="spellStart"/>
            <w:r w:rsidRPr="00B4274D">
              <w:rPr>
                <w:color w:val="2F3132"/>
              </w:rPr>
              <w:t>pneumocephalus</w:t>
            </w:r>
            <w:proofErr w:type="spellEnd"/>
            <w:r w:rsidRPr="00B4274D">
              <w:rPr>
                <w:color w:val="2F3132"/>
              </w:rPr>
              <w:t xml:space="preserve"> (n=1)</w:t>
            </w:r>
          </w:p>
        </w:tc>
        <w:tc>
          <w:tcPr>
            <w:tcW w:w="3960" w:type="dxa"/>
            <w:shd w:val="clear" w:color="auto" w:fill="auto"/>
          </w:tcPr>
          <w:p w:rsidR="00C35945" w:rsidRPr="00B4274D" w:rsidRDefault="00C35945" w:rsidP="005B3497">
            <w:pPr>
              <w:rPr>
                <w:color w:val="000000"/>
              </w:rPr>
            </w:pPr>
            <w:r w:rsidRPr="00B4274D">
              <w:rPr>
                <w:color w:val="000000"/>
              </w:rPr>
              <w:t xml:space="preserve">This case report suggests that patients with unrepaired skull base fracture and cerebrospinal fluid diversion be carefully evaluated before receiving hyperbaric oxygen therapy.  </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t>Neubauer</w:t>
            </w:r>
            <w:proofErr w:type="spellEnd"/>
            <w:r w:rsidRPr="00B4274D">
              <w:rPr>
                <w:color w:val="000000"/>
              </w:rPr>
              <w:t>, 1994</w:t>
            </w:r>
            <w:r w:rsidR="007F30C3">
              <w:rPr>
                <w:noProof/>
                <w:color w:val="000000"/>
                <w:vertAlign w:val="superscript"/>
              </w:rPr>
              <w:t>53</w:t>
            </w:r>
          </w:p>
        </w:tc>
        <w:tc>
          <w:tcPr>
            <w:tcW w:w="1620" w:type="dxa"/>
            <w:shd w:val="clear" w:color="auto" w:fill="auto"/>
          </w:tcPr>
          <w:p w:rsidR="00C35945" w:rsidRPr="00B4274D" w:rsidRDefault="00C35945" w:rsidP="005B3497">
            <w:pPr>
              <w:rPr>
                <w:color w:val="000000"/>
              </w:rPr>
            </w:pPr>
            <w:r w:rsidRPr="00B4274D">
              <w:rPr>
                <w:color w:val="000000"/>
              </w:rPr>
              <w:t>40, m, closed head injury after a car accident (1)</w:t>
            </w:r>
          </w:p>
        </w:tc>
        <w:tc>
          <w:tcPr>
            <w:tcW w:w="2340" w:type="dxa"/>
            <w:shd w:val="clear" w:color="auto" w:fill="auto"/>
          </w:tcPr>
          <w:p w:rsidR="00C35945" w:rsidRPr="00B4274D" w:rsidRDefault="00C35945" w:rsidP="005B3497">
            <w:pPr>
              <w:rPr>
                <w:color w:val="000000"/>
              </w:rPr>
            </w:pPr>
            <w:r w:rsidRPr="00B4274D">
              <w:rPr>
                <w:color w:val="000000"/>
              </w:rPr>
              <w:t xml:space="preserve">HBO2: 1.5 &amp; 1.75 ATA within a </w:t>
            </w:r>
            <w:proofErr w:type="spellStart"/>
            <w:r w:rsidRPr="00B4274D">
              <w:rPr>
                <w:color w:val="000000"/>
              </w:rPr>
              <w:t>monoplace</w:t>
            </w:r>
            <w:proofErr w:type="spellEnd"/>
            <w:r w:rsidRPr="00B4274D">
              <w:rPr>
                <w:color w:val="000000"/>
              </w:rPr>
              <w:t xml:space="preserve"> chamber </w:t>
            </w:r>
          </w:p>
        </w:tc>
        <w:tc>
          <w:tcPr>
            <w:tcW w:w="2520" w:type="dxa"/>
            <w:shd w:val="clear" w:color="auto" w:fill="auto"/>
          </w:tcPr>
          <w:p w:rsidR="00C35945" w:rsidRPr="00B4274D" w:rsidRDefault="00C35945" w:rsidP="005B3497">
            <w:pPr>
              <w:rPr>
                <w:color w:val="000000"/>
              </w:rPr>
            </w:pPr>
            <w:r w:rsidRPr="00B4274D">
              <w:rPr>
                <w:color w:val="000000"/>
              </w:rPr>
              <w:t>SPECT</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There was a significant improvement with recoverable brain tissue.  </w:t>
            </w:r>
          </w:p>
        </w:tc>
      </w:tr>
      <w:tr w:rsidR="00C35945" w:rsidRPr="00B4274D" w:rsidTr="005B3497">
        <w:tc>
          <w:tcPr>
            <w:tcW w:w="1350" w:type="dxa"/>
            <w:tcBorders>
              <w:bottom w:val="single" w:sz="4" w:space="0" w:color="auto"/>
            </w:tcBorders>
            <w:shd w:val="clear" w:color="auto" w:fill="auto"/>
          </w:tcPr>
          <w:p w:rsidR="00C35945" w:rsidRPr="00B4274D" w:rsidRDefault="00C35945" w:rsidP="007F30C3">
            <w:pPr>
              <w:rPr>
                <w:color w:val="000000"/>
              </w:rPr>
            </w:pPr>
            <w:r w:rsidRPr="00B4274D">
              <w:rPr>
                <w:color w:val="000000"/>
              </w:rPr>
              <w:t>Woolley, 1999</w:t>
            </w:r>
            <w:r w:rsidR="007F30C3">
              <w:rPr>
                <w:noProof/>
                <w:color w:val="000000"/>
                <w:vertAlign w:val="superscript"/>
              </w:rPr>
              <w:t>54</w:t>
            </w:r>
          </w:p>
        </w:tc>
        <w:tc>
          <w:tcPr>
            <w:tcW w:w="1620" w:type="dxa"/>
            <w:tcBorders>
              <w:bottom w:val="single" w:sz="4" w:space="0" w:color="auto"/>
            </w:tcBorders>
            <w:shd w:val="clear" w:color="auto" w:fill="auto"/>
          </w:tcPr>
          <w:p w:rsidR="00C35945" w:rsidRPr="00B4274D" w:rsidRDefault="00C35945" w:rsidP="005B3497">
            <w:pPr>
              <w:rPr>
                <w:color w:val="000000"/>
              </w:rPr>
            </w:pPr>
            <w:r w:rsidRPr="00B4274D">
              <w:rPr>
                <w:color w:val="000000"/>
              </w:rPr>
              <w:t>17, m, severe TBI (1)</w:t>
            </w:r>
          </w:p>
        </w:tc>
        <w:tc>
          <w:tcPr>
            <w:tcW w:w="2340" w:type="dxa"/>
            <w:tcBorders>
              <w:bottom w:val="single" w:sz="4" w:space="0" w:color="auto"/>
            </w:tcBorders>
            <w:shd w:val="clear" w:color="auto" w:fill="auto"/>
          </w:tcPr>
          <w:p w:rsidR="00C35945" w:rsidRPr="00B4274D" w:rsidRDefault="00C35945" w:rsidP="005B3497">
            <w:pPr>
              <w:rPr>
                <w:color w:val="000000"/>
              </w:rPr>
            </w:pPr>
            <w:r w:rsidRPr="00B4274D">
              <w:rPr>
                <w:color w:val="000000"/>
              </w:rPr>
              <w:t>HBO2: 1.5 ATA</w:t>
            </w:r>
          </w:p>
        </w:tc>
        <w:tc>
          <w:tcPr>
            <w:tcW w:w="2520" w:type="dxa"/>
            <w:tcBorders>
              <w:bottom w:val="single" w:sz="4" w:space="0" w:color="auto"/>
            </w:tcBorders>
            <w:shd w:val="clear" w:color="auto" w:fill="auto"/>
          </w:tcPr>
          <w:p w:rsidR="00C35945" w:rsidRPr="00B4274D" w:rsidRDefault="00C35945" w:rsidP="005B3497">
            <w:pPr>
              <w:rPr>
                <w:color w:val="000000"/>
              </w:rPr>
            </w:pPr>
            <w:r w:rsidRPr="00B4274D">
              <w:rPr>
                <w:color w:val="000000"/>
              </w:rPr>
              <w:t>Postural stability and gait</w:t>
            </w:r>
          </w:p>
        </w:tc>
        <w:tc>
          <w:tcPr>
            <w:tcW w:w="2160" w:type="dxa"/>
            <w:tcBorders>
              <w:bottom w:val="single" w:sz="4" w:space="0" w:color="auto"/>
            </w:tcBorders>
          </w:tcPr>
          <w:p w:rsidR="00C35945" w:rsidRPr="00B4274D" w:rsidRDefault="00C35945" w:rsidP="005B3497">
            <w:pPr>
              <w:rPr>
                <w:color w:val="000000"/>
              </w:rPr>
            </w:pPr>
            <w:r w:rsidRPr="00B4274D">
              <w:rPr>
                <w:color w:val="000000"/>
              </w:rPr>
              <w:t>ND</w:t>
            </w:r>
          </w:p>
        </w:tc>
        <w:tc>
          <w:tcPr>
            <w:tcW w:w="3960" w:type="dxa"/>
            <w:tcBorders>
              <w:bottom w:val="single" w:sz="4" w:space="0" w:color="auto"/>
            </w:tcBorders>
            <w:shd w:val="clear" w:color="auto" w:fill="auto"/>
          </w:tcPr>
          <w:p w:rsidR="00C35945" w:rsidRPr="00B4274D" w:rsidRDefault="00C35945" w:rsidP="005B3497">
            <w:pPr>
              <w:rPr>
                <w:color w:val="000000"/>
              </w:rPr>
            </w:pPr>
            <w:r w:rsidRPr="00B4274D">
              <w:rPr>
                <w:color w:val="000000"/>
              </w:rPr>
              <w:t xml:space="preserve">Although some improvements in postural stability and walking abilities were observed immediately following HBO2, these improvements were not evident at six weeks measurement.  </w:t>
            </w:r>
          </w:p>
        </w:tc>
      </w:tr>
      <w:tr w:rsidR="00C35945" w:rsidRPr="00B4274D" w:rsidTr="005B3497">
        <w:tc>
          <w:tcPr>
            <w:tcW w:w="13950" w:type="dxa"/>
            <w:gridSpan w:val="6"/>
            <w:shd w:val="clear" w:color="auto" w:fill="87B0E1"/>
          </w:tcPr>
          <w:p w:rsidR="00C35945" w:rsidRPr="00B4274D" w:rsidRDefault="00C35945" w:rsidP="005B3497">
            <w:pPr>
              <w:jc w:val="center"/>
              <w:rPr>
                <w:b/>
                <w:color w:val="000000"/>
              </w:rPr>
            </w:pPr>
            <w:r w:rsidRPr="00B4274D">
              <w:rPr>
                <w:b/>
                <w:color w:val="000000"/>
              </w:rPr>
              <w:lastRenderedPageBreak/>
              <w:t>Case Series</w:t>
            </w:r>
          </w:p>
        </w:tc>
      </w:tr>
      <w:tr w:rsidR="00C35945" w:rsidRPr="00B4274D" w:rsidTr="005B3497">
        <w:tc>
          <w:tcPr>
            <w:tcW w:w="1350" w:type="dxa"/>
            <w:shd w:val="clear" w:color="auto" w:fill="auto"/>
          </w:tcPr>
          <w:p w:rsidR="00C35945" w:rsidRPr="00B4274D" w:rsidRDefault="00C35945" w:rsidP="007F30C3">
            <w:pPr>
              <w:rPr>
                <w:color w:val="000000"/>
              </w:rPr>
            </w:pPr>
            <w:r w:rsidRPr="00B4274D">
              <w:rPr>
                <w:color w:val="000000"/>
              </w:rPr>
              <w:t>Wright, 2009</w:t>
            </w:r>
            <w:r w:rsidR="007F30C3">
              <w:rPr>
                <w:noProof/>
                <w:color w:val="000000"/>
                <w:vertAlign w:val="superscript"/>
              </w:rPr>
              <w:t>55</w:t>
            </w:r>
          </w:p>
        </w:tc>
        <w:tc>
          <w:tcPr>
            <w:tcW w:w="1620" w:type="dxa"/>
            <w:shd w:val="clear" w:color="auto" w:fill="auto"/>
          </w:tcPr>
          <w:p w:rsidR="00C35945" w:rsidRPr="00B4274D" w:rsidRDefault="00C35945" w:rsidP="005B3497">
            <w:pPr>
              <w:rPr>
                <w:color w:val="000000"/>
              </w:rPr>
            </w:pPr>
            <w:r w:rsidRPr="00B4274D">
              <w:rPr>
                <w:color w:val="000000"/>
              </w:rPr>
              <w:t xml:space="preserve">US Air Force Airmen with </w:t>
            </w:r>
            <w:proofErr w:type="spellStart"/>
            <w:r w:rsidRPr="00B4274D">
              <w:rPr>
                <w:color w:val="000000"/>
              </w:rPr>
              <w:t>mTBI</w:t>
            </w:r>
            <w:proofErr w:type="spellEnd"/>
            <w:r w:rsidRPr="00B4274D">
              <w:rPr>
                <w:color w:val="000000"/>
              </w:rPr>
              <w:t xml:space="preserve"> and accompanying symptoms, such as irritability, sleep disturbances, and headaches (2)</w:t>
            </w:r>
          </w:p>
        </w:tc>
        <w:tc>
          <w:tcPr>
            <w:tcW w:w="2340" w:type="dxa"/>
            <w:shd w:val="clear" w:color="auto" w:fill="auto"/>
          </w:tcPr>
          <w:p w:rsidR="00C35945" w:rsidRPr="00B4274D" w:rsidRDefault="00C35945" w:rsidP="005B3497">
            <w:pPr>
              <w:rPr>
                <w:color w:val="000000"/>
              </w:rPr>
            </w:pPr>
            <w:r w:rsidRPr="00B4274D">
              <w:rPr>
                <w:color w:val="000000"/>
              </w:rPr>
              <w:t>HBO2: 1.5 ATA</w:t>
            </w:r>
          </w:p>
        </w:tc>
        <w:tc>
          <w:tcPr>
            <w:tcW w:w="2520" w:type="dxa"/>
            <w:shd w:val="clear" w:color="auto" w:fill="auto"/>
          </w:tcPr>
          <w:p w:rsidR="00C35945" w:rsidRPr="00B4274D" w:rsidRDefault="00C35945" w:rsidP="005B3497">
            <w:pPr>
              <w:rPr>
                <w:color w:val="000000"/>
              </w:rPr>
            </w:pPr>
            <w:r w:rsidRPr="00B4274D">
              <w:rPr>
                <w:color w:val="000000"/>
              </w:rPr>
              <w:t>Automated Neuropsychological Assessment Metrics (ANAM) testing.</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There was a significant improvement in all measured areas of ANAM as well as improvements in most symptoms, including headache and sleep disturbances.  </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t>Artru</w:t>
            </w:r>
            <w:proofErr w:type="spellEnd"/>
            <w:r w:rsidRPr="00B4274D">
              <w:rPr>
                <w:color w:val="000000"/>
              </w:rPr>
              <w:t>, 1976</w:t>
            </w:r>
            <w:r w:rsidR="007F30C3">
              <w:rPr>
                <w:noProof/>
                <w:color w:val="000000"/>
                <w:vertAlign w:val="superscript"/>
              </w:rPr>
              <w:t>56</w:t>
            </w:r>
            <w:r w:rsidRPr="00B4274D">
              <w:rPr>
                <w:color w:val="000000"/>
              </w:rPr>
              <w:t xml:space="preserve"> </w:t>
            </w:r>
          </w:p>
        </w:tc>
        <w:tc>
          <w:tcPr>
            <w:tcW w:w="1620" w:type="dxa"/>
            <w:shd w:val="clear" w:color="auto" w:fill="auto"/>
          </w:tcPr>
          <w:p w:rsidR="00C35945" w:rsidRPr="00B4274D" w:rsidRDefault="00C35945" w:rsidP="005B3497">
            <w:pPr>
              <w:rPr>
                <w:color w:val="000000"/>
              </w:rPr>
            </w:pPr>
            <w:r w:rsidRPr="00B4274D">
              <w:rPr>
                <w:color w:val="000000"/>
              </w:rPr>
              <w:t>Head-injured patients, in coma (ND)</w:t>
            </w:r>
          </w:p>
        </w:tc>
        <w:tc>
          <w:tcPr>
            <w:tcW w:w="2340" w:type="dxa"/>
            <w:shd w:val="clear" w:color="auto" w:fill="auto"/>
          </w:tcPr>
          <w:p w:rsidR="00C35945" w:rsidRPr="00B4274D" w:rsidRDefault="00C35945" w:rsidP="005B3497">
            <w:pPr>
              <w:rPr>
                <w:color w:val="000000"/>
              </w:rPr>
            </w:pPr>
            <w:r w:rsidRPr="00B4274D">
              <w:rPr>
                <w:color w:val="000000"/>
              </w:rPr>
              <w:t>HBO2: 2.5 ATA</w:t>
            </w:r>
          </w:p>
        </w:tc>
        <w:tc>
          <w:tcPr>
            <w:tcW w:w="2520" w:type="dxa"/>
            <w:shd w:val="clear" w:color="auto" w:fill="auto"/>
          </w:tcPr>
          <w:p w:rsidR="00C35945" w:rsidRPr="00B4274D" w:rsidRDefault="00C35945" w:rsidP="005B3497">
            <w:pPr>
              <w:rPr>
                <w:color w:val="2F3132"/>
              </w:rPr>
            </w:pPr>
            <w:r w:rsidRPr="00B4274D">
              <w:rPr>
                <w:color w:val="2F3132"/>
              </w:rPr>
              <w:t>Cerebral blood flow (CBF), cerebral metabolic rates of oxygen (CMRO</w:t>
            </w:r>
            <w:r w:rsidRPr="00B4274D">
              <w:rPr>
                <w:color w:val="2F3132"/>
                <w:vertAlign w:val="subscript"/>
              </w:rPr>
              <w:t>2</w:t>
            </w:r>
            <w:r w:rsidRPr="00B4274D">
              <w:rPr>
                <w:color w:val="2F3132"/>
              </w:rPr>
              <w:t xml:space="preserve">), glucose (CMRGL), lactate (CMRL act), and various </w:t>
            </w:r>
            <w:r w:rsidRPr="00B4274D">
              <w:rPr>
                <w:color w:val="2F3132"/>
              </w:rPr>
              <w:lastRenderedPageBreak/>
              <w:t>cerebrospinal fluid (CSF) parameters.</w:t>
            </w:r>
          </w:p>
        </w:tc>
        <w:tc>
          <w:tcPr>
            <w:tcW w:w="2160" w:type="dxa"/>
          </w:tcPr>
          <w:p w:rsidR="00C35945" w:rsidRPr="00B4274D" w:rsidRDefault="00C35945" w:rsidP="005B3497">
            <w:pPr>
              <w:rPr>
                <w:color w:val="2F3132"/>
              </w:rPr>
            </w:pPr>
            <w:r w:rsidRPr="00B4274D">
              <w:rPr>
                <w:color w:val="2F3132"/>
              </w:rPr>
              <w:lastRenderedPageBreak/>
              <w:t>ND</w:t>
            </w:r>
          </w:p>
        </w:tc>
        <w:tc>
          <w:tcPr>
            <w:tcW w:w="3960" w:type="dxa"/>
            <w:shd w:val="clear" w:color="auto" w:fill="auto"/>
          </w:tcPr>
          <w:p w:rsidR="00C35945" w:rsidRPr="00B4274D" w:rsidRDefault="00C35945" w:rsidP="005B3497">
            <w:pPr>
              <w:rPr>
                <w:color w:val="2F3132"/>
              </w:rPr>
            </w:pPr>
            <w:r w:rsidRPr="00B4274D">
              <w:rPr>
                <w:color w:val="2F3132"/>
              </w:rPr>
              <w:t xml:space="preserve">Changes to CBF following HBO2 were inconsistent, increasing in some patients and decreasing in others. Changes in cerebral metabolic rates were also inconsistent.  A correlation, however, was </w:t>
            </w:r>
            <w:r w:rsidRPr="00B4274D">
              <w:rPr>
                <w:color w:val="2F3132"/>
              </w:rPr>
              <w:lastRenderedPageBreak/>
              <w:t>found between the variations of CMRGL and those of arterial blood and CSF glucose content.</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lastRenderedPageBreak/>
              <w:t>Hollin</w:t>
            </w:r>
            <w:proofErr w:type="spellEnd"/>
            <w:r w:rsidRPr="00B4274D">
              <w:rPr>
                <w:color w:val="000000"/>
              </w:rPr>
              <w:t>, 1968</w:t>
            </w:r>
            <w:r w:rsidR="007F30C3">
              <w:rPr>
                <w:noProof/>
                <w:color w:val="000000"/>
                <w:vertAlign w:val="superscript"/>
              </w:rPr>
              <w:t>57</w:t>
            </w:r>
          </w:p>
        </w:tc>
        <w:tc>
          <w:tcPr>
            <w:tcW w:w="1620" w:type="dxa"/>
            <w:shd w:val="clear" w:color="auto" w:fill="auto"/>
          </w:tcPr>
          <w:p w:rsidR="00C35945" w:rsidRPr="00B4274D" w:rsidRDefault="00C35945" w:rsidP="005B3497">
            <w:pPr>
              <w:rPr>
                <w:color w:val="000000"/>
              </w:rPr>
            </w:pPr>
            <w:r w:rsidRPr="00B4274D">
              <w:rPr>
                <w:color w:val="000000"/>
              </w:rPr>
              <w:t>Severe head injuries; chronic neurological residua following subarachnoid hemorrhage and craniotomy for an aneurysm (5)</w:t>
            </w:r>
          </w:p>
        </w:tc>
        <w:tc>
          <w:tcPr>
            <w:tcW w:w="2340" w:type="dxa"/>
            <w:shd w:val="clear" w:color="auto" w:fill="auto"/>
          </w:tcPr>
          <w:p w:rsidR="00C35945" w:rsidRPr="00B4274D" w:rsidRDefault="00C35945" w:rsidP="005B3497">
            <w:pPr>
              <w:rPr>
                <w:color w:val="000000"/>
              </w:rPr>
            </w:pPr>
            <w:r w:rsidRPr="00B4274D">
              <w:rPr>
                <w:color w:val="000000"/>
              </w:rPr>
              <w:t>HBO2: up to 3 ATA</w:t>
            </w:r>
          </w:p>
        </w:tc>
        <w:tc>
          <w:tcPr>
            <w:tcW w:w="2520" w:type="dxa"/>
            <w:shd w:val="clear" w:color="auto" w:fill="auto"/>
          </w:tcPr>
          <w:p w:rsidR="00C35945" w:rsidRPr="00B4274D" w:rsidRDefault="00C35945" w:rsidP="005B3497">
            <w:pPr>
              <w:rPr>
                <w:color w:val="000000"/>
              </w:rPr>
            </w:pPr>
            <w:r w:rsidRPr="00B4274D">
              <w:rPr>
                <w:color w:val="000000"/>
              </w:rPr>
              <w:t>Cerebrospinal fluid pO</w:t>
            </w:r>
            <w:r w:rsidRPr="00B4274D">
              <w:rPr>
                <w:color w:val="000000"/>
                <w:vertAlign w:val="subscript"/>
              </w:rPr>
              <w:t>2</w:t>
            </w:r>
            <w:r w:rsidRPr="00B4274D">
              <w:rPr>
                <w:color w:val="000000"/>
              </w:rPr>
              <w:t>, pCO</w:t>
            </w:r>
            <w:r w:rsidRPr="00B4274D">
              <w:rPr>
                <w:color w:val="000000"/>
                <w:vertAlign w:val="subscript"/>
              </w:rPr>
              <w:t>2</w:t>
            </w:r>
            <w:r w:rsidRPr="00B4274D">
              <w:rPr>
                <w:color w:val="000000"/>
              </w:rPr>
              <w:t xml:space="preserve"> and pH of cerebrospinal fluid and blood.  </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After HBO2, there was an increase in </w:t>
            </w:r>
            <w:proofErr w:type="spellStart"/>
            <w:r w:rsidRPr="00B4274D">
              <w:rPr>
                <w:color w:val="000000"/>
              </w:rPr>
              <w:t>cisternal</w:t>
            </w:r>
            <w:proofErr w:type="spellEnd"/>
            <w:r w:rsidRPr="00B4274D">
              <w:rPr>
                <w:color w:val="000000"/>
              </w:rPr>
              <w:t xml:space="preserve"> cerebrospinal fluid oxygen tension.</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t>Lv</w:t>
            </w:r>
            <w:proofErr w:type="spellEnd"/>
            <w:r w:rsidRPr="00B4274D">
              <w:rPr>
                <w:color w:val="000000"/>
              </w:rPr>
              <w:t>, 2011</w:t>
            </w:r>
            <w:r w:rsidR="007F30C3">
              <w:rPr>
                <w:noProof/>
                <w:color w:val="000000"/>
                <w:vertAlign w:val="superscript"/>
              </w:rPr>
              <w:t>58</w:t>
            </w:r>
          </w:p>
        </w:tc>
        <w:tc>
          <w:tcPr>
            <w:tcW w:w="1620" w:type="dxa"/>
            <w:shd w:val="clear" w:color="auto" w:fill="auto"/>
          </w:tcPr>
          <w:p w:rsidR="00C35945" w:rsidRPr="00B4274D" w:rsidRDefault="00C35945" w:rsidP="005B3497">
            <w:pPr>
              <w:rPr>
                <w:color w:val="000000"/>
              </w:rPr>
            </w:pPr>
            <w:r w:rsidRPr="00B4274D">
              <w:rPr>
                <w:color w:val="000000"/>
              </w:rPr>
              <w:t xml:space="preserve">Paroxysmal sympathetic </w:t>
            </w:r>
            <w:r w:rsidRPr="00B4274D">
              <w:rPr>
                <w:color w:val="000000"/>
              </w:rPr>
              <w:lastRenderedPageBreak/>
              <w:t>hyperactivity (PSH) following extremely severe TBI (6)</w:t>
            </w:r>
          </w:p>
        </w:tc>
        <w:tc>
          <w:tcPr>
            <w:tcW w:w="2340" w:type="dxa"/>
            <w:shd w:val="clear" w:color="auto" w:fill="auto"/>
          </w:tcPr>
          <w:p w:rsidR="00C35945" w:rsidRPr="00B4274D" w:rsidRDefault="00C35945" w:rsidP="005B3497">
            <w:pPr>
              <w:rPr>
                <w:color w:val="000000"/>
              </w:rPr>
            </w:pPr>
            <w:r w:rsidRPr="00B4274D">
              <w:rPr>
                <w:color w:val="000000"/>
              </w:rPr>
              <w:lastRenderedPageBreak/>
              <w:t>HBO2</w:t>
            </w:r>
          </w:p>
        </w:tc>
        <w:tc>
          <w:tcPr>
            <w:tcW w:w="2520" w:type="dxa"/>
            <w:shd w:val="clear" w:color="auto" w:fill="auto"/>
          </w:tcPr>
          <w:p w:rsidR="00C35945" w:rsidRPr="00B4274D" w:rsidRDefault="00C35945" w:rsidP="005B3497">
            <w:pPr>
              <w:rPr>
                <w:color w:val="000000"/>
              </w:rPr>
            </w:pPr>
            <w:r w:rsidRPr="00B4274D">
              <w:rPr>
                <w:color w:val="000000"/>
              </w:rPr>
              <w:t>ND</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 xml:space="preserve">After limited success with conventional medication regimens, HBO2 was </w:t>
            </w:r>
            <w:r w:rsidRPr="00B4274D">
              <w:rPr>
                <w:color w:val="000000"/>
              </w:rPr>
              <w:lastRenderedPageBreak/>
              <w:t xml:space="preserve">successfully used in these patients to control paroxysmal autonomic changes and posturing in the early sub-acute phase.  </w:t>
            </w:r>
          </w:p>
        </w:tc>
      </w:tr>
      <w:tr w:rsidR="00C35945" w:rsidRPr="00B4274D" w:rsidTr="005B3497">
        <w:tc>
          <w:tcPr>
            <w:tcW w:w="1350" w:type="dxa"/>
            <w:shd w:val="clear" w:color="auto" w:fill="auto"/>
          </w:tcPr>
          <w:p w:rsidR="00C35945" w:rsidRPr="00B4274D" w:rsidRDefault="00C35945" w:rsidP="007F30C3">
            <w:pPr>
              <w:rPr>
                <w:color w:val="000000"/>
              </w:rPr>
            </w:pPr>
            <w:proofErr w:type="spellStart"/>
            <w:r w:rsidRPr="00B4274D">
              <w:rPr>
                <w:color w:val="000000"/>
              </w:rPr>
              <w:lastRenderedPageBreak/>
              <w:t>Mitani</w:t>
            </w:r>
            <w:proofErr w:type="spellEnd"/>
            <w:r w:rsidRPr="00B4274D">
              <w:rPr>
                <w:color w:val="000000"/>
              </w:rPr>
              <w:t>, 2004</w:t>
            </w:r>
            <w:r w:rsidR="007F30C3">
              <w:rPr>
                <w:noProof/>
                <w:color w:val="000000"/>
                <w:vertAlign w:val="superscript"/>
              </w:rPr>
              <w:t>59</w:t>
            </w:r>
          </w:p>
        </w:tc>
        <w:tc>
          <w:tcPr>
            <w:tcW w:w="1620" w:type="dxa"/>
            <w:shd w:val="clear" w:color="auto" w:fill="auto"/>
          </w:tcPr>
          <w:p w:rsidR="00C35945" w:rsidRPr="00B4274D" w:rsidRDefault="00C35945" w:rsidP="005B3497">
            <w:pPr>
              <w:rPr>
                <w:color w:val="000000"/>
              </w:rPr>
            </w:pPr>
            <w:r w:rsidRPr="00B4274D">
              <w:rPr>
                <w:color w:val="000000"/>
              </w:rPr>
              <w:t>Acute subdural hematoma (ASH) or diffuse axonal injury (DAI) following traumatic head injuries (ND)</w:t>
            </w:r>
          </w:p>
        </w:tc>
        <w:tc>
          <w:tcPr>
            <w:tcW w:w="2340" w:type="dxa"/>
            <w:shd w:val="clear" w:color="auto" w:fill="auto"/>
          </w:tcPr>
          <w:p w:rsidR="00C35945" w:rsidRPr="00B4274D" w:rsidRDefault="00C35945" w:rsidP="005B3497">
            <w:pPr>
              <w:rPr>
                <w:color w:val="000000"/>
              </w:rPr>
            </w:pPr>
            <w:r w:rsidRPr="00B4274D">
              <w:rPr>
                <w:color w:val="000000"/>
              </w:rPr>
              <w:t>HBO2</w:t>
            </w:r>
          </w:p>
        </w:tc>
        <w:tc>
          <w:tcPr>
            <w:tcW w:w="2520" w:type="dxa"/>
            <w:shd w:val="clear" w:color="auto" w:fill="auto"/>
          </w:tcPr>
          <w:p w:rsidR="00C35945" w:rsidRPr="00B4274D" w:rsidRDefault="00C35945" w:rsidP="005B3497">
            <w:pPr>
              <w:rPr>
                <w:color w:val="000000"/>
              </w:rPr>
            </w:pPr>
            <w:r w:rsidRPr="00B4274D">
              <w:rPr>
                <w:color w:val="000000"/>
              </w:rPr>
              <w:t>Glasgow Outcome Scale (GOS).</w:t>
            </w:r>
          </w:p>
        </w:tc>
        <w:tc>
          <w:tcPr>
            <w:tcW w:w="2160" w:type="dxa"/>
          </w:tcPr>
          <w:p w:rsidR="00C35945" w:rsidRPr="00B4274D" w:rsidRDefault="00C35945" w:rsidP="005B3497">
            <w:pPr>
              <w:rPr>
                <w:color w:val="000000"/>
              </w:rPr>
            </w:pPr>
            <w:r w:rsidRPr="00B4274D">
              <w:rPr>
                <w:color w:val="000000"/>
              </w:rPr>
              <w:t>ND</w:t>
            </w:r>
          </w:p>
        </w:tc>
        <w:tc>
          <w:tcPr>
            <w:tcW w:w="3960" w:type="dxa"/>
            <w:shd w:val="clear" w:color="auto" w:fill="auto"/>
          </w:tcPr>
          <w:p w:rsidR="00C35945" w:rsidRPr="00B4274D" w:rsidRDefault="00C35945" w:rsidP="005B3497">
            <w:pPr>
              <w:rPr>
                <w:color w:val="000000"/>
              </w:rPr>
            </w:pPr>
            <w:r w:rsidRPr="00B4274D">
              <w:rPr>
                <w:color w:val="000000"/>
              </w:rPr>
              <w:t>Although improvements were observed in some ASH patients, the overall outcome was poor for ASH. Mild to moderate DAI patients recovered well, but outcomes were poor for those classified with severe DAI.</w:t>
            </w:r>
          </w:p>
        </w:tc>
      </w:tr>
      <w:tr w:rsidR="00C35945" w:rsidRPr="00B4274D" w:rsidTr="005B3497">
        <w:tc>
          <w:tcPr>
            <w:tcW w:w="1350" w:type="dxa"/>
            <w:shd w:val="clear" w:color="auto" w:fill="auto"/>
          </w:tcPr>
          <w:p w:rsidR="00C35945" w:rsidRPr="00B4274D" w:rsidRDefault="00C35945" w:rsidP="005B3497">
            <w:pPr>
              <w:rPr>
                <w:color w:val="000000"/>
              </w:rPr>
            </w:pPr>
            <w:proofErr w:type="spellStart"/>
            <w:r w:rsidRPr="00B4274D">
              <w:rPr>
                <w:color w:val="000000"/>
              </w:rPr>
              <w:t>Sukoff</w:t>
            </w:r>
            <w:proofErr w:type="spellEnd"/>
            <w:r w:rsidRPr="00B4274D">
              <w:rPr>
                <w:color w:val="000000"/>
              </w:rPr>
              <w:t>, 1982</w:t>
            </w:r>
            <w:r w:rsidRPr="005531B8">
              <w:rPr>
                <w:noProof/>
                <w:color w:val="000000"/>
                <w:vertAlign w:val="superscript"/>
              </w:rPr>
              <w:t>35</w:t>
            </w:r>
          </w:p>
          <w:p w:rsidR="00C35945" w:rsidRPr="00B4274D" w:rsidRDefault="00C35945" w:rsidP="005B3497">
            <w:pPr>
              <w:rPr>
                <w:color w:val="000000"/>
              </w:rPr>
            </w:pPr>
          </w:p>
        </w:tc>
        <w:tc>
          <w:tcPr>
            <w:tcW w:w="1620" w:type="dxa"/>
            <w:shd w:val="clear" w:color="auto" w:fill="auto"/>
          </w:tcPr>
          <w:p w:rsidR="00C35945" w:rsidRPr="00B4274D" w:rsidRDefault="00C35945" w:rsidP="005B3497">
            <w:pPr>
              <w:rPr>
                <w:color w:val="000000"/>
              </w:rPr>
            </w:pPr>
            <w:r w:rsidRPr="00B4274D">
              <w:rPr>
                <w:color w:val="000000"/>
              </w:rPr>
              <w:t>Acute traumatic cerebral edema (5)</w:t>
            </w:r>
          </w:p>
        </w:tc>
        <w:tc>
          <w:tcPr>
            <w:tcW w:w="2340" w:type="dxa"/>
            <w:shd w:val="clear" w:color="auto" w:fill="auto"/>
          </w:tcPr>
          <w:p w:rsidR="00C35945" w:rsidRPr="00B4274D" w:rsidRDefault="00C35945" w:rsidP="005B3497">
            <w:pPr>
              <w:rPr>
                <w:color w:val="000000"/>
              </w:rPr>
            </w:pPr>
            <w:r w:rsidRPr="00B4274D">
              <w:rPr>
                <w:color w:val="000000"/>
              </w:rPr>
              <w:t>HBO2: 2.0 ATA</w:t>
            </w:r>
          </w:p>
        </w:tc>
        <w:tc>
          <w:tcPr>
            <w:tcW w:w="2520" w:type="dxa"/>
            <w:shd w:val="clear" w:color="auto" w:fill="auto"/>
          </w:tcPr>
          <w:p w:rsidR="00C35945" w:rsidRPr="00B4274D" w:rsidRDefault="00C35945" w:rsidP="005B3497">
            <w:pPr>
              <w:rPr>
                <w:color w:val="000000"/>
              </w:rPr>
            </w:pPr>
            <w:r w:rsidRPr="00B4274D">
              <w:rPr>
                <w:color w:val="000000"/>
              </w:rPr>
              <w:t>Intracranial pressure (ICP)</w:t>
            </w:r>
            <w:proofErr w:type="gramStart"/>
            <w:r w:rsidRPr="00B4274D">
              <w:rPr>
                <w:color w:val="000000"/>
              </w:rPr>
              <w:t>,</w:t>
            </w:r>
            <w:proofErr w:type="gramEnd"/>
            <w:r w:rsidRPr="00B4274D">
              <w:rPr>
                <w:color w:val="000000"/>
              </w:rPr>
              <w:br/>
              <w:t>cerebral blood flow.</w:t>
            </w:r>
          </w:p>
        </w:tc>
        <w:tc>
          <w:tcPr>
            <w:tcW w:w="2160" w:type="dxa"/>
          </w:tcPr>
          <w:p w:rsidR="00C35945" w:rsidRPr="00B4274D" w:rsidRDefault="00C35945" w:rsidP="005B3497">
            <w:pPr>
              <w:rPr>
                <w:color w:val="000000"/>
              </w:rPr>
            </w:pPr>
            <w:r w:rsidRPr="00B4274D">
              <w:rPr>
                <w:color w:val="000000"/>
              </w:rPr>
              <w:t>Transient generalized motor seizure (n=1); major motor seizure (n=1); barotrauma (n=4).</w:t>
            </w:r>
          </w:p>
        </w:tc>
        <w:tc>
          <w:tcPr>
            <w:tcW w:w="3960" w:type="dxa"/>
            <w:shd w:val="clear" w:color="auto" w:fill="auto"/>
          </w:tcPr>
          <w:p w:rsidR="00C35945" w:rsidRPr="00B4274D" w:rsidRDefault="00C35945" w:rsidP="005B3497">
            <w:pPr>
              <w:rPr>
                <w:color w:val="000000"/>
              </w:rPr>
            </w:pPr>
            <w:r w:rsidRPr="00B4274D">
              <w:rPr>
                <w:color w:val="000000"/>
              </w:rPr>
              <w:t>HBO2 reduced ICP and cerebral blood flow while increasing cerebral oxygenation.</w:t>
            </w:r>
          </w:p>
        </w:tc>
      </w:tr>
    </w:tbl>
    <w:p w:rsidR="00485EA2" w:rsidRDefault="00710FF4"/>
    <w:sectPr w:rsidR="00485EA2" w:rsidSect="00C35945">
      <w:footerReference w:type="default" r:id="rId7"/>
      <w:pgSz w:w="15840" w:h="12240" w:orient="landscape"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45" w:rsidRDefault="00C35945" w:rsidP="00C35945">
      <w:pPr>
        <w:spacing w:line="240" w:lineRule="auto"/>
      </w:pPr>
      <w:r>
        <w:separator/>
      </w:r>
    </w:p>
  </w:endnote>
  <w:endnote w:type="continuationSeparator" w:id="0">
    <w:p w:rsidR="00C35945" w:rsidRDefault="00C35945" w:rsidP="00C3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45" w:rsidRDefault="00C35945" w:rsidP="00C35945">
    <w:pPr>
      <w:pStyle w:val="Footer"/>
      <w:jc w:val="right"/>
    </w:pPr>
    <w:r>
      <w:fldChar w:fldCharType="begin"/>
    </w:r>
    <w:r>
      <w:instrText xml:space="preserve"> PAGE   \* MERGEFORMAT </w:instrText>
    </w:r>
    <w:r>
      <w:fldChar w:fldCharType="separate"/>
    </w:r>
    <w:r w:rsidR="00710F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45" w:rsidRDefault="00C35945" w:rsidP="00C35945">
      <w:pPr>
        <w:spacing w:line="240" w:lineRule="auto"/>
      </w:pPr>
      <w:r>
        <w:separator/>
      </w:r>
    </w:p>
  </w:footnote>
  <w:footnote w:type="continuationSeparator" w:id="0">
    <w:p w:rsidR="00C35945" w:rsidRDefault="00C35945" w:rsidP="00C359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45"/>
    <w:rsid w:val="000E144D"/>
    <w:rsid w:val="00710FF4"/>
    <w:rsid w:val="007F30C3"/>
    <w:rsid w:val="00820095"/>
    <w:rsid w:val="0084796D"/>
    <w:rsid w:val="00B37F86"/>
    <w:rsid w:val="00C050F7"/>
    <w:rsid w:val="00C35945"/>
    <w:rsid w:val="00C414D2"/>
    <w:rsid w:val="00DD35C4"/>
    <w:rsid w:val="00EF17E0"/>
    <w:rsid w:val="00F2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45"/>
    <w:pPr>
      <w:spacing w:after="0" w:line="48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35945"/>
    <w:pPr>
      <w:spacing w:after="200"/>
    </w:pPr>
    <w:rPr>
      <w:rFonts w:eastAsia="Calibri" w:cs="Calibri"/>
      <w:noProof/>
    </w:rPr>
  </w:style>
  <w:style w:type="character" w:customStyle="1" w:styleId="EndNoteBibliographyChar">
    <w:name w:val="EndNote Bibliography Char"/>
    <w:basedOn w:val="DefaultParagraphFont"/>
    <w:link w:val="EndNoteBibliography"/>
    <w:rsid w:val="00C35945"/>
    <w:rPr>
      <w:rFonts w:ascii="Calibri" w:eastAsia="Calibri" w:hAnsi="Calibri" w:cs="Calibri"/>
      <w:noProof/>
    </w:rPr>
  </w:style>
  <w:style w:type="paragraph" w:styleId="Header">
    <w:name w:val="header"/>
    <w:basedOn w:val="Normal"/>
    <w:link w:val="HeaderChar"/>
    <w:uiPriority w:val="99"/>
    <w:unhideWhenUsed/>
    <w:rsid w:val="00C35945"/>
    <w:pPr>
      <w:tabs>
        <w:tab w:val="center" w:pos="4680"/>
        <w:tab w:val="right" w:pos="9360"/>
      </w:tabs>
      <w:spacing w:line="240" w:lineRule="auto"/>
    </w:pPr>
  </w:style>
  <w:style w:type="character" w:customStyle="1" w:styleId="HeaderChar">
    <w:name w:val="Header Char"/>
    <w:basedOn w:val="DefaultParagraphFont"/>
    <w:link w:val="Header"/>
    <w:uiPriority w:val="99"/>
    <w:rsid w:val="00C35945"/>
    <w:rPr>
      <w:rFonts w:ascii="Calibri" w:eastAsiaTheme="minorEastAsia" w:hAnsi="Calibri" w:cs="Times New Roman"/>
    </w:rPr>
  </w:style>
  <w:style w:type="paragraph" w:styleId="Footer">
    <w:name w:val="footer"/>
    <w:basedOn w:val="Normal"/>
    <w:link w:val="FooterChar"/>
    <w:uiPriority w:val="99"/>
    <w:unhideWhenUsed/>
    <w:rsid w:val="00C35945"/>
    <w:pPr>
      <w:tabs>
        <w:tab w:val="center" w:pos="4680"/>
        <w:tab w:val="right" w:pos="9360"/>
      </w:tabs>
      <w:spacing w:line="240" w:lineRule="auto"/>
    </w:pPr>
  </w:style>
  <w:style w:type="character" w:customStyle="1" w:styleId="FooterChar">
    <w:name w:val="Footer Char"/>
    <w:basedOn w:val="DefaultParagraphFont"/>
    <w:link w:val="Footer"/>
    <w:uiPriority w:val="99"/>
    <w:rsid w:val="00C35945"/>
    <w:rPr>
      <w:rFonts w:ascii="Calibri" w:eastAsiaTheme="minorEastAsia" w:hAnsi="Calibri" w:cs="Times New Roman"/>
    </w:rPr>
  </w:style>
  <w:style w:type="paragraph" w:styleId="BalloonText">
    <w:name w:val="Balloon Text"/>
    <w:basedOn w:val="Normal"/>
    <w:link w:val="BalloonTextChar"/>
    <w:uiPriority w:val="99"/>
    <w:semiHidden/>
    <w:unhideWhenUsed/>
    <w:rsid w:val="007F30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C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45"/>
    <w:pPr>
      <w:spacing w:after="0" w:line="48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35945"/>
    <w:pPr>
      <w:spacing w:after="200"/>
    </w:pPr>
    <w:rPr>
      <w:rFonts w:eastAsia="Calibri" w:cs="Calibri"/>
      <w:noProof/>
    </w:rPr>
  </w:style>
  <w:style w:type="character" w:customStyle="1" w:styleId="EndNoteBibliographyChar">
    <w:name w:val="EndNote Bibliography Char"/>
    <w:basedOn w:val="DefaultParagraphFont"/>
    <w:link w:val="EndNoteBibliography"/>
    <w:rsid w:val="00C35945"/>
    <w:rPr>
      <w:rFonts w:ascii="Calibri" w:eastAsia="Calibri" w:hAnsi="Calibri" w:cs="Calibri"/>
      <w:noProof/>
    </w:rPr>
  </w:style>
  <w:style w:type="paragraph" w:styleId="Header">
    <w:name w:val="header"/>
    <w:basedOn w:val="Normal"/>
    <w:link w:val="HeaderChar"/>
    <w:uiPriority w:val="99"/>
    <w:unhideWhenUsed/>
    <w:rsid w:val="00C35945"/>
    <w:pPr>
      <w:tabs>
        <w:tab w:val="center" w:pos="4680"/>
        <w:tab w:val="right" w:pos="9360"/>
      </w:tabs>
      <w:spacing w:line="240" w:lineRule="auto"/>
    </w:pPr>
  </w:style>
  <w:style w:type="character" w:customStyle="1" w:styleId="HeaderChar">
    <w:name w:val="Header Char"/>
    <w:basedOn w:val="DefaultParagraphFont"/>
    <w:link w:val="Header"/>
    <w:uiPriority w:val="99"/>
    <w:rsid w:val="00C35945"/>
    <w:rPr>
      <w:rFonts w:ascii="Calibri" w:eastAsiaTheme="minorEastAsia" w:hAnsi="Calibri" w:cs="Times New Roman"/>
    </w:rPr>
  </w:style>
  <w:style w:type="paragraph" w:styleId="Footer">
    <w:name w:val="footer"/>
    <w:basedOn w:val="Normal"/>
    <w:link w:val="FooterChar"/>
    <w:uiPriority w:val="99"/>
    <w:unhideWhenUsed/>
    <w:rsid w:val="00C35945"/>
    <w:pPr>
      <w:tabs>
        <w:tab w:val="center" w:pos="4680"/>
        <w:tab w:val="right" w:pos="9360"/>
      </w:tabs>
      <w:spacing w:line="240" w:lineRule="auto"/>
    </w:pPr>
  </w:style>
  <w:style w:type="character" w:customStyle="1" w:styleId="FooterChar">
    <w:name w:val="Footer Char"/>
    <w:basedOn w:val="DefaultParagraphFont"/>
    <w:link w:val="Footer"/>
    <w:uiPriority w:val="99"/>
    <w:rsid w:val="00C35945"/>
    <w:rPr>
      <w:rFonts w:ascii="Calibri" w:eastAsiaTheme="minorEastAsia" w:hAnsi="Calibri" w:cs="Times New Roman"/>
    </w:rPr>
  </w:style>
  <w:style w:type="paragraph" w:styleId="BalloonText">
    <w:name w:val="Balloon Text"/>
    <w:basedOn w:val="Normal"/>
    <w:link w:val="BalloonTextChar"/>
    <w:uiPriority w:val="99"/>
    <w:semiHidden/>
    <w:unhideWhenUsed/>
    <w:rsid w:val="007F30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C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Enslein</dc:creator>
  <cp:lastModifiedBy>P DEUSTER</cp:lastModifiedBy>
  <cp:revision>3</cp:revision>
  <dcterms:created xsi:type="dcterms:W3CDTF">2016-08-18T16:04:00Z</dcterms:created>
  <dcterms:modified xsi:type="dcterms:W3CDTF">2016-08-18T16:05:00Z</dcterms:modified>
</cp:coreProperties>
</file>