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A86A" w14:textId="06E79C91" w:rsidR="00743CB8" w:rsidRPr="00A162FD" w:rsidRDefault="006E1F24" w:rsidP="00743CB8">
      <w:pPr>
        <w:pStyle w:val="Heading2"/>
        <w:numPr>
          <w:ilvl w:val="0"/>
          <w:numId w:val="0"/>
        </w:numPr>
        <w:ind w:left="570" w:hanging="570"/>
        <w:rPr>
          <w:rFonts w:asciiTheme="minorHAnsi" w:hAnsiTheme="minorHAnsi" w:cstheme="minorHAnsi"/>
          <w:b/>
          <w:bCs/>
        </w:rPr>
      </w:pPr>
      <w:bookmarkStart w:id="0" w:name="_Toc61445813"/>
      <w:r w:rsidRPr="00A162FD">
        <w:rPr>
          <w:rFonts w:asciiTheme="minorHAnsi" w:hAnsiTheme="minorHAnsi" w:cstheme="minorHAnsi"/>
          <w:b/>
          <w:bCs/>
          <w:noProof/>
        </w:rPr>
        <w:drawing>
          <wp:anchor distT="0" distB="0" distL="114300" distR="114300" simplePos="0" relativeHeight="251658240" behindDoc="0" locked="0" layoutInCell="1" allowOverlap="1" wp14:anchorId="57504DD3" wp14:editId="2789DB72">
            <wp:simplePos x="0" y="0"/>
            <wp:positionH relativeFrom="column">
              <wp:posOffset>7760985</wp:posOffset>
            </wp:positionH>
            <wp:positionV relativeFrom="paragraph">
              <wp:posOffset>-288000</wp:posOffset>
            </wp:positionV>
            <wp:extent cx="1092200" cy="5588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2200" cy="558800"/>
                    </a:xfrm>
                    <a:prstGeom prst="rect">
                      <a:avLst/>
                    </a:prstGeom>
                  </pic:spPr>
                </pic:pic>
              </a:graphicData>
            </a:graphic>
            <wp14:sizeRelH relativeFrom="page">
              <wp14:pctWidth>0</wp14:pctWidth>
            </wp14:sizeRelH>
            <wp14:sizeRelV relativeFrom="page">
              <wp14:pctHeight>0</wp14:pctHeight>
            </wp14:sizeRelV>
          </wp:anchor>
        </w:drawing>
      </w:r>
      <w:r w:rsidR="00743CB8" w:rsidRPr="00A162FD">
        <w:rPr>
          <w:rFonts w:asciiTheme="minorHAnsi" w:hAnsiTheme="minorHAnsi" w:cstheme="minorHAnsi"/>
          <w:b/>
          <w:bCs/>
        </w:rPr>
        <w:t>Supplementa</w:t>
      </w:r>
      <w:r w:rsidRPr="00A162FD">
        <w:rPr>
          <w:rFonts w:asciiTheme="minorHAnsi" w:hAnsiTheme="minorHAnsi" w:cstheme="minorHAnsi"/>
          <w:b/>
          <w:bCs/>
        </w:rPr>
        <w:t>l</w:t>
      </w:r>
      <w:r w:rsidRPr="00A162FD">
        <w:rPr>
          <w:rFonts w:asciiTheme="minorHAnsi" w:hAnsiTheme="minorHAnsi" w:cstheme="minorHAnsi"/>
          <w:noProof/>
        </w:rPr>
        <w:t xml:space="preserve"> </w:t>
      </w:r>
      <w:r w:rsidR="00B04731" w:rsidRPr="00A162FD">
        <w:rPr>
          <w:rFonts w:asciiTheme="minorHAnsi" w:hAnsiTheme="minorHAnsi" w:cstheme="minorHAnsi"/>
          <w:b/>
          <w:bCs/>
        </w:rPr>
        <w:t>T</w:t>
      </w:r>
      <w:r w:rsidR="00B04731">
        <w:rPr>
          <w:rFonts w:asciiTheme="minorHAnsi" w:hAnsiTheme="minorHAnsi" w:cstheme="minorHAnsi"/>
          <w:b/>
          <w:bCs/>
        </w:rPr>
        <w:t xml:space="preserve">ABLE </w:t>
      </w:r>
      <w:r w:rsidR="00743CB8" w:rsidRPr="00A162FD">
        <w:rPr>
          <w:rFonts w:asciiTheme="minorHAnsi" w:hAnsiTheme="minorHAnsi" w:cstheme="minorHAnsi"/>
          <w:b/>
          <w:bCs/>
        </w:rPr>
        <w:t>1</w:t>
      </w:r>
      <w:r w:rsidR="00B04731">
        <w:rPr>
          <w:rFonts w:asciiTheme="minorHAnsi" w:hAnsiTheme="minorHAnsi" w:cstheme="minorHAnsi"/>
          <w:b/>
          <w:bCs/>
        </w:rPr>
        <w:t xml:space="preserve"> </w:t>
      </w:r>
      <w:r w:rsidR="00743CB8" w:rsidRPr="00A162FD">
        <w:rPr>
          <w:rFonts w:asciiTheme="minorHAnsi" w:hAnsiTheme="minorHAnsi" w:cstheme="minorHAnsi"/>
          <w:b/>
          <w:bCs/>
        </w:rPr>
        <w:t xml:space="preserve">  Research Committee Response to E-Delphi Round 1 Results</w:t>
      </w:r>
    </w:p>
    <w:p w14:paraId="4E38AD45" w14:textId="77777777" w:rsidR="00743CB8" w:rsidRPr="00A162FD" w:rsidRDefault="00743CB8" w:rsidP="00743CB8">
      <w:pPr>
        <w:pStyle w:val="Heading2"/>
        <w:numPr>
          <w:ilvl w:val="0"/>
          <w:numId w:val="0"/>
        </w:numPr>
        <w:ind w:left="570"/>
        <w:rPr>
          <w:rFonts w:asciiTheme="minorHAnsi" w:hAnsiTheme="minorHAnsi" w:cstheme="minorHAnsi"/>
          <w:b/>
          <w:bCs/>
        </w:rPr>
      </w:pPr>
    </w:p>
    <w:p w14:paraId="6F5C03D5" w14:textId="0F67420E" w:rsidR="00743CB8" w:rsidRPr="00A162FD" w:rsidRDefault="00743CB8" w:rsidP="00743CB8">
      <w:pPr>
        <w:pStyle w:val="Heading2"/>
        <w:numPr>
          <w:ilvl w:val="0"/>
          <w:numId w:val="0"/>
        </w:numPr>
        <w:rPr>
          <w:rFonts w:asciiTheme="minorHAnsi" w:hAnsiTheme="minorHAnsi" w:cstheme="minorHAnsi"/>
          <w:b/>
          <w:bCs/>
        </w:rPr>
      </w:pPr>
      <w:r w:rsidRPr="00A162FD">
        <w:rPr>
          <w:rFonts w:asciiTheme="minorHAnsi" w:hAnsiTheme="minorHAnsi" w:cstheme="minorHAnsi"/>
          <w:b/>
          <w:bCs/>
        </w:rPr>
        <w:t>Recommendations for Assessment and Planning</w:t>
      </w:r>
      <w:bookmarkEnd w:id="0"/>
      <w:r w:rsidRPr="00A162FD">
        <w:rPr>
          <w:rFonts w:asciiTheme="minorHAnsi" w:hAnsiTheme="minorHAnsi" w:cstheme="minorHAnsi"/>
          <w:b/>
          <w:bCs/>
        </w:rPr>
        <w:t xml:space="preserve"> </w:t>
      </w:r>
    </w:p>
    <w:tbl>
      <w:tblPr>
        <w:tblW w:w="14054" w:type="dxa"/>
        <w:tblInd w:w="-25" w:type="dxa"/>
        <w:tblBorders>
          <w:top w:val="single" w:sz="4" w:space="0" w:color="auto"/>
          <w:bottom w:val="single" w:sz="4" w:space="0" w:color="auto"/>
          <w:insideH w:val="single" w:sz="4" w:space="0" w:color="auto"/>
        </w:tblBorders>
        <w:tblLook w:val="04A0" w:firstRow="1" w:lastRow="0" w:firstColumn="1" w:lastColumn="0" w:noHBand="0" w:noVBand="1"/>
      </w:tblPr>
      <w:tblGrid>
        <w:gridCol w:w="10340"/>
        <w:gridCol w:w="912"/>
        <w:gridCol w:w="959"/>
        <w:gridCol w:w="992"/>
        <w:gridCol w:w="851"/>
      </w:tblGrid>
      <w:tr w:rsidR="00743CB8" w:rsidRPr="006E1F24" w14:paraId="4B78A591" w14:textId="77777777" w:rsidTr="00B467D3">
        <w:trPr>
          <w:cantSplit/>
          <w:trHeight w:val="293"/>
        </w:trPr>
        <w:tc>
          <w:tcPr>
            <w:tcW w:w="10340" w:type="dxa"/>
            <w:vMerge w:val="restart"/>
            <w:shd w:val="clear" w:color="auto" w:fill="D9D9D9" w:themeFill="background1" w:themeFillShade="D9"/>
            <w:vAlign w:val="center"/>
            <w:hideMark/>
          </w:tcPr>
          <w:p w14:paraId="380C056E"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Recommendation</w:t>
            </w:r>
          </w:p>
        </w:tc>
        <w:tc>
          <w:tcPr>
            <w:tcW w:w="1871" w:type="dxa"/>
            <w:gridSpan w:val="2"/>
            <w:shd w:val="clear" w:color="auto" w:fill="D9D9D9" w:themeFill="background1" w:themeFillShade="D9"/>
            <w:hideMark/>
          </w:tcPr>
          <w:p w14:paraId="40391AF6"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N</w:t>
            </w:r>
          </w:p>
        </w:tc>
        <w:tc>
          <w:tcPr>
            <w:tcW w:w="992" w:type="dxa"/>
            <w:vMerge w:val="restart"/>
            <w:shd w:val="clear" w:color="auto" w:fill="D9D9D9" w:themeFill="background1" w:themeFillShade="D9"/>
            <w:hideMark/>
          </w:tcPr>
          <w:p w14:paraId="69CC2C93"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Median (IQR)</w:t>
            </w:r>
          </w:p>
        </w:tc>
        <w:tc>
          <w:tcPr>
            <w:tcW w:w="851" w:type="dxa"/>
            <w:vMerge w:val="restart"/>
            <w:shd w:val="clear" w:color="auto" w:fill="D9D9D9" w:themeFill="background1" w:themeFillShade="D9"/>
            <w:hideMark/>
          </w:tcPr>
          <w:p w14:paraId="58D7021B"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Range</w:t>
            </w:r>
          </w:p>
        </w:tc>
      </w:tr>
      <w:tr w:rsidR="00743CB8" w:rsidRPr="006E1F24" w14:paraId="40FC8B66" w14:textId="77777777" w:rsidTr="00B467D3">
        <w:trPr>
          <w:trHeight w:val="269"/>
        </w:trPr>
        <w:tc>
          <w:tcPr>
            <w:tcW w:w="10340" w:type="dxa"/>
            <w:vMerge/>
            <w:tcBorders>
              <w:bottom w:val="single" w:sz="4" w:space="0" w:color="auto"/>
            </w:tcBorders>
            <w:hideMark/>
          </w:tcPr>
          <w:p w14:paraId="6E748AC2" w14:textId="77777777" w:rsidR="00743CB8" w:rsidRPr="006E1F24" w:rsidRDefault="00743CB8" w:rsidP="00B467D3">
            <w:pPr>
              <w:rPr>
                <w:rFonts w:eastAsia="Times New Roman" w:cstheme="minorHAnsi"/>
                <w:sz w:val="22"/>
                <w:szCs w:val="22"/>
                <w:lang w:eastAsia="en-AU"/>
              </w:rPr>
            </w:pPr>
          </w:p>
        </w:tc>
        <w:tc>
          <w:tcPr>
            <w:tcW w:w="912" w:type="dxa"/>
            <w:tcBorders>
              <w:bottom w:val="single" w:sz="4" w:space="0" w:color="auto"/>
            </w:tcBorders>
            <w:shd w:val="clear" w:color="000000" w:fill="E0E0E0"/>
            <w:hideMark/>
          </w:tcPr>
          <w:p w14:paraId="07FC219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Valid</w:t>
            </w:r>
          </w:p>
        </w:tc>
        <w:tc>
          <w:tcPr>
            <w:tcW w:w="959" w:type="dxa"/>
            <w:tcBorders>
              <w:bottom w:val="single" w:sz="4" w:space="0" w:color="auto"/>
            </w:tcBorders>
            <w:shd w:val="clear" w:color="000000" w:fill="E0E0E0"/>
            <w:hideMark/>
          </w:tcPr>
          <w:p w14:paraId="6EA0C9DC"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Missing</w:t>
            </w:r>
          </w:p>
        </w:tc>
        <w:tc>
          <w:tcPr>
            <w:tcW w:w="992" w:type="dxa"/>
            <w:vMerge/>
            <w:tcBorders>
              <w:bottom w:val="single" w:sz="4" w:space="0" w:color="auto"/>
            </w:tcBorders>
            <w:hideMark/>
          </w:tcPr>
          <w:p w14:paraId="296CE560" w14:textId="77777777" w:rsidR="00743CB8" w:rsidRPr="006E1F24" w:rsidRDefault="00743CB8" w:rsidP="00B467D3">
            <w:pPr>
              <w:rPr>
                <w:rFonts w:eastAsia="Times New Roman" w:cstheme="minorHAnsi"/>
                <w:sz w:val="22"/>
                <w:szCs w:val="22"/>
                <w:lang w:eastAsia="en-AU"/>
              </w:rPr>
            </w:pPr>
          </w:p>
        </w:tc>
        <w:tc>
          <w:tcPr>
            <w:tcW w:w="851" w:type="dxa"/>
            <w:vMerge/>
            <w:tcBorders>
              <w:bottom w:val="single" w:sz="4" w:space="0" w:color="auto"/>
            </w:tcBorders>
            <w:hideMark/>
          </w:tcPr>
          <w:p w14:paraId="51A84F71" w14:textId="77777777" w:rsidR="00743CB8" w:rsidRPr="006E1F24" w:rsidRDefault="00743CB8" w:rsidP="00B467D3">
            <w:pPr>
              <w:rPr>
                <w:rFonts w:eastAsia="Times New Roman" w:cstheme="minorHAnsi"/>
                <w:sz w:val="22"/>
                <w:szCs w:val="22"/>
                <w:lang w:eastAsia="en-AU"/>
              </w:rPr>
            </w:pPr>
          </w:p>
        </w:tc>
      </w:tr>
      <w:tr w:rsidR="00743CB8" w:rsidRPr="006E1F24" w14:paraId="3C5FC18F" w14:textId="77777777" w:rsidTr="00B467D3">
        <w:trPr>
          <w:trHeight w:val="671"/>
        </w:trPr>
        <w:tc>
          <w:tcPr>
            <w:tcW w:w="10340" w:type="dxa"/>
            <w:tcBorders>
              <w:bottom w:val="single" w:sz="4" w:space="0" w:color="F2F2F2" w:themeColor="background1" w:themeShade="F2"/>
            </w:tcBorders>
            <w:shd w:val="clear" w:color="000000" w:fill="FFFFFF"/>
            <w:hideMark/>
          </w:tcPr>
          <w:p w14:paraId="337CB0B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 Assess patient to determine if subcutaneous access is appropriate for the infusion of medications and hydration as an alternative route to intravenous access. (Subcutaneous access is a vessel health preservation strategy for adults in all health care settings.</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Gorski","given":"Lisa","non-dropping-particle":"","parse-names":false,"suffix":""},{"dropping-particle":"","family":"Hadaway","given":"Lynn","non-dropping-particle":"","parse-names":false,"suffix":""},{"dropping-particle":"","family":"Hagle","given":"E. E.","non-dropping-particle":"","parse-names":false,"suffix":""},{"dropping-particle":"","family":"McGoldrick","given":"M","non-dropping-particle":"","parse-names":false,"suffix":""},{"dropping-particle":"","family":"Orr","given":"M","non-dropping-particle":"","parse-names":false,"suffix":""},{"dropping-particle":"","family":"Doellman","given":"D","non-dropping-particle":"","parse-names":false,"suffix":""}],"container-title":"Journal of Infusion Nursing","id":"ITEM-1","issue":"1S","issued":{"date-parts":[["2016"]]},"page":"1-164","title":"Infusion therapy standards of practice","type":"article-journal","volume":"39"},"uris":["http://www.mendeley.com/documents/?uuid=50f980ef-88cc-4c13-b6fb-742474759ec2"]},{"id":"ITEM-2","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-2","issued":{"date-parts":[["2020"]]},"title":"Subcutaneous hydration and medications infusions (effectiveness, safety, acceptability): A systematic review of systematic reviews","type":"article-journal"},"uris":["http://www.mendeley.com/documents/?uuid=dcdca528-53ad-4aba-a961-906f864ad0e8"]},{"id":"ITEM-3","itemData":{"DOI":"10.1007/s40271-014-0075-y","ISSN":"11781661","abstract":"© 2014, Springer International Publishing Switzerland. Background: Intravenous (IV) drug delivery is commonly used for its rapid administration and immediate drug effect. Most studies compare IV to subcutaneous (SC) delivery in terms of safety and efficacy, but little is known about what patients prefer. Methods: A systematic review was conducted by searching seven electronic databases for articles published up to February 2014. Included studies were randomized controlled trials (RCTs) and/or crossover designs investigating patient preference for SC versus IV administration. The risk of bias in the RCTs was determined using the Cochrane Collaboration tool. Reviewers independently extracted data and assessed the risk of bias. Any discrepancies were resolved by consensus. Results: The search identified 115 publications, but few (6/115) met the inclusion criteria. Patient populations and drugs investigated were diverse. Four of six studies demonstrated a clear patient preference for SC administration. Main factors associated with SC preference were time saving and the ability to have treatment at home. Only three studies used study-specific instruments to measure preference. Conclusions: Results suggest that patients prefer SC over IV delivery. Patient preference has clearly been neglected in clinical research, but it is important in medical decision making when choosing treatment methods as it has implications for adherence and quality of life. If the safety and efficacy of both administration routes are equivalent, then the most important factor should be patient preference as this will ensure optimal treatment adherence and ultimately improve patient experience or satisfaction. Future drug efficacy and safety studies should include contemporaneous, actual patient preference where possible, utilizing appropriate measures.","author":[{"dropping-particle":"","family":"Stoner","given":"Kelly L.","non-dropping-particle":"","parse-names":false,"suffix":""},{"dropping-particle":"","family":"Harder","given":"Helena","non-dropping-particle":"","parse-names":false,"suffix":""},{"dropping-particle":"","family":"Fallowfield","given":"Lesley J.","non-dropping-particle":"","parse-names":false,"suffix":""},{"dropping-particle":"","family":"Jenkins","given":"Valerie A.","non-dropping-particle":"","parse-names":false,"suffix":""}],"container-title":"Patient","id":"ITEM-3","issue":"2","issued":{"date-parts":[["2015"]]},"page":"145-153","title":"Intravenous versus subcutaneous drug administration. Which do patients prefer? A systematic review","type":"article-journal","volume":"8"},"uris":["http://www.mendeley.com/documents/?uuid=fb95443a-8e66-4245-9ce7-e1db878dcd2a"]},{"id":"ITEM-4","itemData":{"DOI":"10.1097/NAN.0000000000000099","ISBN":"0000000000000","ISSN":"15390667","abstract":"Parenteral drug delivery is an essential part of patient care. The subcutaneous (SC) route is easily accessed, is more cost-effective, and provides increased convenience for the patient than the other parenteral methods. The pharmacokinetic profile of medications delivered SC reflect bioavailabilities similar to intravenous (IV) delivery. The coadministration of human recombinant hyaluronidase with SC medications enhances the maximum concentration and time to maximum concentration to more closely mimic drugs delivered by the IV route. Pharmaceutical companies are studying and successfully developing new formulations of current medications for delivery via the SC route.","author":[{"dropping-particle":"","family":"Arthur","given":"Annette O.","non-dropping-particle":"","parse-names":false,"suffix":""}],"container-title":"Journal of Infusion Nursing","id":"ITEM-4","issue":"3","issued":{"date-parts":[["2015"]]},"page":"179-187","title":"Innovations in subcutaneous infusions","type":"article-journal","volume":"38"},"uris":["http://www.mendeley.com/documents/?uuid=cf176d84-4909-46f6-8677-152e535f7855"]},{"id":"ITEM-5","itemData":{"ISSN":"19157398","abstract":"Background: There are currently two methods used to administer immunoglobulin: intravenous (IV) infusion, the conventional method, and subcutaneous (SC) infusion, a newer alternative. The aim of this assessment was to compare administration of SC immunoglobulin at home with IV immunoglobulin in hospital with respect to benefits, harm, and costs. We also investigated the lived experiences of patients, looking at their quality of life, satisfaction, opinions, and preferences. Methods: We searched the literature for studies that compared home-based SC infusion with hospital- or clinic-based IV infusion of immunoglobulin in the treatment of primary and secondary immunodeficiency in adults and children. Two review authors reviewed the abstracts and full text of the relevant studies, and abstracted the data.We also performed a review of the economic literature comparing SC infusion at home versus IV infusion of immunoglobulin in a hospital or outpatient clinic in patients with primary or secondary immunodeficiency disorders. We also performed a budget impact analysis to estimate the 5-year cost burden of funding home-based SC infusion programs. All costs were reported in 2017 Canadian dollars.This health technology assessment followed a consultation plan for public engagement. We focused on interviews to examine the lived experience of patients with immunodeficiency, including those having experience of intravenous and/or subcutaneous immunoglobulin treatment. Results: Sixteen studies met the inclusion criteria. The annual rate of serious bacterial infection per patient did not differ. The annual rate of all infections per patient was relatively lower with home-based SC infusion than with hospital-based IV infusion. Both methods provided an adequate blood (serum) level of immunoglobulin and the pooled mean difference in immunoglobulin level favoured home-based SC infusion. Severe adverse reactions were rare with either method. The risk of adverse events such as fever or headache were higher with IV, while SC infusion sometimes caused infusion site reactions such as swelling, redness, or pain. Where reported, incidence of hospitalization, antibiotic use, and missed days from work or school either did not differ or were lower for SC infusion. The Grading of Recommendations Assessment, Development, and Evaluation (GRADE) of evidence for these outcomes was determined to be low.The scores for quality of life and treatment satisfaction either did not differ between…","author":[{"dropping-particle":"","family":"Health Quality Ontario","given":"","non-dropping-particle":"","parse-names":false,"suffix":""}],"container-title":"Ontario Health Technology Assessment Series","id":"ITEM-5","issue":"16","issued":{"date-parts":[["2017"]]},"page":"1-86","title":"Home-based subcutaneous infusion of immunoglobulin for primary and secondary immunodeficiencies: A health technology assessment","type":"article-journal","volume":"17"},"uris":["http://www.mendeley.com/documents/?uuid=35808a49-2aa6-43d6-9d1d-dd42b4d5fb1f"]},{"id":"ITEM-6","itemData":{"DOI":"10.1016/j.jpainsymman.2016.04.009","ISSN":"0885-3924","author":[{"dropping-particle":"","family":"Vidal","given":"Marieberta","non-dropping-particle":"","parse-names":false,"suffix":""},{"dropping-particle":"","family":"Hui","given":"David","non-dropping-particle":"","parse-names":false,"suffix":""},{"dropping-particle":"","family":"Williams","given":"Janet","non-dropping-particle":"","parse-names":false,"suffix":""},{"dropping-particle":"","family":"Bruera","given":"Eduardo","non-dropping-particle":"","parse-names":false,"suffix":""}],"container-title":"Journal of Pain and Symptom Management","id":"ITEM-6","issue":"4","issued":{"date-parts":[["2016"]]},"page":"570-574","publisher":"Elsevier Inc","title":"A prospective ptudy of hypodermoclysis performed by caregivers in the home setting","type":"article-journal","volume":"52"},"uris":["http://www.mendeley.com/documents/?uuid=ef6eecf9-88ba-4122-ab2c-ee4a0497b33c"]}],"mendeley":{"formattedCitation":"&lt;sup&gt;1–6&lt;/sup&gt;","plainTextFormattedCitation":"1–6","previouslyFormattedCitation":"&lt;sup&gt;1–6&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1–6</w:t>
            </w:r>
            <w:r w:rsidRPr="006E1F24">
              <w:rPr>
                <w:rFonts w:cstheme="minorHAnsi"/>
                <w:sz w:val="22"/>
                <w:szCs w:val="22"/>
              </w:rPr>
              <w:fldChar w:fldCharType="end"/>
            </w:r>
            <w:r w:rsidRPr="006E1F24">
              <w:rPr>
                <w:rFonts w:cstheme="minorHAnsi"/>
                <w:sz w:val="22"/>
                <w:szCs w:val="22"/>
              </w:rPr>
              <w:t xml:space="preserve"> </w:t>
            </w:r>
          </w:p>
        </w:tc>
        <w:tc>
          <w:tcPr>
            <w:tcW w:w="912" w:type="dxa"/>
            <w:tcBorders>
              <w:bottom w:val="single" w:sz="4" w:space="0" w:color="F2F2F2" w:themeColor="background1" w:themeShade="F2"/>
            </w:tcBorders>
            <w:shd w:val="clear" w:color="000000" w:fill="F9F9FB"/>
            <w:hideMark/>
          </w:tcPr>
          <w:p w14:paraId="5194C642"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bottom w:val="single" w:sz="4" w:space="0" w:color="F2F2F2" w:themeColor="background1" w:themeShade="F2"/>
            </w:tcBorders>
            <w:shd w:val="clear" w:color="000000" w:fill="F9F9FB"/>
            <w:hideMark/>
          </w:tcPr>
          <w:p w14:paraId="5386A106"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bottom w:val="single" w:sz="4" w:space="0" w:color="F2F2F2" w:themeColor="background1" w:themeShade="F2"/>
            </w:tcBorders>
            <w:shd w:val="clear" w:color="000000" w:fill="F9F9FB"/>
            <w:hideMark/>
          </w:tcPr>
          <w:p w14:paraId="6EDC5538"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(9-9)</w:t>
            </w:r>
          </w:p>
        </w:tc>
        <w:tc>
          <w:tcPr>
            <w:tcW w:w="851" w:type="dxa"/>
            <w:tcBorders>
              <w:bottom w:val="single" w:sz="4" w:space="0" w:color="F2F2F2" w:themeColor="background1" w:themeShade="F2"/>
            </w:tcBorders>
            <w:shd w:val="clear" w:color="000000" w:fill="F9F9FB"/>
            <w:hideMark/>
          </w:tcPr>
          <w:p w14:paraId="15BE30B8"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04110D6D" w14:textId="77777777" w:rsidTr="00B467D3">
        <w:trPr>
          <w:trHeight w:val="671"/>
        </w:trPr>
        <w:tc>
          <w:tcPr>
            <w:tcW w:w="10340" w:type="dxa"/>
            <w:tcBorders>
              <w:top w:val="single" w:sz="4" w:space="0" w:color="F2F2F2" w:themeColor="background1" w:themeShade="F2"/>
              <w:bottom w:val="single" w:sz="4" w:space="0" w:color="F2F2F2" w:themeColor="background1" w:themeShade="F2"/>
            </w:tcBorders>
            <w:shd w:val="clear" w:color="000000" w:fill="FFFFFF"/>
            <w:hideMark/>
          </w:tcPr>
          <w:p w14:paraId="40916610" w14:textId="0CE51A0A"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2. Assess intended duration of therapy, reason for parenteral route, properties of the solution/medication (</w:t>
            </w:r>
            <w:proofErr w:type="spellStart"/>
            <w:r w:rsidRPr="006E1F24">
              <w:rPr>
                <w:rFonts w:eastAsia="Times New Roman" w:cstheme="minorHAnsi"/>
                <w:sz w:val="22"/>
                <w:szCs w:val="22"/>
                <w:lang w:eastAsia="en-AU"/>
              </w:rPr>
              <w:t>e</w:t>
            </w:r>
            <w:r w:rsidR="006E1F24" w:rsidRPr="006E1F24">
              <w:rPr>
                <w:rFonts w:eastAsia="Times New Roman" w:cstheme="minorHAnsi"/>
                <w:sz w:val="22"/>
                <w:szCs w:val="22"/>
                <w:lang w:eastAsia="en-AU"/>
              </w:rPr>
              <w:t>g</w:t>
            </w:r>
            <w:proofErr w:type="spellEnd"/>
            <w:r w:rsidRPr="006E1F24">
              <w:rPr>
                <w:rFonts w:eastAsia="Times New Roman" w:cstheme="minorHAnsi"/>
                <w:sz w:val="22"/>
                <w:szCs w:val="22"/>
                <w:lang w:eastAsia="en-AU"/>
              </w:rPr>
              <w:t>, viscosity, pH, dose, volume, concentration and rate), available support and resources (if outside the hospital), patient’s clinical and skin condition (including availability of appropriate tissue).</w:t>
            </w:r>
            <w:r w:rsidRPr="006E1F24">
              <w:rPr>
                <w:rFonts w:cstheme="minorHAnsi"/>
                <w:sz w:val="22"/>
                <w:szCs w:val="22"/>
              </w:rPr>
              <w:t xml:space="preserve"> </w:t>
            </w:r>
            <w:r w:rsidRPr="006E1F24">
              <w:rPr>
                <w:rFonts w:cstheme="minorHAnsi"/>
                <w:sz w:val="22"/>
                <w:szCs w:val="22"/>
              </w:rPr>
              <w:fldChar w:fldCharType="begin" w:fldLock="1"/>
            </w:r>
            <w:r w:rsidRPr="006E1F24">
              <w:rPr>
                <w:rFonts w:cstheme="minorHAnsi"/>
                <w:sz w:val="22"/>
                <w:szCs w:val="22"/>
              </w:rPr>
              <w:instrText>ADDIN CSL_CITATION {"citationItems":[{"id":"ITEM-1","itemData":{"abstract":"Hypodermoclysis, or the subcutaneous administration of fluids, is a\\r\\nmethod of rehydration that is not routinely used in the UK. Yet it is\\r\\na simple and effective method o f fluid administration for individuals\\r\\nwith mild-to-moderate dehydration, especially for the frail and\\r\\nelderly (Sasson and Shvartzman, 2001). Subcutaneous infusion is an\\r\\nalternative route o f parenteral administration. It provides a number\\r\\no f advantages over the intravenous route for those individuals unable\\r\\nto tolerate enteral fluids, as it is associated with fewer complications,\\r\\nas well as a wider range of infusion sites. This makes it particularly\\r\\nadvantageous for frail and/or older patients requiring low-volume\\r\\nhydration in the community setting. This article discusses indications\\r\\nand contraindications for subcutaneous infusions, as well as patient\\r\\nassessment, placement, securement and potential complications.","author":[{"dropping-particle":"","family":"Gabriel","given":"J","non-dropping-particle":"","parse-names":false,"suffix":""}],"container-title":"Britsh Journal of Nursing","id":"ITEM-1","issue":"14","issued":{"date-parts":[["2014"]]},"page":"S10-S14","title":"Subcutaneus fluid administration and the hydration of older people","type":"article-journal","volume":"23"},"uris":["http://www.mendeley.com/documents/?uuid=115a8cda-fc43-4a46-b0c3-475dc75c3242"]},{"id":"ITEM-2","itemData":{"author":[{"dropping-particle":"","family":"Canadian Vascular Access Association","given":"","non-dropping-particle":"","parse-names":false,"suffix":""}],"id":"ITEM-2","issued":{"date-parts":[["2019"]]},"publisher":"Pappin Communications","publisher-place":"Pembroke, ON","title":"Canadian Vascular Access and Infusion Therapy Guidelines","type":"book"},"uris":["http://www.mendeley.com/documents/?uuid=51e21049-2167-4db2-a4ef-ae9f8d544f9f"]}],"mendeley":{"formattedCitation":"&lt;sup&gt;7,8&lt;/sup&gt;","plainTextFormattedCitation":"7,8","previouslyFormattedCitation":"&lt;sup&gt;7,8&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7,8</w:t>
            </w:r>
            <w:r w:rsidRPr="006E1F24">
              <w:rPr>
                <w:rFonts w:cstheme="minorHAnsi"/>
                <w:sz w:val="22"/>
                <w:szCs w:val="22"/>
              </w:rPr>
              <w:fldChar w:fldCharType="end"/>
            </w:r>
            <w:r w:rsidRPr="006E1F24">
              <w:rPr>
                <w:rFonts w:cstheme="minorHAnsi"/>
                <w:sz w:val="22"/>
                <w:szCs w:val="22"/>
                <w:vertAlign w:val="superscript"/>
              </w:rPr>
              <w:t>,13</w:t>
            </w:r>
            <w:r w:rsidRPr="006E1F24">
              <w:rPr>
                <w:rFonts w:cstheme="minorHAnsi"/>
                <w:sz w:val="22"/>
                <w:szCs w:val="22"/>
              </w:rPr>
              <w:t xml:space="preserve"> </w:t>
            </w:r>
          </w:p>
        </w:tc>
        <w:tc>
          <w:tcPr>
            <w:tcW w:w="912" w:type="dxa"/>
            <w:tcBorders>
              <w:top w:val="single" w:sz="4" w:space="0" w:color="F2F2F2" w:themeColor="background1" w:themeShade="F2"/>
              <w:bottom w:val="single" w:sz="4" w:space="0" w:color="F2F2F2" w:themeColor="background1" w:themeShade="F2"/>
            </w:tcBorders>
            <w:shd w:val="clear" w:color="000000" w:fill="F9F9FB"/>
            <w:hideMark/>
          </w:tcPr>
          <w:p w14:paraId="250548DC"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bottom w:val="single" w:sz="4" w:space="0" w:color="F2F2F2" w:themeColor="background1" w:themeShade="F2"/>
            </w:tcBorders>
            <w:shd w:val="clear" w:color="000000" w:fill="F9F9FB"/>
            <w:hideMark/>
          </w:tcPr>
          <w:p w14:paraId="56C8D99E"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725156FD"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1" w:type="dxa"/>
            <w:tcBorders>
              <w:top w:val="single" w:sz="4" w:space="0" w:color="F2F2F2" w:themeColor="background1" w:themeShade="F2"/>
              <w:bottom w:val="single" w:sz="4" w:space="0" w:color="F2F2F2" w:themeColor="background1" w:themeShade="F2"/>
            </w:tcBorders>
            <w:shd w:val="clear" w:color="000000" w:fill="F9F9FB"/>
            <w:hideMark/>
          </w:tcPr>
          <w:p w14:paraId="35832AE3"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43D768F1" w14:textId="77777777" w:rsidTr="00B467D3">
        <w:trPr>
          <w:trHeight w:val="671"/>
        </w:trPr>
        <w:tc>
          <w:tcPr>
            <w:tcW w:w="10340" w:type="dxa"/>
            <w:tcBorders>
              <w:top w:val="single" w:sz="4" w:space="0" w:color="F2F2F2" w:themeColor="background1" w:themeShade="F2"/>
              <w:bottom w:val="single" w:sz="4" w:space="0" w:color="F2F2F2" w:themeColor="background1" w:themeShade="F2"/>
            </w:tcBorders>
            <w:shd w:val="clear" w:color="000000" w:fill="FFFFFF"/>
            <w:hideMark/>
          </w:tcPr>
          <w:p w14:paraId="1D3CC29A"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3. For the management of mild to moderate dehydration, assess need for subcutaneous infusion of isotonic solutions if oral route not appropriate (alternate routes include enteral, intravenous and intraosseous). Complete an interprofessional team hydration/nutrition/electrolyte assessment to determine patient’s fluid and electrolyte needs.</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{"citationItems":[{"id":"ITEM-1","itemData":{"author":[{"dropping-particle":"","family":"National Institute for Health and Care Excellence","given":"","non-dropping-particle":"","parse-names":false,"suffix":""}],"container-title":"Nice clinical guideline","id":"ITEM-1","issued":{"date-parts":[["2013"]]},"page":"1-26","title":"Intravenous fluid therapy in adults in hospital","type":"article-journal","volume":"174"},"uris":["http://www.mendeley.com/documents/?uuid=7d7efb7b-7c11-45bc-8efb-61212f563ae5"]}],"mendeley":{"formattedCitation":"&lt;sup&gt;9&lt;/sup&gt;","plainTextFormattedCitation":"9","previouslyFormattedCitation":"&lt;sup&gt;9&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9</w:t>
            </w:r>
            <w:r w:rsidRPr="006E1F24">
              <w:rPr>
                <w:rFonts w:cstheme="minorHAnsi"/>
                <w:sz w:val="22"/>
                <w:szCs w:val="22"/>
              </w:rPr>
              <w:fldChar w:fldCharType="end"/>
            </w:r>
            <w:r w:rsidRPr="006E1F24">
              <w:rPr>
                <w:rFonts w:cstheme="minorHAnsi"/>
                <w:sz w:val="22"/>
                <w:szCs w:val="22"/>
                <w:vertAlign w:val="superscript"/>
              </w:rPr>
              <w:t>,13</w:t>
            </w:r>
            <w:r w:rsidRPr="006E1F24">
              <w:rPr>
                <w:rFonts w:cstheme="minorHAnsi"/>
                <w:sz w:val="22"/>
                <w:szCs w:val="22"/>
              </w:rPr>
              <w:t xml:space="preserve"> </w:t>
            </w:r>
          </w:p>
        </w:tc>
        <w:tc>
          <w:tcPr>
            <w:tcW w:w="912" w:type="dxa"/>
            <w:tcBorders>
              <w:top w:val="single" w:sz="4" w:space="0" w:color="F2F2F2" w:themeColor="background1" w:themeShade="F2"/>
              <w:bottom w:val="single" w:sz="4" w:space="0" w:color="F2F2F2" w:themeColor="background1" w:themeShade="F2"/>
            </w:tcBorders>
            <w:shd w:val="clear" w:color="000000" w:fill="F9F9FB"/>
            <w:hideMark/>
          </w:tcPr>
          <w:p w14:paraId="3F0243AB"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bottom w:val="single" w:sz="4" w:space="0" w:color="F2F2F2" w:themeColor="background1" w:themeShade="F2"/>
            </w:tcBorders>
            <w:shd w:val="clear" w:color="000000" w:fill="F9F9FB"/>
            <w:hideMark/>
          </w:tcPr>
          <w:p w14:paraId="54EADA07"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50BB0F64"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1" w:type="dxa"/>
            <w:tcBorders>
              <w:top w:val="single" w:sz="4" w:space="0" w:color="F2F2F2" w:themeColor="background1" w:themeShade="F2"/>
              <w:bottom w:val="single" w:sz="4" w:space="0" w:color="F2F2F2" w:themeColor="background1" w:themeShade="F2"/>
            </w:tcBorders>
            <w:shd w:val="clear" w:color="000000" w:fill="F9F9FB"/>
            <w:hideMark/>
          </w:tcPr>
          <w:p w14:paraId="334A48CB"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7CCE1250" w14:textId="77777777" w:rsidTr="00B467D3">
        <w:trPr>
          <w:trHeight w:val="671"/>
        </w:trPr>
        <w:tc>
          <w:tcPr>
            <w:tcW w:w="10340" w:type="dxa"/>
            <w:tcBorders>
              <w:top w:val="single" w:sz="4" w:space="0" w:color="F2F2F2" w:themeColor="background1" w:themeShade="F2"/>
              <w:bottom w:val="single" w:sz="4" w:space="0" w:color="F2F2F2" w:themeColor="background1" w:themeShade="F2"/>
            </w:tcBorders>
            <w:shd w:val="clear" w:color="000000" w:fill="FFFFFF"/>
            <w:hideMark/>
          </w:tcPr>
          <w:p w14:paraId="39E1AD2F" w14:textId="4C24A449"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4. Review drug product monograph to determine labeling of medication for subcutaneous route. In the absence of marketing authorization for subcutaneous route, the organization/prescriber, including the pharmacy team, will determine if infusion of medications off-label meets organizational and/or regulatory requirements and is supported in the literature.</w:t>
            </w:r>
            <w:r w:rsidRPr="006E1F24">
              <w:rPr>
                <w:rFonts w:cstheme="minorHAnsi"/>
                <w:sz w:val="22"/>
                <w:szCs w:val="22"/>
              </w:rPr>
              <w:fldChar w:fldCharType="begin" w:fldLock="1"/>
            </w:r>
            <w:r w:rsidRPr="006E1F24">
              <w:rPr>
                <w:rFonts w:cstheme="minorHAnsi"/>
                <w:sz w:val="22"/>
                <w:szCs w:val="22"/>
              </w:rPr>
              <w:instrText>ADDIN CSL_CITATION {"citationItems":[{"id":"ITEM-1","itemData":{"DOI":"10.1017/S095925981500012X","ISSN":"14699036","abstract":"Patients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Gerontology","id":"ITEM-1","issue":"2","issued":{"date-parts":[["2015"]]},"page":"117-146","title":"Subcutaneous fluid and drug delivery: Safe, efficient and inexpensive","type":"article-journal","volume":"25"},"uris":["http://www.mendeley.com/documents/?uuid=8a6c7379-45d3-4c3e-81be-b47186d6ebd6"]},{"id":"ITEM-2","itemData":{"DOI":"10.1191/0269216304pm1006oa","ISSN":"02692163","abstract":"OBJECTIVES AND METHOD: Survey of subcutaneous drug use and hypodermoclysis with a standardized questionnaire to 27 nursing teams and 52 physicians in a geriatric hospital department (404 beds). Evaluation of license status (CH, F, D and UK) and systematic literature review of 34 drugs used in the geriatric setting. RESULTS: Subcutaneous route is used daily with drugs and fluids mostly for patients in palliative care (83%) or who are dehydrated (54%) when oral or IV administration is impossible (73%, 68% respectively). Morphine (98%), haloperidol (90%), furosemide (69%) and hydromorphone (56%) by bolus (36%) or slow injection over 5 min (82%) are the main drugs used and NaCI 0.9% (95%), and glucose 5%/NaCI 0.9% (31 %) are commonly used for rehydration. Among the 34 drugs reviewed, only 13 (38%) are licensed for subcutaneous use in CH, UK, F or D, and only, morphine (14 articles of 68) and rehydration (six articles) are evaluated in high level studies. Haloperidol and furosemide are used off-label and there are no well-designed studies supporting their subcutaneous use. CONCLUSION: There is a lack of information on drugs widely used by subcutaneous route in the elderly. In that context, physicians carry responsibility for the prescription.","author":[{"dropping-particle":"","family":"Fonzo-Christe","given":"Caroline","non-dropping-particle":"","parse-names":false,"suffix":""},{"dropping-particle":"","family":"Vukasovic","given":"Caroline","non-dropping-particle":"","parse-names":false,"suffix":""},{"dropping-particle":"","family":"Wasilewski-Rasca","given":"Anne Florence","non-dropping-particle":"","parse-names":false,"suffix":""},{"dropping-particle":"","family":"Bonnabry","given":"Pascal","non-dropping-particle":"","parse-names":false,"suffix":""}],"container-title":"Palliative Medicine","id":"ITEM-2","issue":"3","issued":{"date-parts":[["2005"]]},"page":"208-219","title":"Subcutaneous administration of drugs in the elderly: Survey of practice and systematic literature review","type":"article-journal","volume":"19"},"uris":["http://www.mendeley.com/documents/?uuid=b68e659e-2ed0-4637-a25e-76909ecccad1"]},{"id":"ITEM-3","itemData":{"DOI":"10.1016/j.medmal.2019.06.007","ISSN":"17696690","abstract":"The subcutaneous route is a widely used route of administration in routine clinical practice, particularly in elderly patients, when the intravenous route cannot be used. This review of the literature highlights the lack of randomized studies and the lack of pharmacokinetic data on the use of this route of administration. Three antibiotics administered subcutaneously can be used for severe infections, with acceptable pharmacokinetic and pharmacodynamic data, when the intravenous administration is not possible: ceftriaxone, ertapenem, and teicoplanin.","author":[{"dropping-particle":"","family":"Colin","given":"E.","non-dropping-particle":"","parse-names":false,"suffix":""},{"dropping-particle":"","family":"Baldolli","given":"A.","non-dropping-particle":"","parse-names":false,"suffix":""},{"dropping-particle":"","family":"Verdon","given":"R.","non-dropping-particle":"","parse-names":false,"suffix":""},{"dropping-particle":"","family":"Saint-Lorant","given":"G.","non-dropping-particle":"","parse-names":false,"suffix":""}],"container-title":"Medecine et Maladies Infectieuses","id":"ITEM-3","issued":{"date-parts":[["2019"]]},"publisher":"Elsevier Masson SAS","title":"Subcutaneously administered antibiotics","type":"article-journal","volume":"[in press]"},"uris":["http://www.mendeley.com/documents/?uuid=3e50bbb0-18f5-462f-b911-5c8346232d19"]}],"mendeley":{"formattedCitation":"&lt;sup&gt;10–12&lt;/sup&gt;","manualFormatting":"10–13","plainTextFormattedCitation":"10–12","previouslyFormattedCitation":"&lt;sup&gt;10–12&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10–13</w:t>
            </w:r>
            <w:r w:rsidRPr="006E1F24">
              <w:rPr>
                <w:rFonts w:cstheme="minorHAnsi"/>
                <w:sz w:val="22"/>
                <w:szCs w:val="22"/>
              </w:rPr>
              <w:fldChar w:fldCharType="end"/>
            </w:r>
            <w:r w:rsidRPr="006E1F24">
              <w:rPr>
                <w:rFonts w:cstheme="minorHAnsi"/>
                <w:sz w:val="22"/>
                <w:szCs w:val="22"/>
              </w:rPr>
              <w:t xml:space="preserve"> </w:t>
            </w:r>
          </w:p>
        </w:tc>
        <w:tc>
          <w:tcPr>
            <w:tcW w:w="912" w:type="dxa"/>
            <w:tcBorders>
              <w:top w:val="single" w:sz="4" w:space="0" w:color="F2F2F2" w:themeColor="background1" w:themeShade="F2"/>
              <w:bottom w:val="single" w:sz="4" w:space="0" w:color="F2F2F2" w:themeColor="background1" w:themeShade="F2"/>
            </w:tcBorders>
            <w:shd w:val="clear" w:color="000000" w:fill="F9F9FB"/>
            <w:hideMark/>
          </w:tcPr>
          <w:p w14:paraId="21BDB06E"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bottom w:val="single" w:sz="4" w:space="0" w:color="F2F2F2" w:themeColor="background1" w:themeShade="F2"/>
            </w:tcBorders>
            <w:shd w:val="clear" w:color="000000" w:fill="F9F9FB"/>
            <w:hideMark/>
          </w:tcPr>
          <w:p w14:paraId="052622F6"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2317F748"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1" w:type="dxa"/>
            <w:tcBorders>
              <w:top w:val="single" w:sz="4" w:space="0" w:color="F2F2F2" w:themeColor="background1" w:themeShade="F2"/>
              <w:bottom w:val="single" w:sz="4" w:space="0" w:color="F2F2F2" w:themeColor="background1" w:themeShade="F2"/>
            </w:tcBorders>
            <w:shd w:val="clear" w:color="000000" w:fill="F9F9FB"/>
            <w:hideMark/>
          </w:tcPr>
          <w:p w14:paraId="69765CAC"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6-9</w:t>
            </w:r>
          </w:p>
        </w:tc>
      </w:tr>
      <w:tr w:rsidR="00743CB8" w:rsidRPr="006E1F24" w14:paraId="54D26772" w14:textId="77777777" w:rsidTr="00B467D3">
        <w:trPr>
          <w:trHeight w:val="671"/>
        </w:trPr>
        <w:tc>
          <w:tcPr>
            <w:tcW w:w="10340" w:type="dxa"/>
            <w:tcBorders>
              <w:top w:val="single" w:sz="4" w:space="0" w:color="F2F2F2" w:themeColor="background1" w:themeShade="F2"/>
              <w:bottom w:val="single" w:sz="4" w:space="0" w:color="F2F2F2" w:themeColor="background1" w:themeShade="F2"/>
            </w:tcBorders>
            <w:shd w:val="clear" w:color="000000" w:fill="FFFFFF"/>
            <w:hideMark/>
          </w:tcPr>
          <w:p w14:paraId="08A1937B" w14:textId="0E2313B5"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5. Collaborate with the health</w:t>
            </w:r>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care team and patient to perform a risk/benefit analysis with the patient/caregiver to determine appropriateness of subcutaneous infusions, establishing the goals of treatment. Ensure treatment is consistent with patient’s plan of care; obtain consent as per organizational policy.</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-1","issued":{"date-parts":[["2020"]]},"title":"Subcutaneous hydration and medications infusions (effectiveness, safety, acceptability): A systematic review of systematic reviews","type":"article-journal"},"uris":["http://www.mendeley.com/documents/?uuid=dcdca528-53ad-4aba-a961-906f864ad0e8"]},{"id":"ITEM-2","itemData":{"abstract":"Hypodermoclysis, or the subcutaneous administration of fluids, is a\\r\\nmethod of rehydration that is not routinely used in the UK. Yet it is\\r\\na simple and effective method o f fluid administration for individuals\\r\\nwith mild-to-moderate dehydration, especially for the frail and\\r\\nelderly (Sasson and Shvartzman, 2001). Subcutaneous infusion is an\\r\\nalternative route o f parenteral administration. It provides a number\\r\\no f advantages over the intravenous route for those individuals unable\\r\\nto tolerate enteral fluids, as it is associated with fewer complications,\\r\\nas well as a wider range of infusion sites. This makes it particularly\\r\\nadvantageous for frail and/or older patients requiring low-volume\\r\\nhydration in the community setting. This article discusses indications\\r\\nand contraindications for subcutaneous infusions, as well as patient\\r\\nassessment, placement, securement and potential complications.","author":[{"dropping-particle":"","family":"Gabriel","given":"J","non-dropping-particle":"","parse-names":false,"suffix":""}],"container-title":"Britsh Journal of Nursing","id":"ITEM-2","issue":"14","issued":{"date-parts":[["2014"]]},"page":"S10-S14","title":"Subcutaneus fluid administration and the hydration of older people","type":"article-journal","volume":"23"},"uris":["http://www.mendeley.com/documents/?uuid=115a8cda-fc43-4a46-b0c3-475dc75c3242"]}],"mendeley":{"formattedCitation":"&lt;sup&gt;1,7&lt;/sup&gt;","plainTextFormattedCitation":"1,7","previouslyFormattedCitation":"&lt;sup&gt;1,7&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1,7</w:t>
            </w:r>
            <w:r w:rsidRPr="006E1F24">
              <w:rPr>
                <w:rFonts w:cstheme="minorHAnsi"/>
                <w:sz w:val="22"/>
                <w:szCs w:val="22"/>
              </w:rPr>
              <w:fldChar w:fldCharType="end"/>
            </w:r>
            <w:r w:rsidRPr="006E1F24">
              <w:rPr>
                <w:rFonts w:cstheme="minorHAnsi"/>
                <w:sz w:val="22"/>
                <w:szCs w:val="22"/>
              </w:rPr>
              <w:t xml:space="preserve"> </w:t>
            </w:r>
          </w:p>
        </w:tc>
        <w:tc>
          <w:tcPr>
            <w:tcW w:w="912" w:type="dxa"/>
            <w:tcBorders>
              <w:top w:val="single" w:sz="4" w:space="0" w:color="F2F2F2" w:themeColor="background1" w:themeShade="F2"/>
              <w:bottom w:val="single" w:sz="4" w:space="0" w:color="F2F2F2" w:themeColor="background1" w:themeShade="F2"/>
            </w:tcBorders>
            <w:shd w:val="clear" w:color="000000" w:fill="F9F9FB"/>
            <w:hideMark/>
          </w:tcPr>
          <w:p w14:paraId="39A39872"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bottom w:val="single" w:sz="4" w:space="0" w:color="F2F2F2" w:themeColor="background1" w:themeShade="F2"/>
            </w:tcBorders>
            <w:shd w:val="clear" w:color="000000" w:fill="F9F9FB"/>
            <w:hideMark/>
          </w:tcPr>
          <w:p w14:paraId="541C212F"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5631E4C2"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(9-9)</w:t>
            </w:r>
          </w:p>
        </w:tc>
        <w:tc>
          <w:tcPr>
            <w:tcW w:w="851" w:type="dxa"/>
            <w:tcBorders>
              <w:top w:val="single" w:sz="4" w:space="0" w:color="F2F2F2" w:themeColor="background1" w:themeShade="F2"/>
              <w:bottom w:val="single" w:sz="4" w:space="0" w:color="F2F2F2" w:themeColor="background1" w:themeShade="F2"/>
            </w:tcBorders>
            <w:shd w:val="clear" w:color="000000" w:fill="F9F9FB"/>
            <w:hideMark/>
          </w:tcPr>
          <w:p w14:paraId="5321DAC4"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5-9</w:t>
            </w:r>
          </w:p>
        </w:tc>
      </w:tr>
      <w:tr w:rsidR="00743CB8" w:rsidRPr="006E1F24" w14:paraId="382B7BE9" w14:textId="77777777" w:rsidTr="00B467D3">
        <w:trPr>
          <w:trHeight w:val="671"/>
        </w:trPr>
        <w:tc>
          <w:tcPr>
            <w:tcW w:w="10340" w:type="dxa"/>
            <w:tcBorders>
              <w:top w:val="single" w:sz="4" w:space="0" w:color="F2F2F2" w:themeColor="background1" w:themeShade="F2"/>
              <w:bottom w:val="single" w:sz="4" w:space="0" w:color="F2F2F2" w:themeColor="background1" w:themeShade="F2"/>
            </w:tcBorders>
            <w:shd w:val="clear" w:color="000000" w:fill="FFFFFF"/>
            <w:hideMark/>
          </w:tcPr>
          <w:p w14:paraId="26D75CE1"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6. Ensure subcutaneous medications and hydration prescribed are at rates, frequency, and volumes/dosage appropriate for the patient’s age, weight, clinical condition, individual subcutaneous absorption, laboratory values, and as recommended by the drug manufacturers or supporting literature, and generally not exceeding those used for IV infusions.</w:t>
            </w:r>
            <w:r w:rsidRPr="006E1F24">
              <w:rPr>
                <w:rFonts w:cstheme="minorHAnsi"/>
                <w:sz w:val="22"/>
              </w:rPr>
              <w:fldChar w:fldCharType="begin" w:fldLock="1"/>
            </w:r>
            <w:r w:rsidRPr="006E1F24">
              <w:rPr>
                <w:rFonts w:cstheme="minorHAnsi"/>
                <w:sz w:val="22"/>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Guidelines","type":"book"},"uris":["http://www.mendeley.com/documents/?uuid=51e21049-2167-4db2-a4ef-ae9f8d544f9f"]},{"id":"ITEM-2","itemData":{"author":[{"dropping-particle":"","family":"Royal College of Nursing","given":"","non-dropping-particle":"","parse-names":false,"suffix":""}],"id":"ITEM-2","issued":{"date-parts":[["2016"]]},"publisher-place":"London, UK","title":"Standards for infusion therapy: 4th edition","type":"report"},"uris":["http://www.mendeley.com/documents/?uuid=dcb305c2-5372-4bd2-9460-5295fd568a30"]},{"id":"ITEM-3","itemData":{"author":[{"dropping-particle":"","family":"Gorski","given":"Lisa","non-dropping-particle":"","parse-names":false,"suffix":""},{"dropping-particle":"","family":"Hadaway","given":"Lynn","non-dropping-particle":"","parse-names":false,"suffix":""},{"dropping-particle":"","family":"Hagle","given":"E. E.","non-dropping-particle":"","parse-names":false,"suffix":""},{"dropping-particle":"","family":"McGoldrick","given":"M","non-dropping-particle":"","parse-names":false,"suffix":""},{"dropping-particle":"","family":"Orr","given":"M","non-dropping-particle":"","parse-names":false,"suffix":""},{"dropping-particle":"","family":"Doellman","given":"D","non-dropping-particle":"","parse-names":false,"suffix":""}],"container-title":"Journal of Infusion Nursing","id":"ITEM-3","issue":"1S","issued":{"date-parts":[["2016"]]},"page":"1-164","title":"Infusion therapy standards of practice","type":"article-journal","volume":"39"},"uris":["http://www.mendeley.com/documents/?uuid=50f980ef-88cc-4c13-b6fb-742474759ec2"]}],"mendeley":{"formattedCitation":"&lt;sup&gt;2,8,13&lt;/sup&gt;","plainTextFormattedCitation":"2,8,13","previouslyFormattedCitation":"&lt;sup&gt;2,8,13&lt;/sup&gt;"},"properties":{"noteIndex":0},"schema":"https://github.com/citation-style-language/schema/raw/master/csl-citation.json"}</w:instrText>
            </w:r>
            <w:r w:rsidRPr="006E1F24">
              <w:rPr>
                <w:rFonts w:cstheme="minorHAnsi"/>
                <w:sz w:val="22"/>
              </w:rPr>
              <w:fldChar w:fldCharType="separate"/>
            </w:r>
            <w:r w:rsidRPr="006E1F24">
              <w:rPr>
                <w:rFonts w:cstheme="minorHAnsi"/>
                <w:noProof/>
                <w:sz w:val="22"/>
                <w:vertAlign w:val="superscript"/>
              </w:rPr>
              <w:t>2,8,13</w:t>
            </w:r>
            <w:r w:rsidRPr="006E1F24">
              <w:rPr>
                <w:rFonts w:cstheme="minorHAnsi"/>
                <w:sz w:val="22"/>
              </w:rPr>
              <w:fldChar w:fldCharType="end"/>
            </w:r>
            <w:r w:rsidRPr="006E1F24">
              <w:rPr>
                <w:rFonts w:cstheme="minorHAnsi"/>
                <w:sz w:val="22"/>
                <w:szCs w:val="22"/>
                <w:highlight w:val="yellow"/>
              </w:rPr>
              <w:t xml:space="preserve"> </w:t>
            </w:r>
          </w:p>
        </w:tc>
        <w:tc>
          <w:tcPr>
            <w:tcW w:w="912" w:type="dxa"/>
            <w:tcBorders>
              <w:top w:val="single" w:sz="4" w:space="0" w:color="F2F2F2" w:themeColor="background1" w:themeShade="F2"/>
              <w:bottom w:val="single" w:sz="4" w:space="0" w:color="F2F2F2" w:themeColor="background1" w:themeShade="F2"/>
            </w:tcBorders>
            <w:shd w:val="clear" w:color="000000" w:fill="F9F9FB"/>
            <w:hideMark/>
          </w:tcPr>
          <w:p w14:paraId="2F12DCC3"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bottom w:val="single" w:sz="4" w:space="0" w:color="F2F2F2" w:themeColor="background1" w:themeShade="F2"/>
            </w:tcBorders>
            <w:shd w:val="clear" w:color="000000" w:fill="F9F9FB"/>
            <w:hideMark/>
          </w:tcPr>
          <w:p w14:paraId="01ABE116"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39E6BDF8"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1" w:type="dxa"/>
            <w:tcBorders>
              <w:top w:val="single" w:sz="4" w:space="0" w:color="F2F2F2" w:themeColor="background1" w:themeShade="F2"/>
              <w:bottom w:val="single" w:sz="4" w:space="0" w:color="F2F2F2" w:themeColor="background1" w:themeShade="F2"/>
            </w:tcBorders>
            <w:shd w:val="clear" w:color="000000" w:fill="F9F9FB"/>
            <w:hideMark/>
          </w:tcPr>
          <w:p w14:paraId="641296AE"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1CA18FAD" w14:textId="77777777" w:rsidTr="00B467D3">
        <w:trPr>
          <w:trHeight w:val="671"/>
        </w:trPr>
        <w:tc>
          <w:tcPr>
            <w:tcW w:w="10340" w:type="dxa"/>
            <w:tcBorders>
              <w:top w:val="single" w:sz="4" w:space="0" w:color="F2F2F2" w:themeColor="background1" w:themeShade="F2"/>
              <w:bottom w:val="single" w:sz="4" w:space="0" w:color="F2F2F2" w:themeColor="background1" w:themeShade="F2"/>
            </w:tcBorders>
            <w:shd w:val="clear" w:color="000000" w:fill="FFFFFF"/>
            <w:hideMark/>
          </w:tcPr>
          <w:p w14:paraId="773D664B" w14:textId="2B5D4F10"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7. Ensure prescriptions include medication/solution, dose/volume, route, rate, frequency (</w:t>
            </w:r>
            <w:proofErr w:type="spellStart"/>
            <w:r w:rsidR="006E1F24" w:rsidRPr="006E1F24">
              <w:rPr>
                <w:rFonts w:eastAsia="Times New Roman" w:cstheme="minorHAnsi"/>
                <w:sz w:val="22"/>
                <w:szCs w:val="22"/>
                <w:lang w:eastAsia="en-AU"/>
              </w:rPr>
              <w:t>eg</w:t>
            </w:r>
            <w:proofErr w:type="spellEnd"/>
            <w:r w:rsidRPr="006E1F24">
              <w:rPr>
                <w:rFonts w:eastAsia="Times New Roman" w:cstheme="minorHAnsi"/>
                <w:sz w:val="22"/>
                <w:szCs w:val="22"/>
                <w:lang w:eastAsia="en-AU"/>
              </w:rPr>
              <w:t>, once daily), duration of infusion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w:t>
            </w:r>
            <w:r w:rsidRPr="006E1F24">
              <w:rPr>
                <w:rFonts w:eastAsia="Times New Roman" w:cstheme="minorHAnsi"/>
                <w:sz w:val="22"/>
                <w:szCs w:val="22"/>
                <w:lang w:eastAsia="en-AU"/>
              </w:rPr>
              <w:t xml:space="preserve"> over 8 hours), and end date.</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{"citationItems":[{"id":"ITEM-1","itemData":{"author":[{"dropping-particle":"","family":"National Institute for Health and Care Excellence","given":"","non-dropping-particle":"","parse-names":false,"suffix":""}],"container-title":"Nice clinical guideline","id":"ITEM-1","issued":{"date-parts":[["2013"]]},"page":"1-26","title":"Intravenous fluid therapy in adults in hospital","type":"article-journal","volume":"174"},"uris":["http://www.mendeley.com/documents/?uuid=7d7efb7b-7c11-45bc-8efb-61212f563ae5"]}],"mendeley":{"formattedCitation":"&lt;sup&gt;9&lt;/sup&gt;","plainTextFormattedCitation":"9","previouslyFormattedCitation":"&lt;sup&gt;9&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9</w:t>
            </w:r>
            <w:r w:rsidRPr="006E1F24">
              <w:rPr>
                <w:rFonts w:cstheme="minorHAnsi"/>
                <w:sz w:val="22"/>
                <w:szCs w:val="22"/>
              </w:rPr>
              <w:fldChar w:fldCharType="end"/>
            </w:r>
            <w:r w:rsidRPr="006E1F24">
              <w:rPr>
                <w:rFonts w:cstheme="minorHAnsi"/>
                <w:sz w:val="22"/>
                <w:szCs w:val="22"/>
                <w:vertAlign w:val="superscript"/>
              </w:rPr>
              <w:t>,13</w:t>
            </w:r>
            <w:r w:rsidRPr="006E1F24">
              <w:rPr>
                <w:rFonts w:cstheme="minorHAnsi"/>
                <w:sz w:val="22"/>
                <w:szCs w:val="22"/>
              </w:rPr>
              <w:t xml:space="preserve"> </w:t>
            </w:r>
          </w:p>
        </w:tc>
        <w:tc>
          <w:tcPr>
            <w:tcW w:w="912" w:type="dxa"/>
            <w:tcBorders>
              <w:top w:val="single" w:sz="4" w:space="0" w:color="F2F2F2" w:themeColor="background1" w:themeShade="F2"/>
              <w:bottom w:val="single" w:sz="4" w:space="0" w:color="F2F2F2" w:themeColor="background1" w:themeShade="F2"/>
            </w:tcBorders>
            <w:shd w:val="clear" w:color="000000" w:fill="F9F9FB"/>
            <w:hideMark/>
          </w:tcPr>
          <w:p w14:paraId="098A447C"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bottom w:val="single" w:sz="4" w:space="0" w:color="F2F2F2" w:themeColor="background1" w:themeShade="F2"/>
            </w:tcBorders>
            <w:shd w:val="clear" w:color="000000" w:fill="F9F9FB"/>
            <w:hideMark/>
          </w:tcPr>
          <w:p w14:paraId="1871F8A1"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75BF913"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(9-9)</w:t>
            </w:r>
          </w:p>
        </w:tc>
        <w:tc>
          <w:tcPr>
            <w:tcW w:w="851" w:type="dxa"/>
            <w:tcBorders>
              <w:top w:val="single" w:sz="4" w:space="0" w:color="F2F2F2" w:themeColor="background1" w:themeShade="F2"/>
              <w:bottom w:val="single" w:sz="4" w:space="0" w:color="F2F2F2" w:themeColor="background1" w:themeShade="F2"/>
            </w:tcBorders>
            <w:shd w:val="clear" w:color="000000" w:fill="F9F9FB"/>
            <w:hideMark/>
          </w:tcPr>
          <w:p w14:paraId="4E6F3DC5"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1DEB49CB" w14:textId="77777777" w:rsidTr="00B467D3">
        <w:trPr>
          <w:trHeight w:val="671"/>
        </w:trPr>
        <w:tc>
          <w:tcPr>
            <w:tcW w:w="10340" w:type="dxa"/>
            <w:tcBorders>
              <w:top w:val="single" w:sz="4" w:space="0" w:color="F2F2F2" w:themeColor="background1" w:themeShade="F2"/>
            </w:tcBorders>
            <w:shd w:val="clear" w:color="000000" w:fill="FFFFFF"/>
            <w:hideMark/>
          </w:tcPr>
          <w:p w14:paraId="7D11A2E8" w14:textId="35AEE2EB"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8. Avoid infusion rates greater than 5mL/hour for medications (unless recommended by manufacturer-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subcutaneous immunoglobulin). Slow infusion rates and use of diluted solutions have been recommended in the literature for subcutaneous antibiotics.</w:t>
            </w:r>
            <w:r w:rsidRPr="006E1F24">
              <w:rPr>
                <w:rFonts w:cstheme="minorHAnsi"/>
                <w:sz w:val="22"/>
                <w:szCs w:val="22"/>
                <w:vertAlign w:val="superscript"/>
              </w:rPr>
              <w:t>1,2,8</w:t>
            </w:r>
            <w:r w:rsidR="0033393B">
              <w:rPr>
                <w:rFonts w:cstheme="minorHAnsi"/>
                <w:sz w:val="22"/>
                <w:szCs w:val="22"/>
                <w:vertAlign w:val="superscript"/>
              </w:rPr>
              <w:t>,</w:t>
            </w:r>
            <w:r w:rsidRPr="006E1F24">
              <w:rPr>
                <w:rFonts w:cstheme="minorHAnsi"/>
                <w:sz w:val="22"/>
                <w:szCs w:val="22"/>
                <w:vertAlign w:val="superscript"/>
              </w:rPr>
              <w:fldChar w:fldCharType="begin" w:fldLock="1"/>
            </w:r>
            <w:r w:rsidRPr="006E1F24">
              <w:rPr>
                <w:rFonts w:cstheme="minorHAnsi"/>
                <w:sz w:val="22"/>
                <w:szCs w:val="22"/>
                <w:vertAlign w:val="superscript"/>
              </w:rPr>
              <w:instrText>ADDIN CSL_CITATION {"citationItems":[{"id":"ITEM-1","itemData":{"DOI":"10.1191/0269216304pm1006oa","ISSN":"02692163","abstract":"OBJECTIVES AND METHOD: Survey of subcutaneous drug use and hypodermoclysis with a standardized questionnaire to 27 nursing teams and 52 physicians in a geriatric hospital department (404 beds). Evaluation of license status (CH, F, D and UK) and systematic literature review of 34 drugs used in the geriatric setting. RESULTS: Subcutaneous route is used daily with drugs and fluids mostly for patients in palliative care (83%) or who are dehydrated (54%) when oral or IV administration is impossible (73%, 68% respectively). Morphine (98%), haloperidol (90%), furosemide (69%) and hydromorphone (56%) by bolus (36%) or slow injection over 5 min (82%) are the main drugs used and NaCI 0.9% (95%), and glucose 5%/NaCI 0.9% (31 %) are commonly used for rehydration. Among the 34 drugs reviewed, only 13 (38%) are licensed for subcutaneous use in CH, UK, F or D, and only, morphine (14 articles of 68) and rehydration (six articles) are evaluated in high level studies. Haloperidol and furosemide are used off-label and there are no well-designed studies supporting their subcutaneous use. CONCLUSION: There is a lack of information on drugs widely used by subcutaneous route in the elderly. In that context, physicians carry responsibility for the prescription.","author":[{"dropping-particle":"","family":"Fonzo-Christe","given":"Caroline","non-dropping-particle":"","parse-names":false,"suffix":""},{"dropping-particle":"","family":"Vukasovic","given":"Caroline","non-dropping-particle":"","parse-names":false,"suffix":""},{"dropping-particle":"","family":"Wasilewski-Rasca","given":"Anne Florence","non-dropping-particle":"","parse-names":false,"suffix":""},{"dropping-particle":"","family":"Bonnabry","given":"Pascal","non-dropping-particle":"","parse-names":false,"suffix":""}],"container-title":"Palliative Medicine","id":"ITEM-1","issue":"3","issued":{"date-parts":[["2005"]]},"page":"208-219","title":"Subcutaneous administration of drugs in the elderly: Survey of practice and systematic literature review","type":"article-journal","volume":"19"},"uris":["http://www.mendeley.com/documents/?uuid=b68e659e-2ed0-4637-a25e-76909ecccad1"]}],"mendeley":{"formattedCitation":"&lt;sup&gt;11&lt;/sup&gt;","plainTextFormattedCitation":"11","previouslyFormattedCitation":"&lt;sup&gt;11&lt;/sup&gt;"},"properties":{"noteIndex":0},"schema":"https://github.com/citation-style-language/schema/raw/master/csl-citation.json"}</w:instrText>
            </w:r>
            <w:r w:rsidRPr="006E1F24">
              <w:rPr>
                <w:rFonts w:cstheme="minorHAnsi"/>
                <w:sz w:val="22"/>
                <w:szCs w:val="22"/>
                <w:vertAlign w:val="superscript"/>
              </w:rPr>
              <w:fldChar w:fldCharType="separate"/>
            </w:r>
            <w:r w:rsidRPr="006E1F24">
              <w:rPr>
                <w:rFonts w:cstheme="minorHAnsi"/>
                <w:noProof/>
                <w:sz w:val="22"/>
                <w:szCs w:val="22"/>
                <w:vertAlign w:val="superscript"/>
              </w:rPr>
              <w:t>11</w:t>
            </w:r>
            <w:r w:rsidRPr="006E1F24">
              <w:rPr>
                <w:rFonts w:cstheme="minorHAnsi"/>
                <w:sz w:val="22"/>
                <w:szCs w:val="22"/>
                <w:vertAlign w:val="superscript"/>
              </w:rPr>
              <w:fldChar w:fldCharType="end"/>
            </w:r>
            <w:r w:rsidRPr="006E1F24">
              <w:rPr>
                <w:rFonts w:cstheme="minorHAnsi"/>
                <w:sz w:val="22"/>
                <w:szCs w:val="22"/>
              </w:rPr>
              <w:t xml:space="preserve"> </w:t>
            </w:r>
          </w:p>
        </w:tc>
        <w:tc>
          <w:tcPr>
            <w:tcW w:w="912" w:type="dxa"/>
            <w:tcBorders>
              <w:top w:val="single" w:sz="4" w:space="0" w:color="F2F2F2" w:themeColor="background1" w:themeShade="F2"/>
            </w:tcBorders>
            <w:shd w:val="clear" w:color="000000" w:fill="F9F9FB"/>
            <w:hideMark/>
          </w:tcPr>
          <w:p w14:paraId="28A38DED"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959" w:type="dxa"/>
            <w:tcBorders>
              <w:top w:val="single" w:sz="4" w:space="0" w:color="F2F2F2" w:themeColor="background1" w:themeShade="F2"/>
            </w:tcBorders>
            <w:shd w:val="clear" w:color="000000" w:fill="F9F9FB"/>
            <w:hideMark/>
          </w:tcPr>
          <w:p w14:paraId="25888974"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tcBorders>
            <w:shd w:val="clear" w:color="000000" w:fill="F9F9FB"/>
            <w:hideMark/>
          </w:tcPr>
          <w:p w14:paraId="020DDE24"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1" w:type="dxa"/>
            <w:tcBorders>
              <w:top w:val="single" w:sz="4" w:space="0" w:color="F2F2F2" w:themeColor="background1" w:themeShade="F2"/>
            </w:tcBorders>
            <w:shd w:val="clear" w:color="000000" w:fill="F9F9FB"/>
            <w:hideMark/>
          </w:tcPr>
          <w:p w14:paraId="690FCAFD"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2F56A651" w14:textId="77777777" w:rsidTr="00B467D3">
        <w:trPr>
          <w:trHeight w:val="275"/>
        </w:trPr>
        <w:tc>
          <w:tcPr>
            <w:tcW w:w="10340" w:type="dxa"/>
            <w:tcBorders>
              <w:bottom w:val="single" w:sz="4" w:space="0" w:color="auto"/>
            </w:tcBorders>
            <w:shd w:val="clear" w:color="auto" w:fill="F9F9FB"/>
          </w:tcPr>
          <w:p w14:paraId="667AC138"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eastAsia="Times New Roman" w:cstheme="minorHAnsi"/>
                <w:b/>
                <w:bCs/>
                <w:sz w:val="22"/>
                <w:szCs w:val="22"/>
                <w:lang w:eastAsia="en-AU"/>
              </w:rPr>
              <w:t xml:space="preserve">Qualitative Data </w:t>
            </w:r>
            <w:r w:rsidRPr="006E1F24">
              <w:rPr>
                <w:rFonts w:eastAsia="Times New Roman" w:cstheme="minorHAnsi"/>
                <w:sz w:val="22"/>
                <w:szCs w:val="22"/>
                <w:lang w:eastAsia="en-AU"/>
              </w:rPr>
              <w:t>(Participants’ Comments)</w:t>
            </w:r>
          </w:p>
        </w:tc>
        <w:tc>
          <w:tcPr>
            <w:tcW w:w="3714" w:type="dxa"/>
            <w:gridSpan w:val="4"/>
            <w:tcBorders>
              <w:bottom w:val="single" w:sz="4" w:space="0" w:color="auto"/>
            </w:tcBorders>
            <w:shd w:val="clear" w:color="auto" w:fill="auto"/>
          </w:tcPr>
          <w:p w14:paraId="0E535E55" w14:textId="77777777" w:rsidR="00743CB8" w:rsidRPr="006E1F24" w:rsidRDefault="00743CB8" w:rsidP="00B467D3">
            <w:pPr>
              <w:jc w:val="both"/>
              <w:rPr>
                <w:rFonts w:eastAsia="Times New Roman" w:cstheme="minorHAnsi"/>
                <w:b/>
                <w:bCs/>
                <w:sz w:val="22"/>
                <w:szCs w:val="22"/>
                <w:lang w:eastAsia="en-AU"/>
              </w:rPr>
            </w:pPr>
            <w:r w:rsidRPr="006E1F24">
              <w:rPr>
                <w:rFonts w:eastAsia="Times New Roman" w:cstheme="minorHAnsi"/>
                <w:b/>
                <w:bCs/>
                <w:sz w:val="22"/>
                <w:szCs w:val="22"/>
                <w:lang w:eastAsia="en-AU"/>
              </w:rPr>
              <w:t>Steering Committee Response</w:t>
            </w:r>
          </w:p>
        </w:tc>
      </w:tr>
      <w:tr w:rsidR="00743CB8" w:rsidRPr="006E1F24" w14:paraId="57D4FE91" w14:textId="77777777" w:rsidTr="00B467D3">
        <w:trPr>
          <w:trHeight w:val="671"/>
        </w:trPr>
        <w:tc>
          <w:tcPr>
            <w:tcW w:w="10340" w:type="dxa"/>
            <w:tcBorders>
              <w:bottom w:val="nil"/>
            </w:tcBorders>
            <w:shd w:val="clear" w:color="auto" w:fill="F9F9FB"/>
          </w:tcPr>
          <w:p w14:paraId="2A373730" w14:textId="77777777" w:rsidR="00743CB8" w:rsidRPr="006E1F24" w:rsidRDefault="00743CB8" w:rsidP="00B467D3">
            <w:pPr>
              <w:spacing w:after="160" w:line="259" w:lineRule="auto"/>
              <w:rPr>
                <w:rFonts w:eastAsia="Times New Roman" w:cstheme="minorHAnsi"/>
                <w:b/>
                <w:bCs/>
                <w:sz w:val="22"/>
                <w:szCs w:val="22"/>
                <w:lang w:eastAsia="en-AU"/>
              </w:rPr>
            </w:pPr>
            <w:r w:rsidRPr="006E1F24">
              <w:rPr>
                <w:rFonts w:eastAsia="Times New Roman" w:cstheme="minorHAnsi"/>
                <w:color w:val="000000"/>
                <w:sz w:val="22"/>
                <w:szCs w:val="22"/>
                <w:lang w:eastAsia="en-AU"/>
              </w:rPr>
              <w:lastRenderedPageBreak/>
              <w:t>I would caution use or administration of medication or solutions outside of manufacturer guidelines, FDA approval or for any "off label" use as this would open the organization up to potential legal action should something happen.</w:t>
            </w:r>
          </w:p>
        </w:tc>
        <w:tc>
          <w:tcPr>
            <w:tcW w:w="3714" w:type="dxa"/>
            <w:gridSpan w:val="4"/>
            <w:tcBorders>
              <w:bottom w:val="nil"/>
            </w:tcBorders>
            <w:shd w:val="clear" w:color="auto" w:fill="auto"/>
          </w:tcPr>
          <w:p w14:paraId="234CE409"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No change to recommendation (Recommendation 4 addresses “organizational and/or regulatory requirements”)</w:t>
            </w:r>
          </w:p>
        </w:tc>
      </w:tr>
      <w:tr w:rsidR="00743CB8" w:rsidRPr="006E1F24" w14:paraId="2EFC8808" w14:textId="77777777" w:rsidTr="00B467D3">
        <w:trPr>
          <w:trHeight w:val="671"/>
        </w:trPr>
        <w:tc>
          <w:tcPr>
            <w:tcW w:w="10340" w:type="dxa"/>
            <w:tcBorders>
              <w:top w:val="nil"/>
              <w:bottom w:val="nil"/>
            </w:tcBorders>
            <w:shd w:val="clear" w:color="auto" w:fill="F9F9FB"/>
          </w:tcPr>
          <w:p w14:paraId="2136DD97"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eastAsia="Times New Roman" w:cstheme="minorHAnsi"/>
                <w:color w:val="000000"/>
                <w:sz w:val="22"/>
                <w:szCs w:val="22"/>
                <w:lang w:eastAsia="en-AU"/>
              </w:rPr>
              <w:t xml:space="preserve">For subcutaneous bolus of fluid, we usually do not give more than 3ml each bolus in the palliative care setting </w:t>
            </w:r>
          </w:p>
        </w:tc>
        <w:tc>
          <w:tcPr>
            <w:tcW w:w="3714" w:type="dxa"/>
            <w:gridSpan w:val="4"/>
            <w:tcBorders>
              <w:top w:val="nil"/>
              <w:bottom w:val="nil"/>
            </w:tcBorders>
            <w:shd w:val="clear" w:color="auto" w:fill="auto"/>
          </w:tcPr>
          <w:p w14:paraId="50DFA652"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sz w:val="22"/>
                <w:szCs w:val="22"/>
                <w:lang w:eastAsia="en-AU"/>
              </w:rPr>
              <w:t>No change to recommendation (Guideline does not cover boluses)</w:t>
            </w:r>
          </w:p>
        </w:tc>
      </w:tr>
      <w:tr w:rsidR="00743CB8" w:rsidRPr="006E1F24" w14:paraId="07B5E860" w14:textId="77777777" w:rsidTr="00B467D3">
        <w:trPr>
          <w:trHeight w:val="671"/>
        </w:trPr>
        <w:tc>
          <w:tcPr>
            <w:tcW w:w="10340" w:type="dxa"/>
            <w:tcBorders>
              <w:top w:val="nil"/>
            </w:tcBorders>
            <w:shd w:val="clear" w:color="auto" w:fill="F9F9FB"/>
          </w:tcPr>
          <w:p w14:paraId="28FB787E"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eastAsia="Times New Roman" w:cstheme="minorHAnsi"/>
                <w:color w:val="000000"/>
                <w:sz w:val="22"/>
                <w:szCs w:val="22"/>
                <w:lang w:eastAsia="en-AU"/>
              </w:rPr>
              <w:t>Recommendation No 7: include the diluent to be used with medications delivered via a syringe pump</w:t>
            </w:r>
          </w:p>
        </w:tc>
        <w:tc>
          <w:tcPr>
            <w:tcW w:w="3714" w:type="dxa"/>
            <w:gridSpan w:val="4"/>
            <w:tcBorders>
              <w:top w:val="nil"/>
            </w:tcBorders>
            <w:shd w:val="clear" w:color="auto" w:fill="auto"/>
          </w:tcPr>
          <w:p w14:paraId="524A4E97"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No change to recommendation (Diluent selection may be determined by clinicians other than the prescriber and based on chemical and stability concerns)</w:t>
            </w:r>
          </w:p>
        </w:tc>
      </w:tr>
    </w:tbl>
    <w:p w14:paraId="68A06577" w14:textId="77777777" w:rsidR="00743CB8" w:rsidRPr="00A162FD" w:rsidRDefault="00743CB8" w:rsidP="00743CB8">
      <w:pPr>
        <w:pStyle w:val="Heading2"/>
        <w:numPr>
          <w:ilvl w:val="0"/>
          <w:numId w:val="0"/>
        </w:numPr>
        <w:rPr>
          <w:rFonts w:asciiTheme="minorHAnsi" w:hAnsiTheme="minorHAnsi" w:cstheme="minorHAnsi"/>
          <w:b/>
          <w:bCs/>
        </w:rPr>
      </w:pPr>
    </w:p>
    <w:p w14:paraId="74AE5F26" w14:textId="005C4DD7" w:rsidR="00743CB8" w:rsidRPr="00A162FD" w:rsidRDefault="00743CB8" w:rsidP="00743CB8">
      <w:pPr>
        <w:pStyle w:val="Heading2"/>
        <w:numPr>
          <w:ilvl w:val="1"/>
          <w:numId w:val="2"/>
        </w:numPr>
        <w:rPr>
          <w:rFonts w:asciiTheme="minorHAnsi" w:hAnsiTheme="minorHAnsi" w:cstheme="minorHAnsi"/>
          <w:b/>
          <w:bCs/>
        </w:rPr>
      </w:pPr>
      <w:bookmarkStart w:id="1" w:name="_Toc61445814"/>
      <w:r w:rsidRPr="00A162FD">
        <w:rPr>
          <w:rFonts w:asciiTheme="minorHAnsi" w:hAnsiTheme="minorHAnsi" w:cstheme="minorHAnsi"/>
          <w:b/>
          <w:bCs/>
        </w:rPr>
        <w:t>Recommendations for Subcutaneous Access Device Placement</w:t>
      </w:r>
      <w:bookmarkEnd w:id="1"/>
      <w:r w:rsidRPr="00A162FD">
        <w:rPr>
          <w:rFonts w:asciiTheme="minorHAnsi" w:hAnsiTheme="minorHAnsi" w:cstheme="minorHAnsi"/>
          <w:b/>
          <w:bCs/>
        </w:rPr>
        <w:t xml:space="preserve"> </w:t>
      </w:r>
    </w:p>
    <w:tbl>
      <w:tblPr>
        <w:tblW w:w="14013" w:type="dxa"/>
        <w:tblBorders>
          <w:top w:val="single" w:sz="4" w:space="0" w:color="auto"/>
          <w:bottom w:val="single" w:sz="4" w:space="0" w:color="auto"/>
          <w:insideH w:val="single" w:sz="4" w:space="0" w:color="auto"/>
        </w:tblBorders>
        <w:tblLook w:val="04A0" w:firstRow="1" w:lastRow="0" w:firstColumn="1" w:lastColumn="0" w:noHBand="0" w:noVBand="1"/>
      </w:tblPr>
      <w:tblGrid>
        <w:gridCol w:w="10240"/>
        <w:gridCol w:w="812"/>
        <w:gridCol w:w="992"/>
        <w:gridCol w:w="992"/>
        <w:gridCol w:w="977"/>
      </w:tblGrid>
      <w:tr w:rsidR="00743CB8" w:rsidRPr="006E1F24" w14:paraId="2B72FCF9" w14:textId="77777777" w:rsidTr="00B467D3">
        <w:trPr>
          <w:trHeight w:val="298"/>
        </w:trPr>
        <w:tc>
          <w:tcPr>
            <w:tcW w:w="10240" w:type="dxa"/>
            <w:vMerge w:val="restart"/>
            <w:shd w:val="clear" w:color="auto" w:fill="D9D9D9" w:themeFill="background1" w:themeFillShade="D9"/>
            <w:vAlign w:val="center"/>
            <w:hideMark/>
          </w:tcPr>
          <w:p w14:paraId="6085269E"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 Recommendation</w:t>
            </w:r>
          </w:p>
        </w:tc>
        <w:tc>
          <w:tcPr>
            <w:tcW w:w="1804" w:type="dxa"/>
            <w:gridSpan w:val="2"/>
            <w:shd w:val="clear" w:color="auto" w:fill="D9D9D9" w:themeFill="background1" w:themeFillShade="D9"/>
            <w:hideMark/>
          </w:tcPr>
          <w:p w14:paraId="6F27784D"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N</w:t>
            </w:r>
          </w:p>
        </w:tc>
        <w:tc>
          <w:tcPr>
            <w:tcW w:w="992" w:type="dxa"/>
            <w:vMerge w:val="restart"/>
            <w:shd w:val="clear" w:color="auto" w:fill="D9D9D9" w:themeFill="background1" w:themeFillShade="D9"/>
            <w:hideMark/>
          </w:tcPr>
          <w:p w14:paraId="583F1A4E"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Median</w:t>
            </w:r>
          </w:p>
          <w:p w14:paraId="07E117C1"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(IQR)</w:t>
            </w:r>
          </w:p>
        </w:tc>
        <w:tc>
          <w:tcPr>
            <w:tcW w:w="977" w:type="dxa"/>
            <w:vMerge w:val="restart"/>
            <w:shd w:val="clear" w:color="auto" w:fill="D9D9D9" w:themeFill="background1" w:themeFillShade="D9"/>
            <w:hideMark/>
          </w:tcPr>
          <w:p w14:paraId="6158EC6D"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Range</w:t>
            </w:r>
          </w:p>
        </w:tc>
      </w:tr>
      <w:tr w:rsidR="00743CB8" w:rsidRPr="006E1F24" w14:paraId="4D11646B" w14:textId="77777777" w:rsidTr="00B467D3">
        <w:trPr>
          <w:trHeight w:val="298"/>
        </w:trPr>
        <w:tc>
          <w:tcPr>
            <w:tcW w:w="10240" w:type="dxa"/>
            <w:vMerge/>
            <w:tcBorders>
              <w:bottom w:val="single" w:sz="4" w:space="0" w:color="auto"/>
            </w:tcBorders>
            <w:vAlign w:val="center"/>
            <w:hideMark/>
          </w:tcPr>
          <w:p w14:paraId="755F9B18" w14:textId="77777777" w:rsidR="00743CB8" w:rsidRPr="006E1F24" w:rsidRDefault="00743CB8" w:rsidP="00B467D3">
            <w:pPr>
              <w:rPr>
                <w:rFonts w:eastAsia="Times New Roman" w:cstheme="minorHAnsi"/>
                <w:sz w:val="22"/>
                <w:szCs w:val="22"/>
                <w:lang w:eastAsia="en-AU"/>
              </w:rPr>
            </w:pPr>
          </w:p>
        </w:tc>
        <w:tc>
          <w:tcPr>
            <w:tcW w:w="812" w:type="dxa"/>
            <w:tcBorders>
              <w:bottom w:val="single" w:sz="4" w:space="0" w:color="auto"/>
            </w:tcBorders>
            <w:shd w:val="clear" w:color="000000" w:fill="E0E0E0"/>
            <w:hideMark/>
          </w:tcPr>
          <w:p w14:paraId="6FCDE239"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Valid</w:t>
            </w:r>
          </w:p>
        </w:tc>
        <w:tc>
          <w:tcPr>
            <w:tcW w:w="992" w:type="dxa"/>
            <w:tcBorders>
              <w:bottom w:val="single" w:sz="4" w:space="0" w:color="auto"/>
            </w:tcBorders>
            <w:shd w:val="clear" w:color="000000" w:fill="E0E0E0"/>
            <w:hideMark/>
          </w:tcPr>
          <w:p w14:paraId="486CA44F"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Missing</w:t>
            </w:r>
          </w:p>
        </w:tc>
        <w:tc>
          <w:tcPr>
            <w:tcW w:w="992" w:type="dxa"/>
            <w:vMerge/>
            <w:tcBorders>
              <w:bottom w:val="single" w:sz="4" w:space="0" w:color="auto"/>
            </w:tcBorders>
            <w:vAlign w:val="center"/>
            <w:hideMark/>
          </w:tcPr>
          <w:p w14:paraId="0AE8516E" w14:textId="77777777" w:rsidR="00743CB8" w:rsidRPr="006E1F24" w:rsidRDefault="00743CB8" w:rsidP="00B467D3">
            <w:pPr>
              <w:rPr>
                <w:rFonts w:eastAsia="Times New Roman" w:cstheme="minorHAnsi"/>
                <w:sz w:val="22"/>
                <w:szCs w:val="22"/>
                <w:lang w:eastAsia="en-AU"/>
              </w:rPr>
            </w:pPr>
          </w:p>
        </w:tc>
        <w:tc>
          <w:tcPr>
            <w:tcW w:w="977" w:type="dxa"/>
            <w:vMerge/>
            <w:tcBorders>
              <w:bottom w:val="single" w:sz="4" w:space="0" w:color="auto"/>
            </w:tcBorders>
            <w:vAlign w:val="center"/>
            <w:hideMark/>
          </w:tcPr>
          <w:p w14:paraId="0D889D90" w14:textId="77777777" w:rsidR="00743CB8" w:rsidRPr="006E1F24" w:rsidRDefault="00743CB8" w:rsidP="00B467D3">
            <w:pPr>
              <w:rPr>
                <w:rFonts w:eastAsia="Times New Roman" w:cstheme="minorHAnsi"/>
                <w:sz w:val="22"/>
                <w:szCs w:val="22"/>
                <w:lang w:eastAsia="en-AU"/>
              </w:rPr>
            </w:pPr>
          </w:p>
        </w:tc>
      </w:tr>
      <w:tr w:rsidR="00743CB8" w:rsidRPr="006E1F24" w14:paraId="2C56B471" w14:textId="77777777" w:rsidTr="00B467D3">
        <w:trPr>
          <w:trHeight w:val="625"/>
        </w:trPr>
        <w:tc>
          <w:tcPr>
            <w:tcW w:w="10240" w:type="dxa"/>
            <w:tcBorders>
              <w:bottom w:val="single" w:sz="4" w:space="0" w:color="F2F2F2" w:themeColor="background1" w:themeShade="F2"/>
            </w:tcBorders>
            <w:shd w:val="clear" w:color="000000" w:fill="FFFFFF"/>
            <w:hideMark/>
          </w:tcPr>
          <w:p w14:paraId="2F46452C" w14:textId="7B2A1AFF"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Select a site for subcutaneous access with intact skin and adequate subcutaneous tissue,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minimum 1-2.5 cm thickness), assessing patient comfort, mobility, safety, and preference, (to identify optimal position or location for the patient).</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Guidelines","type":"book"},"uris":["http://www.mendeley.com/documents/?uuid=51e21049-2167-4db2-a4ef-ae9f8d544f9f"]},{"id":"ITEM-2","itemData":{"abstract":"Hypodermoclysis, or the subcutaneous administration of fluids, is a\\r\\nmethod of rehydration that is not routinely used in the UK. Yet it is\\r\\na simple and effective method o f fluid administration for individuals\\r\\nwith mild-to-moderate dehydration, especially for the frail and\\r\\nelderly (Sasson and Shvartzman, 2001). Subcutaneous infusion is an\\r\\nalternative route o f parenteral administration. It provides a number\\r\\no f advantages over the intravenous route for those individuals unable\\r\\nto tolerate enteral fluids, as it is associated with fewer complications,\\r\\nas well as a wider range of infusion sites. This makes it particularly\\r\\nadvantageous for frail and/or older patients requiring low-volume\\r\\nhydration in the community setting. This article discusses indications\\r\\nand contraindications for subcutaneous infusions, as well as patient\\r\\nassessment, placement, securement and potential complications.","author":[{"dropping-particle":"","family":"Gabriel","given":"J","non-dropping-particle":"","parse-names":false,"suffix":""}],"container-title":"Britsh Journal of Nursing","id":"ITEM-2","issue":"14","issued":{"date-parts":[["2014"]]},"page":"S10-S14","title":"Subcutaneus fluid administration and the hydration of older people","type":"article-journal","volume":"23"},"uris":["http://www.mendeley.com/documents/?uuid=115a8cda-fc43-4a46-b0c3-475dc75c3242"]},{"id":"ITEM-3","itemData":{"DOI":"http://dx.doi.org/10.1590/0034-7167-2016-0424","author":[{"dropping-particle":"","family":"Gomes","given":"N. S.","non-dropping-particle":"","parse-names":false,"suffix":""},{"dropping-particle":"","family":"Silva","given":"A.M.B.","non-dropping-particle":"","parse-names":false,"suffix":""},{"dropping-particle":"","family":"Zago","given":"L. B.","non-dropping-particle":"","parse-names":false,"suffix":""},{"dropping-particle":"","family":"Lima e Silva","given":"Érica C.","non-dropping-particle":"","parse-names":false,"suffix":""},{"dropping-particle":"","family":"Barichello","given":"E","non-dropping-particle":"","parse-names":false,"suffix":""}],"container-title":"Rav Bras Enferm [Internet]","id":"ITEM-3","issue":"5","issued":{"date-parts":[["2017"]]},"page":"1096-1106","title":"Nursing knowledge and practices regarding subcutaneous fluid administration","type":"article-journal","volume":"70"},"uris":["http://www.mendeley.com/documents/?uuid=04c8cf6a-58c8-499a-b86c-0600652d0de6"]},{"id":"ITEM-4","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-4","issued":{"date-parts":[["2020"]]},"title":"Subcutaneous hydration and medications infusions (effectiveness, safety, acceptability): A systematic review of systematic reviews","type":"article-journal"},"uris":["http://www.mendeley.com/documents/?uuid=dcdca528-53ad-4aba-a961-906f864ad0e8"]},{"id":"ITEM-5","itemData":{"author":[{"dropping-particle":"","family":"National Institute for Health and Care Excellence","given":"","non-dropping-particle":"","parse-names":false,"suffix":""}],"container-title":"Nice clinical guideline","id":"ITEM-5","issued":{"date-parts":[["2013"]]},"page":"1-26","title":"Intravenous fluid therapy in adults in hospital","type":"article-journal","volume":"174"},"uris":["http://www.mendeley.com/documents/?uuid=7d7efb7b-7c11-45bc-8efb-61212f563ae5"]}],"mendeley":{"formattedCitation":"&lt;sup&gt;1,7–9,15&lt;/sup&gt;","manualFormatting":"1,7–9,13,15","plainTextFormattedCitation":"1,7–9,15","previouslyFormattedCitation":"&lt;sup&gt;1,7–9,15&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1,7–9,13,15</w:t>
            </w:r>
            <w:r w:rsidRPr="006E1F24">
              <w:rPr>
                <w:rFonts w:eastAsia="Times" w:cstheme="minorHAnsi"/>
                <w:color w:val="231F20"/>
                <w:sz w:val="22"/>
                <w:szCs w:val="22"/>
                <w:vertAlign w:val="superscript"/>
              </w:rPr>
              <w:fldChar w:fldCharType="end"/>
            </w:r>
            <w:r w:rsidRPr="006E1F24">
              <w:rPr>
                <w:rFonts w:eastAsia="Times" w:cstheme="minorHAnsi"/>
                <w:color w:val="231F20"/>
                <w:sz w:val="22"/>
                <w:szCs w:val="22"/>
                <w:vertAlign w:val="superscript"/>
              </w:rPr>
              <w:t xml:space="preserve"> </w:t>
            </w:r>
            <w:r w:rsidRPr="006E1F24">
              <w:rPr>
                <w:rFonts w:eastAsia="Times" w:cstheme="minorHAnsi"/>
                <w:color w:val="231F20"/>
                <w:sz w:val="22"/>
                <w:szCs w:val="22"/>
              </w:rPr>
              <w:t xml:space="preserve"> </w:t>
            </w:r>
          </w:p>
        </w:tc>
        <w:tc>
          <w:tcPr>
            <w:tcW w:w="812" w:type="dxa"/>
            <w:tcBorders>
              <w:bottom w:val="single" w:sz="4" w:space="0" w:color="F2F2F2" w:themeColor="background1" w:themeShade="F2"/>
            </w:tcBorders>
            <w:shd w:val="clear" w:color="000000" w:fill="F9F9FB"/>
            <w:hideMark/>
          </w:tcPr>
          <w:p w14:paraId="35D87CD5"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bottom w:val="single" w:sz="4" w:space="0" w:color="F2F2F2" w:themeColor="background1" w:themeShade="F2"/>
            </w:tcBorders>
            <w:shd w:val="clear" w:color="000000" w:fill="F9F9FB"/>
            <w:hideMark/>
          </w:tcPr>
          <w:p w14:paraId="4D39B4A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bottom w:val="single" w:sz="4" w:space="0" w:color="F2F2F2" w:themeColor="background1" w:themeShade="F2"/>
            </w:tcBorders>
            <w:shd w:val="clear" w:color="000000" w:fill="F9F9FB"/>
            <w:hideMark/>
          </w:tcPr>
          <w:p w14:paraId="39D4F44A"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(9-9)</w:t>
            </w:r>
          </w:p>
        </w:tc>
        <w:tc>
          <w:tcPr>
            <w:tcW w:w="977" w:type="dxa"/>
            <w:tcBorders>
              <w:bottom w:val="single" w:sz="4" w:space="0" w:color="F2F2F2" w:themeColor="background1" w:themeShade="F2"/>
            </w:tcBorders>
            <w:shd w:val="clear" w:color="000000" w:fill="F9F9FB"/>
            <w:hideMark/>
          </w:tcPr>
          <w:p w14:paraId="39AC918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38DB6BE4" w14:textId="77777777" w:rsidTr="00B467D3">
        <w:trPr>
          <w:trHeight w:val="330"/>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15551DD5" w14:textId="195A9DE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 Consider use of 2 or more sites as required for high volume solutions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up to 1 L/day/site).</w:t>
            </w:r>
            <w:r w:rsidRPr="006E1F24">
              <w:rPr>
                <w:rFonts w:eastAsia="Times New Roman" w:cstheme="minorHAnsi"/>
                <w:sz w:val="22"/>
                <w:szCs w:val="22"/>
                <w:vertAlign w:val="superscript"/>
                <w:lang w:eastAsia="en-AU"/>
              </w:rPr>
              <w:t>2,10,</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{"citationItems":[{"id":"ITEM-1","itemData":{"DOI":"10.12968/bjon.2019.28.Sup14c.1","ISSN":"09660461","author":[{"dropping-particle":"","family":"Gabriel","given":"Janice","non-dropping-particle":"","parse-names":false,"suffix":""}],"container-title":"British Journal of Nursing","id":"ITEM-1","issue":"Sup14c","issued":{"date-parts":[["2019"]]},"page":"1-7","title":"A guide to subcutaneous infusion","type":"article-journal","volume":"28"},"uris":["http://www.mendeley.com/documents/?uuid=ad9580be-5793-4df3-99cf-cd98376b12d0"]}],"mendeley":{"formattedCitation":"&lt;sup&gt;16&lt;/sup&gt;","plainTextFormattedCitation":"16","previouslyFormattedCitation":"&lt;sup&gt;16&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15</w:t>
            </w:r>
            <w:r w:rsidRPr="006E1F24">
              <w:rPr>
                <w:rFonts w:eastAsia="Times" w:cstheme="minorHAnsi"/>
                <w:color w:val="231F20"/>
                <w:sz w:val="22"/>
                <w:szCs w:val="22"/>
              </w:rPr>
              <w:fldChar w:fldCharType="end"/>
            </w:r>
            <w:r w:rsidRPr="006E1F24">
              <w:rPr>
                <w:rFonts w:eastAsia="Times" w:cstheme="minorHAnsi"/>
                <w:color w:val="231F20"/>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7D66327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54ABFBDD"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4EA434C"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0A2497AD"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3-9</w:t>
            </w:r>
          </w:p>
        </w:tc>
      </w:tr>
      <w:tr w:rsidR="00743CB8" w:rsidRPr="006E1F24" w14:paraId="38E1E389" w14:textId="77777777" w:rsidTr="00B467D3">
        <w:trPr>
          <w:trHeight w:val="615"/>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54C6CB77"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11. If multiple subcutaneous infusions are prescribed, determine if they are compatible and can be administered in the same infusion. If using more than one subcutaneous set simultaneously (or bifurcated needle sets), use a separate site for each set.</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{"citationItems":[{"id":"ITEM-1","itemData":{"DOI":"10.12968/bjon.2019.28.Sup14c.1","ISSN":"09660461","author":[{"dropping-particle":"","family":"Gabriel","given":"Janice","non-dropping-particle":"","parse-names":false,"suffix":""}],"container-title":"British Journal of Nursing","id":"ITEM-1","issue":"Sup14c","issued":{"date-parts":[["2019"]]},"page":"1-7","title":"A guide to subcutaneous infusion","type":"article-journal","volume":"28"},"uris":["http://www.mendeley.com/documents/?uuid=ad9580be-5793-4df3-99cf-cd98376b12d0"]}],"mendeley":{"formattedCitation":"&lt;sup&gt;16&lt;/sup&gt;","plainTextFormattedCitation":"16","previouslyFormattedCitation":"&lt;sup&gt;16&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16</w:t>
            </w:r>
            <w:r w:rsidRPr="006E1F24">
              <w:rPr>
                <w:rFonts w:eastAsia="Times" w:cstheme="minorHAnsi"/>
                <w:color w:val="231F20"/>
                <w:sz w:val="22"/>
                <w:szCs w:val="22"/>
              </w:rPr>
              <w:fldChar w:fldCharType="end"/>
            </w:r>
            <w:r w:rsidRPr="006E1F24">
              <w:rPr>
                <w:rFonts w:eastAsia="Times" w:cstheme="minorHAnsi"/>
                <w:color w:val="231F20"/>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6978729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4CCFF27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0951472"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523E3E1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5-9</w:t>
            </w:r>
          </w:p>
        </w:tc>
      </w:tr>
      <w:tr w:rsidR="00743CB8" w:rsidRPr="006E1F24" w14:paraId="583C6296" w14:textId="77777777" w:rsidTr="00B467D3">
        <w:trPr>
          <w:trHeight w:val="587"/>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4CE2C20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12. To aid in dressing adhesion, remove excess hair from insertion site with clippers or scissors (do not shave or use a depilatory).</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{"citationItems":[{"id":"ITEM-1","itemData":{"author":[{"dropping-particle":"","family":"Gabriel","given":"Janice","non-dropping-particle":"","parse-names":false,"suffix":""}],"container-title":"British Journal of Nursing","id":"ITEM-1","issue":"14","issued":{"date-parts":[["2013"]]},"page":"S6-S12","title":"The use of subcutaneous infusion in medication administration","type":"article-journal","volume":"22"},"uris":["http://www.mendeley.com/documents/?uuid=d6ac3c5d-ec71-408a-87db-ceafff147f63"]}],"mendeley":{"formattedCitation":"&lt;sup&gt;14&lt;/sup&gt;","plainTextFormattedCitation":"14","previouslyFormattedCitation":"&lt;sup&gt;14&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14</w:t>
            </w:r>
            <w:r w:rsidRPr="006E1F24">
              <w:rPr>
                <w:rFonts w:cstheme="minorHAnsi"/>
                <w:sz w:val="22"/>
                <w:szCs w:val="22"/>
              </w:rPr>
              <w:fldChar w:fldCharType="end"/>
            </w:r>
            <w:r w:rsidRPr="006E1F24">
              <w:rPr>
                <w:rFonts w:cstheme="minorHAnsi"/>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323B7146"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2D754A45"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07AF099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7 (5-9)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6110AFFD"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3-9</w:t>
            </w:r>
          </w:p>
        </w:tc>
      </w:tr>
      <w:tr w:rsidR="00743CB8" w:rsidRPr="006E1F24" w14:paraId="58C21966" w14:textId="77777777" w:rsidTr="00B467D3">
        <w:trPr>
          <w:trHeight w:val="572"/>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1F9F00F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13. Perform hand hygiene and don gloves. Perform skin antisepsis, preferably using chlorhexidine-based solution, using a single-use applicator, and allow to dry naturally (without wiping, fanning or blowing on skin).</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Gorski","given":"Lisa","non-dropping-particle":"","parse-names":false,"suffix":""},{"dropping-particle":"","family":"Hadaway","given":"Lynn","non-dropping-particle":"","parse-names":false,"suffix":""},{"dropping-particle":"","family":"Hagle","given":"E. E.","non-dropping-particle":"","parse-names":false,"suffix":""},{"dropping-particle":"","family":"McGoldrick","given":"M","non-dropping-particle":"","parse-names":false,"suffix":""},{"dropping-particle":"","family":"Orr","given":"M","non-dropping-particle":"","parse-names":false,"suffix":""},{"dropping-particle":"","family":"Doellman","given":"D","non-dropping-particle":"","parse-names":false,"suffix":""}],"container-title":"Journal of Infusion Nursing","id":"ITEM-1","issue":"1S","issued":{"date-parts":[["2016"]]},"page":"1-164","title":"Infusion therapy standards of practice","type":"article-journal","volume":"39"},"uris":["http://www.mendeley.com/documents/?uuid=50f980ef-88cc-4c13-b6fb-742474759ec2"]},{"id":"ITEM-2","itemData":{"author":[{"dropping-particle":"","family":"Canadian Vascular Access Association","given":"","non-dropping-particle":"","parse-names":false,"suffix":""}],"id":"ITEM-2","issued":{"date-parts":[["2019"]]},"publisher":"Pappin Communications","publisher-place":"Pembroke, ON","title":"Canadian Vascular Access and Infusion Therapy Guidelines","type":"book"},"uris":["http://www.mendeley.com/documents/?uuid=51e21049-2167-4db2-a4ef-ae9f8d544f9f"]},{"id":"ITEM-3","itemData":{"author":[{"dropping-particle":"","family":"Gabriel","given":"Janice","non-dropping-particle":"","parse-names":false,"suffix":""}],"container-title":"British Journal of Nursing","id":"ITEM-3","issue":"14","issued":{"date-parts":[["2013"]]},"page":"S6-S12","title":"The use of subcutaneous infusion in medication administration","type":"article-journal","volume":"22"},"uris":["http://www.mendeley.com/documents/?uuid=d6ac3c5d-ec71-408a-87db-ceafff147f63"]}],"mendeley":{"formattedCitation":"&lt;sup&gt;2,8,14&lt;/sup&gt;","manualFormatting":"2,8,13,14","plainTextFormattedCitation":"2,8,14","previouslyFormattedCitation":"&lt;sup&gt;2,8,14&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2,8,13,14</w:t>
            </w:r>
            <w:r w:rsidRPr="006E1F24">
              <w:rPr>
                <w:rFonts w:cstheme="minorHAnsi"/>
                <w:sz w:val="22"/>
                <w:szCs w:val="22"/>
              </w:rPr>
              <w:fldChar w:fldCharType="end"/>
            </w:r>
            <w:r w:rsidRPr="006E1F24">
              <w:rPr>
                <w:rFonts w:cstheme="minorHAnsi"/>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31F5C45A"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3C7A6D6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3FC34DC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428A8FF9"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56DA9CA2" w14:textId="77777777" w:rsidTr="00B467D3">
        <w:trPr>
          <w:trHeight w:val="680"/>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29554502" w14:textId="73ED5483"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14. Use a non-metal cannula appropriate for the patient and </w:t>
            </w:r>
            <w:proofErr w:type="spellStart"/>
            <w:r w:rsidRPr="006E1F24">
              <w:rPr>
                <w:rFonts w:eastAsia="Times New Roman" w:cstheme="minorHAnsi"/>
                <w:sz w:val="22"/>
                <w:szCs w:val="22"/>
                <w:lang w:eastAsia="en-AU"/>
              </w:rPr>
              <w:t>infusate</w:t>
            </w:r>
            <w:proofErr w:type="spellEnd"/>
            <w:r w:rsidRPr="006E1F24">
              <w:rPr>
                <w:rFonts w:eastAsia="Times New Roman" w:cstheme="minorHAnsi"/>
                <w:sz w:val="22"/>
                <w:szCs w:val="22"/>
                <w:lang w:eastAsia="en-AU"/>
              </w:rPr>
              <w:t>, preferably with a short length (to avoid intramuscular injection) and small gauge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24 to 27 gauge). Note that a smaller gauge cannula may result in a slower infusion and thus not be suitable for higher infusion rates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hydration).</w:t>
            </w:r>
            <w:r w:rsidRPr="00A162FD">
              <w:rPr>
                <w:rFonts w:eastAsia="Times New Roman" w:cstheme="minorHAnsi"/>
                <w:color w:val="35363F"/>
                <w:sz w:val="30"/>
                <w:szCs w:val="30"/>
                <w:lang w:eastAsia="en-GB"/>
              </w:rPr>
              <w:t xml:space="preserve"> </w:t>
            </w:r>
            <w:r w:rsidRPr="006E1F24">
              <w:rPr>
                <w:rFonts w:eastAsia="Times New Roman" w:cstheme="minorHAnsi"/>
                <w:sz w:val="22"/>
                <w:szCs w:val="22"/>
                <w:lang w:eastAsia="en-AU"/>
              </w:rPr>
              <w:t>Avoid use of a metal winged needle unless required, as indicated in a drug product monograph, due to patient discomfort and risk of needle-stick injury. If using a steel needle, consider use of a device with a manually activated self-blunting mechanism activated immediately after siting the device, to avoid needle-stick injuries if needle accidentally dislodges.</w:t>
            </w:r>
            <w:r w:rsidRPr="006E1F24">
              <w:rPr>
                <w:rFonts w:cstheme="minorHAnsi"/>
                <w:sz w:val="22"/>
                <w:szCs w:val="22"/>
                <w:vertAlign w:val="superscript"/>
              </w:rPr>
              <w:fldChar w:fldCharType="begin" w:fldLock="1"/>
            </w:r>
            <w:r w:rsidRPr="006E1F24">
              <w:rPr>
                <w:rFonts w:cstheme="minorHAnsi"/>
                <w:sz w:val="22"/>
                <w:szCs w:val="22"/>
                <w:vertAlign w:val="superscript"/>
              </w:rPr>
              <w:instrText>ADDIN CSL_CITATION {"citationItems":[{"id":"ITEM-1","itemData":{"author":[{"dropping-particle":"","family":"Macmillan","given":"Karen","non-dropping-particle":"","parse-names":false,"suffix":""},{"dropping-particle":"","family":"Bruera","given":"Eduardo","non-dropping-particle":"","parse-names":false,"suffix":""},{"dropping-particle":"","family":"Kuehn","given":"Norma","non-dropping-particle":"","parse-names":false,"suffix":""},{"dropping-particle":"","family":"Selmser","given":"Pat","non-dropping-particle":"","parse-names":false,"suffix":""},{"dropping-particle":"","family":"Macmillan","given":"Andrew","non-dropping-particle":"","parse-names":false,"suffix":""}],"container-title":"Journal of Pain and Symptom Management","id":"ITEM-1","issue":"2","issued":{"date-parts":[["1994"]]},"page":"82-84","title":"A prospective comparison between a butterfly needle and a teflon for subcutaneous narcotic administration","type":"article-journal","volume":"9"},"uris":["http://www.mendeley.com/documents/?uuid=217d02fa-2010-4608-988e-26352b85d1d1"]},{"id":"ITEM-2","itemData":{"author":[{"dropping-particle":"","family":"Torre","given":"Maria Carrion","non-dropping-particle":"","parse-names":false,"suffix":""}],"container-title":"British Journal of Community Nursing","id":"ITEM-2","issue":"7","issued":{"date-parts":[["2002"]]},"page":"365-369","title":"Subcutaneous infusion: Non-metal cannulae vs metal butterfly needles","type":"article-journal","volume":"7"},"uris":["http://www.mendeley.com/documents/?uuid=e0ab53de-66a5-4ffb-b138-89a395eaac39"]},{"id":"ITEM-3","itemData":{"author":[{"dropping-particle":"","family":"Royal College of Nursing","given":"","non-dropping-particle":"","parse-names":false,"suffix":""}],"id":"ITEM-3","issued":{"date-parts":[["2016"]]},"publisher-place":"London, UK","title":"Standards for infusion therapy: 4th edition","type":"report"},"uris":["http://www.mendeley.com/documents/?uuid=dcb305c2-5372-4bd2-9460-5295fd568a30"]},{"id":"ITEM-4","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-4","issued":{"date-parts":[["2020"]]},"title":"Subcutaneous hydration and medications infusions (effectiveness, safety, acceptability): A systematic review of systematic reviews","type":"article-journal"},"uris":["http://www.mendeley.com/documents/?uuid=dcdca528-53ad-4aba-a961-906f864ad0e8"]},{"id":"ITEM-5","itemData":{"DOI":"10.12968/bjon.2019.28.Sup14c.1","ISSN":"09660461","author":[{"dropping-particle":"","family":"Gabriel","given":"Janice","non-dropping-particle":"","parse-names":false,"suffix":""}],"container-title":"British Journal of Nursing","id":"ITEM-5","issue":"Sup14c","issued":{"date-parts":[["2019"]]},"page":"1-7","title":"A guide to subcutaneous infusion","type":"article-journal","volume":"28"},"uris":["http://www.mendeley.com/documents/?uuid=ad9580be-5793-4df3-99cf-cd98376b12d0"]},{"id":"ITEM-6","itemData":{"author":[{"dropping-particle":"","family":"Gabriel","given":"Janice","non-dropping-particle":"","parse-names":false,"suffix":""}],"container-title":"British Journal of Nursing","id":"ITEM-6","issue":"14","issued":{"date-parts":[["2013"]]},"page":"S6-S12","title":"The use of subcutaneous infusion in medication administration","type":"article-journal","volume":"22"},"uris":["http://www.mendeley.com/documents/?uuid=d6ac3c5d-ec71-408a-87db-ceafff147f63"]},{"id":"ITEM-7","itemData":{"DOI":"10.1089/jpm.2015.0085","ISSN":"15577740","abstract":"Background and Objectives: A comparison of metal needles and plastic cannulae (winged and nonwinged) for continuous subcutaneous infusion was done during a quality improvement project to reduce device-induced complications at our hospital. Design, Setting, and Measurements: Data were collected on incidence of site reactions (bruising, swelling, erythema, and blisters); mechanical complications (kinking and dislodgement); device durability; type, and volume of medications; and incidence of needle-stick injuries. All infusion devices used for patients in the Palliative Care Service from February 3 to March 26, 2014 were studied. Devices examined were: winged metal needle (Venofix®, 23G, B. Braun Melsungen AG, Melsungen, Germany), winged vialon cannula (BD Nexiva™, 24G, Becton Dickinson Infusion Therapy Systems Inc., Sandy, UT), and nonwinged polyurethane cannula (Introcan Safety®, 24G, B. Braun Medical, Mundelein, IL). Results: Thirty devices (10 per type) were used. Incidence of site reactions was 50.0%, 10.0%, and 0.0% for the metal needles, polyurethane cannulae, and vialon cannulae, respectively. Incidence of mechanical complications was 20.0% for the polyurethane cannulae and 0.0% for the metal needles and vialon cannulae. Duration of use was up to 60 hours, 83 hours, and 113 hours for the metal needles, polyurethane cannulae, and vialon cannulae, respectively. Daily volumes infused were up to 28.9 mL, 60.0 mL, and 29.4 mL for the metal needles, polyurethane cannulae, and vialon cannulae, respectively. No needle-stick injuries occurred. Conclusions: The winged vialon cannula was the most durable, with no site reactions or mechanical complications, tolerating a volume comparable to that of the metal needle. We suggest its utilization for continuous subcutaneous infusions and consideration of future randomized controlled trials with an integrated economic evaluation for further in-depth comparisons of subcutaneous indwelling devices.","author":[{"dropping-particle":"","family":"Neo","given":"Shirlyn Hui Shan","non-dropping-particle":"","parse-names":false,"suffix":""},{"dropping-particle":"","family":"Khemlani","given":"Mansha Hari","non-dropping-particle":"","parse-names":false,"suffix":""},{"dropping-particle":"","family":"Sim","given":"Lai Kiow","non-dropping-particle":"","parse-names":false,"suffix":""},{"dropping-particle":"","family":"Seah","given":"Angeline Soek Tian","non-dropping-particle":"","parse-names":false,"suffix":""}],"container-title":"Journal of Palliative Medicine","id":"ITEM-7","issue":"3","issued":{"date-parts":[["2016"]]},"page":"318-322","title":"Winged metal needles versus plastic winged and nonwinged cannulae for subcutaneous infusions in palliative care: A quality improvement project to enhance patient care and medical staff safety in a Singaporean hospital","type":"article-journal","volume":"19"},"uris":["http://www.mendeley.com/documents/?uuid=ba4edae5-09a7-4af4-9692-82c719593a9f"]}],"mendeley":{"formattedCitation":"&lt;sup&gt;1,13,14,16–19&lt;/sup&gt;","plainTextFormattedCitation":"1,13,14,16–19","previouslyFormattedCitation":"&lt;sup&gt;1,13,14,16–19&lt;/sup&gt;"},"properties":{"noteIndex":0},"schema":"https://github.com/citation-style-language/schema/raw/master/csl-citation.json"}</w:instrText>
            </w:r>
            <w:r w:rsidRPr="006E1F24">
              <w:rPr>
                <w:rFonts w:cstheme="minorHAnsi"/>
                <w:sz w:val="22"/>
                <w:szCs w:val="22"/>
                <w:vertAlign w:val="superscript"/>
              </w:rPr>
              <w:fldChar w:fldCharType="separate"/>
            </w:r>
            <w:r w:rsidRPr="006E1F24">
              <w:rPr>
                <w:rFonts w:cstheme="minorHAnsi"/>
                <w:noProof/>
                <w:sz w:val="22"/>
                <w:szCs w:val="22"/>
                <w:vertAlign w:val="superscript"/>
              </w:rPr>
              <w:t>1,2,8,13,14,16–19</w:t>
            </w:r>
            <w:r w:rsidRPr="006E1F24">
              <w:rPr>
                <w:rFonts w:cstheme="minorHAnsi"/>
                <w:sz w:val="22"/>
                <w:szCs w:val="22"/>
                <w:vertAlign w:val="superscript"/>
              </w:rPr>
              <w:fldChar w:fldCharType="end"/>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4745273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42FEE38A"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476C0E8F"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17774D3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6BB0C0C0" w14:textId="77777777" w:rsidTr="00B467D3">
        <w:trPr>
          <w:trHeight w:val="680"/>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1BB7E8A4"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15. Prime the subcutaneous access device with either 0.9% sodium chloride or the prescribed medication/solution (to expel any air). For specific medications, such as immunoglobulins which may be irritating to the intradermal space, consider partially priming the cannula, stopping prior to the tip of the cannula (“dry-priming approach”).</w:t>
            </w:r>
            <w:r w:rsidRPr="006E1F24">
              <w:rPr>
                <w:rFonts w:cstheme="minorHAnsi"/>
                <w:sz w:val="22"/>
                <w:szCs w:val="22"/>
              </w:rPr>
              <w:fldChar w:fldCharType="begin" w:fldLock="1"/>
            </w:r>
            <w:r w:rsidRPr="006E1F24">
              <w:rPr>
                <w:rFonts w:cstheme="minorHAnsi"/>
                <w:sz w:val="22"/>
                <w:szCs w:val="22"/>
              </w:rPr>
              <w:instrText>ADDIN CSL_CITATION {"citationItems":[{"id":"ITEM-1","itemData":{"DOI":"10.12968/bjon.2019.28.Sup14c.1","ISSN":"09660461","author":[{"dropping-particle":"","family":"Gabriel","given":"Janice","non-dropping-particle":"","parse-names":false,"suffix":""}],"container-title":"British Journal of Nursing","id":"ITEM-1","issue":"Sup14c","issued":{"date-parts":[["2019"]]},"page":"1-7","title":"A guide to subcutaneous infusion","type":"article-journal","volume":"28"},"uris":["http://www.mendeley.com/documents/?uuid=ad9580be-5793-4df3-99cf-cd98376b12d0"]},{"id":"ITEM-2","itemData":{"abstract":"Hypodermoclysis, or the subcutaneous administration of fluids, is a\\r\\nmethod of rehydration that is not routinely used in the UK. Yet it is\\r\\na simple and effective method o f fluid administration for individuals\\r\\nwith mild-to-moderate dehydration, especially for the frail and\\r\\nelderly (Sasson and Shvartzman, 2001). Subcutaneous infusion is an\\r\\nalternative route o f parenteral administration. It provides a number\\r\\no f advantages over the intravenous route for those individuals unable\\r\\nto tolerate enteral fluids, as it is associated with fewer complications,\\r\\nas well as a wider range of infusion sites. This makes it particularly\\r\\nadvantageous for frail and/or older patients requiring low-volume\\r\\nhydration in the community setting. This article discusses indications\\r\\nand contraindications for subcutaneous infusions, as well as patient\\r\\nassessment, placement, securement and potential complications.","author":[{"dropping-particle":"","family":"Gabriel","given":"J","non-dropping-particle":"","parse-names":false,"suffix":""}],"container-title":"Britsh Journal of Nursing","id":"ITEM-2","issue":"14","issued":{"date-parts":[["2014"]]},"page":"S10-S14","title":"Subcutaneus fluid administration and the hydration of older people","type":"article-journal","volume":"23"},"uris":["http://www.mendeley.com/documents/?uuid=115a8cda-fc43-4a46-b0c3-475dc75c3242"]},{"id":"ITEM-3","itemData":{"author":[{"dropping-particle":"","family":"Canadian Vascular Access Association","given":"","non-dropping-particle":"","parse-names":false,"suffix":""}],"id":"ITEM-3","issued":{"date-parts":[["2019"]]},"publisher":"Pappin Communications","publisher-place":"Pembroke, ON","title":"Canadian Vascular Access and Infusion Therapy Guidelines","type":"book"},"uris":["http://www.mendeley.com/documents/?uuid=51e21049-2167-4db2-a4ef-ae9f8d544f9f"]}],"mendeley":{"formattedCitation":"&lt;sup&gt;7,8,16&lt;/sup&gt;","plainTextFormattedCitation":"7,8,16","previouslyFormattedCitation":"&lt;sup&gt;7,8,16&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7,8,16</w:t>
            </w:r>
            <w:r w:rsidRPr="006E1F24">
              <w:rPr>
                <w:rFonts w:cstheme="minorHAnsi"/>
                <w:sz w:val="22"/>
                <w:szCs w:val="22"/>
              </w:rPr>
              <w:fldChar w:fldCharType="end"/>
            </w:r>
            <w:r w:rsidRPr="006E1F24">
              <w:rPr>
                <w:rFonts w:cstheme="minorHAnsi"/>
                <w:sz w:val="22"/>
                <w:szCs w:val="22"/>
                <w:vertAlign w:val="superscript"/>
              </w:rPr>
              <w:t>, 20</w:t>
            </w:r>
            <w:r w:rsidRPr="006E1F24">
              <w:rPr>
                <w:rFonts w:cstheme="minorHAnsi"/>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7964A3B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24EA3A11"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48C25ED7"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8 (8-9)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63BD2E94"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6-9</w:t>
            </w:r>
          </w:p>
        </w:tc>
      </w:tr>
      <w:tr w:rsidR="00743CB8" w:rsidRPr="006E1F24" w14:paraId="72A4BCF6" w14:textId="77777777" w:rsidTr="00B467D3">
        <w:trPr>
          <w:trHeight w:val="364"/>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76DF6F8C"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16. Using aseptic non-touch technique, insert cannula to establish subcutaneous access. Insert short cannula (&lt;6mm) at a 90° angle, using a skin fold lift in the slim patient to lift the skin away from the muscle fascia. To insert a longer cannula or cannula of any length in lean adults, arm or thigh sites (which have less subcutaneous tissue), use a 45° angle and/or use a skin fold lift to minimize the risk of intramuscular injection.</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{"citationItems":[{"id":"ITEM-1","itemData":{"author":[{"dropping-particle":"","family":"Australian Diabetes Educators Association","given":"","non-dropping-particle":"","parse-names":false,"suffix":""}],"id":"ITEM-1","issued":{"date-parts":[["2017"]]},"number-of-pages":"1-44","title":"Clinical Guiding Principles for Subcutaneous Injection Technique: Technical Guidelines","type":"report"},"uris":["http://www.mendeley.com/documents/?uuid=144377eb-9247-449b-8412-d534846ae2b9"]},{"id":"ITEM-2","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-2","issued":{"date-parts":[["2020"]]},"title":"Subcutaneous hydration and medications infusions (effectiveness, safety, acceptability): A systematic review of systematic reviews","type":"article-journal"},"uris":["http://www.mendeley.com/documents/?uuid=dcdca528-53ad-4aba-a961-906f864ad0e8"]},{"id":"ITEM-3","itemData":{"author":[{"dropping-particle":"","family":"Gabriel","given":"Janice","non-dropping-particle":"","parse-names":false,"suffix":""}],"container-title":"British Journal of Nursing","id":"ITEM-3","issue":"14","issued":{"date-parts":[["2013"]]},"page":"S6-S12","title":"The use of subcutaneous infusion in medication administration","type":"article-journal","volume":"22"},"uris":["http://www.mendeley.com/documents/?uuid=d6ac3c5d-ec71-408a-87db-ceafff147f63"]},{"id":"ITEM-4","itemData":{"DOI":"10.12968/bjon.2019.28.Sup14c.1","ISSN":"09660461","author":[{"dropping-particle":"","family":"Gabriel","given":"Janice","non-dropping-particle":"","parse-names":false,"suffix":""}],"container-title":"British Journal of Nursing","id":"ITEM-4","issue":"Sup14c","issued":{"date-parts":[["2019"]]},"page":"1-7","title":"A guide to subcutaneous infusion","type":"article-journal","volume":"28"},"uris":["http://www.mendeley.com/documents/?uuid=ad9580be-5793-4df3-99cf-cd98376b12d0"]},{"id":"ITEM-5","itemData":{"author":[{"dropping-particle":"","family":"Royal College of Nursing","given":"","non-dropping-particle":"","parse-names":false,"suffix":""}],"id":"ITEM-5","issued":{"date-parts":[["2016"]]},"publisher-place":"London, UK","title":"Standards for infusion therapy: 4th edition","type":"report"},"uris":["http://www.mendeley.com/documents/?uuid=dcb305c2-5372-4bd2-9460-5295fd568a30"]},{"id":"ITEM-6","itemData":{"author":[{"dropping-particle":"","family":"Torre","given":"Maria Carrion","non-dropping-particle":"","parse-names":false,"suffix":""}],"container-title":"British Journal of Community Nursing","id":"ITEM-6","issue":"7","issued":{"date-parts":[["2002"]]},"page":"365-369","title":"Subcutaneous infusion: Non-metal cannulae vs metal butterfly needles","type":"article-journal","volume":"7"},"uris":["http://www.mendeley.com/documents/?uuid=e0ab53de-66a5-4ffb-b138-89a395eaac39"]},{"id":"ITEM-7","itemData":{"DOI":"10.1089/jpm.2015.0085","ISSN":"15577740","abstract":"Background and Objectives: A comparison of metal needles and plastic cannulae (winged and nonwinged) for continuous subcutaneous infusion was done during a quality improvement project to reduce device-induced complications at our hospital. Design, Setting, and Measurements: Data were collected on incidence of site reactions (bruising, swelling, erythema, and blisters); mechanical complications (kinking and dislodgement); device durability; type, and volume of medications; and incidence of needle-stick injuries. All infusion devices used for patients in the Palliative Care Service from February 3 to March 26, 2014 were studied. Devices examined were: winged metal needle (Venofix®, 23G, B. Braun Melsungen AG, Melsungen, Germany), winged vialon cannula (BD Nexiva™, 24G, Becton Dickinson Infusion Therapy Systems Inc., Sandy, UT), and nonwinged polyurethane cannula (Introcan Safety®, 24G, B. Braun Medical, Mundelein, IL). Results: Thirty devices (10 per type) were used. Incidence of site reactions was 50.0%, 10.0%, and 0.0% for the metal needles, polyurethane cannulae, and vialon cannulae, respectively. Incidence of mechanical complications was 20.0% for the polyurethane cannulae and 0.0% for the metal needles and vialon cannulae. Duration of use was up to 60 hours, 83 hours, and 113 hours for the metal needles, polyurethane cannulae, and vialon cannulae, respectively. Daily volumes infused were up to 28.9 mL, 60.0 mL, and 29.4 mL for the metal needles, polyurethane cannulae, and vialon cannulae, respectively. No needle-stick injuries occurred. Conclusions: The winged vialon cannula was the most durable, with no site reactions or mechanical complications, tolerating a volume comparable to that of the metal needle. We suggest its utilization for continuous subcutaneous infusions and consideration of future randomized controlled trials with an integrated economic evaluation for further in-depth comparisons of subcutaneous indwelling devices.","author":[{"dropping-particle":"","family":"Neo","given":"Shirlyn Hui Shan","non-dropping-particle":"","parse-names":false,"suffix":""},{"dropping-particle":"","family":"Khemlani","given":"Mansha Hari","non-dropping-particle":"","parse-names":false,"suffix":""},{"dropping-particle":"","family":"Sim","given":"Lai Kiow","non-dropping-particle":"","parse-names":false,"suffix":""},{"dropping-particle":"","family":"Seah","given":"Angeline Soek Tian","non-dropping-particle":"","parse-names":false,"suffix":""}],"container-title":"Journal of Palliative Medicine","id":"ITEM-7","issue":"3","issued":{"date-parts":[["2016"]]},"page":"318-322","title":"Winged metal needles versus plastic winged and nonwinged cannulae for subcutaneous infusions in palliative care: A quality improvement project to enhance patient care and medical staff safety in a Singaporean hospital","type":"article-journal","volume":"19"},"uris":["http://www.mendeley.com/documents/?uuid=ba4edae5-09a7-4af4-9692-82c719593a9f"]},{"id":"ITEM-8","itemData":{"abstract":"Hypodermoclysis, or the subcutaneous administration of fluids, is a\\r\\nmethod of rehydration that is not routinely used in the UK. Yet it is\\r\\na simple and effective method o f fluid administration for individuals\\r\\nwith mild-to-moderate dehydration, especially for the frail and\\r\\nelderly (Sasson and Shvartzman, 2001). Subcutaneous infusion is an\\r\\nalternative route o f parenteral administration. It provides a number\\r\\no f advantages over the intravenous route for those individuals unable\\r\\nto tolerate enteral fluids, as it is associated with fewer complications,\\r\\nas well as a wider range of infusion sites. This makes it particularly\\r\\nadvantageous for frail and/or older patients requiring low-volume\\r\\nhydration in the community setting. This article discusses indications\\r\\nand contraindications for subcutaneous infusions, as well as patient\\r\\nassessment, placement, securement and potential complications.","author":[{"dropping-particle":"","family":"Gabriel","given":"J","non-dropping-particle":"","parse-names":false,"suffix":""}],"container-title":"Britsh Journal of Nursing","id":"ITEM-8","issue":"14","issued":{"date-parts":[["2014"]]},"page":"S10-S14","title":"Subcutaneus fluid administration and the hydration of older people","type":"article-journal","volume":"23"},"uris":["http://www.mendeley.com/documents/?uuid=115a8cda-fc43-4a46-b0c3-475dc75c3242"]}],"mendeley":{"formattedCitation":"&lt;sup&gt;1,7,13,14,16,18–20&lt;/sup&gt;","plainTextFormattedCitation":"1,7,13,14,16,18–20","previouslyFormattedCitation":"&lt;sup&gt;1,7,13,14,16,18–20&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1,7,13,14,16,18–21</w:t>
            </w:r>
            <w:r w:rsidRPr="006E1F24">
              <w:rPr>
                <w:rFonts w:cstheme="minorHAnsi"/>
                <w:sz w:val="22"/>
                <w:szCs w:val="22"/>
              </w:rPr>
              <w:fldChar w:fldCharType="end"/>
            </w:r>
            <w:r w:rsidRPr="006E1F24">
              <w:rPr>
                <w:rFonts w:cstheme="minorHAnsi"/>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74C739FA"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1A083039"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472EACAF"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64A39555"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6D730406" w14:textId="77777777" w:rsidTr="00B467D3">
        <w:trPr>
          <w:trHeight w:val="388"/>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34F21677"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17. Remove the metal stylet (if applicable) and dispose in sharps container.</w:t>
            </w:r>
            <w:r w:rsidRPr="006E1F24">
              <w:rPr>
                <w:rFonts w:cstheme="minorHAnsi"/>
                <w:sz w:val="22"/>
                <w:szCs w:val="22"/>
              </w:rPr>
              <w:fldChar w:fldCharType="begin" w:fldLock="1"/>
            </w:r>
            <w:r w:rsidRPr="006E1F24">
              <w:rPr>
                <w:rFonts w:cstheme="minorHAnsi"/>
                <w:sz w:val="22"/>
                <w:szCs w:val="22"/>
              </w:rPr>
              <w:instrText>ADDIN CSL_CITATION {"citationItems":[{"id":"ITEM-1","itemData":{"DOI":"10.12968/bjon.2019.28.Sup14c.1","ISSN":"09660461","author":[{"dropping-particle":"","family":"Gabriel","given":"Janice","non-dropping-particle":"","parse-names":false,"suffix":""}],"container-title":"British Journal of Nursing","id":"ITEM-1","issue":"Sup14c","issued":{"date-parts":[["2019"]]},"page":"1-7","title":"A guide to subcutaneous infusion","type":"article-journal","volume":"28"},"uris":["http://www.mendeley.com/documents/?uuid=ad9580be-5793-4df3-99cf-cd98376b12d0"]}],"mendeley":{"formattedCitation":"&lt;sup&gt;16&lt;/sup&gt;","plainTextFormattedCitation":"16","previouslyFormattedCitation":"&lt;sup&gt;16&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16</w:t>
            </w:r>
            <w:r w:rsidRPr="006E1F24">
              <w:rPr>
                <w:rFonts w:cstheme="minorHAnsi"/>
                <w:sz w:val="22"/>
                <w:szCs w:val="22"/>
              </w:rPr>
              <w:fldChar w:fldCharType="end"/>
            </w:r>
            <w:r w:rsidRPr="006E1F24">
              <w:rPr>
                <w:rFonts w:cstheme="minorHAnsi"/>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465498B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3672806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1B437BF"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9 (8-9) </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59CB75CC"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1-9</w:t>
            </w:r>
          </w:p>
        </w:tc>
      </w:tr>
      <w:tr w:rsidR="00743CB8" w:rsidRPr="006E1F24" w14:paraId="2055CA91" w14:textId="77777777" w:rsidTr="00B467D3">
        <w:trPr>
          <w:trHeight w:val="304"/>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706E501D"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18. If blood return is present during device placement, remove and insert new device at new site.</w:t>
            </w:r>
            <w:r w:rsidRPr="006E1F24">
              <w:rPr>
                <w:rFonts w:cstheme="minorHAnsi"/>
                <w:sz w:val="22"/>
                <w:szCs w:val="22"/>
                <w:vertAlign w:val="superscript"/>
              </w:rPr>
              <w:fldChar w:fldCharType="begin" w:fldLock="1"/>
            </w:r>
            <w:r w:rsidRPr="006E1F24">
              <w:rPr>
                <w:rFonts w:cstheme="minorHAnsi"/>
                <w:sz w:val="22"/>
                <w:szCs w:val="22"/>
                <w:vertAlign w:val="superscript"/>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mendeley":{"formattedCitation":"&lt;sup&gt;8&lt;/sup&gt;","plainTextFormattedCitation":"8","previouslyFormattedCitation":"&lt;sup&gt;8&lt;/sup&gt;"},"properties":{"noteIndex":0},"schema":"https://github.com/citation-style-language/schema/raw/master/csl-citation.json"}</w:instrText>
            </w:r>
            <w:r w:rsidRPr="006E1F24">
              <w:rPr>
                <w:rFonts w:cstheme="minorHAnsi"/>
                <w:sz w:val="22"/>
                <w:szCs w:val="22"/>
                <w:vertAlign w:val="superscript"/>
              </w:rPr>
              <w:fldChar w:fldCharType="separate"/>
            </w:r>
            <w:r w:rsidRPr="006E1F24">
              <w:rPr>
                <w:rFonts w:cstheme="minorHAnsi"/>
                <w:noProof/>
                <w:sz w:val="22"/>
                <w:szCs w:val="22"/>
                <w:vertAlign w:val="superscript"/>
              </w:rPr>
              <w:t>8</w:t>
            </w:r>
            <w:r w:rsidRPr="006E1F24">
              <w:rPr>
                <w:rFonts w:cstheme="minorHAnsi"/>
                <w:sz w:val="22"/>
                <w:szCs w:val="22"/>
                <w:vertAlign w:val="superscript"/>
              </w:rPr>
              <w:fldChar w:fldCharType="end"/>
            </w:r>
            <w:r w:rsidRPr="006E1F24">
              <w:rPr>
                <w:rFonts w:cstheme="minorHAnsi"/>
                <w:sz w:val="22"/>
                <w:szCs w:val="22"/>
              </w:rPr>
              <w:t xml:space="preserve">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53046524"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AA8F29D"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E705762"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(9-9)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66D54F7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296583B1" w14:textId="77777777" w:rsidTr="00B467D3">
        <w:trPr>
          <w:trHeight w:val="680"/>
        </w:trPr>
        <w:tc>
          <w:tcPr>
            <w:tcW w:w="10240" w:type="dxa"/>
            <w:tcBorders>
              <w:top w:val="single" w:sz="4" w:space="0" w:color="F2F2F2" w:themeColor="background1" w:themeShade="F2"/>
              <w:bottom w:val="single" w:sz="4" w:space="0" w:color="F2F2F2" w:themeColor="background1" w:themeShade="F2"/>
            </w:tcBorders>
            <w:shd w:val="clear" w:color="000000" w:fill="FFFFFF"/>
            <w:hideMark/>
          </w:tcPr>
          <w:p w14:paraId="1648E3B6" w14:textId="5F692B5B"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19. Aseptically apply a transparent semipermeable membrane dressing (if not integrated with the cannula) over the site (to protect the site, allow moisture vapor permeability and allow for site assessment). Use skin injury mitigation strategies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alternate dressings, skin barrier prep) where necessary.</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Guidelines","type":"book"},"uris":["http://www.mendeley.com/documents/?uuid=51e21049-2167-4db2-a4ef-ae9f8d544f9f"]},{"id":"ITEM-2","itemData":{"author":[{"dropping-particle":"","family":"Royal College of Nursing","given":"","non-dropping-particle":"","parse-names":false,"suffix":""}],"id":"ITEM-2","issued":{"date-parts":[["2016"]]},"publisher-place":"London, UK","title":"Standards for infusion therapy: 4th edition","type":"report"},"uris":["http://www.mendeley.com/documents/?uuid=dcb305c2-5372-4bd2-9460-5295fd568a30"]}],"mendeley":{"formattedCitation":"&lt;sup&gt;8,13&lt;/sup&gt;","plainTextFormattedCitation":"8,13","previouslyFormattedCitation":"&lt;sup&gt;8,13&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8,13</w:t>
            </w:r>
            <w:r w:rsidRPr="006E1F24">
              <w:rPr>
                <w:rFonts w:eastAsia="Times" w:cstheme="minorHAnsi"/>
                <w:color w:val="231F20"/>
                <w:sz w:val="22"/>
                <w:szCs w:val="22"/>
                <w:vertAlign w:val="superscript"/>
              </w:rPr>
              <w:fldChar w:fldCharType="end"/>
            </w:r>
            <w:r w:rsidRPr="006E1F24">
              <w:rPr>
                <w:rFonts w:eastAsia="Times" w:cstheme="minorHAnsi"/>
                <w:color w:val="231F20"/>
                <w:sz w:val="22"/>
                <w:szCs w:val="22"/>
                <w:vertAlign w:val="superscript"/>
              </w:rPr>
              <w:t xml:space="preserve">,20 </w:t>
            </w:r>
          </w:p>
        </w:tc>
        <w:tc>
          <w:tcPr>
            <w:tcW w:w="812" w:type="dxa"/>
            <w:tcBorders>
              <w:top w:val="single" w:sz="4" w:space="0" w:color="F2F2F2" w:themeColor="background1" w:themeShade="F2"/>
              <w:bottom w:val="single" w:sz="4" w:space="0" w:color="F2F2F2" w:themeColor="background1" w:themeShade="F2"/>
            </w:tcBorders>
            <w:shd w:val="clear" w:color="000000" w:fill="F9F9FB"/>
            <w:hideMark/>
          </w:tcPr>
          <w:p w14:paraId="05547817"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148FBBF6"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bottom w:val="single" w:sz="4" w:space="0" w:color="F2F2F2" w:themeColor="background1" w:themeShade="F2"/>
            </w:tcBorders>
            <w:shd w:val="clear" w:color="000000" w:fill="F9F9FB"/>
            <w:hideMark/>
          </w:tcPr>
          <w:p w14:paraId="692A8948"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(8-9)</w:t>
            </w:r>
          </w:p>
        </w:tc>
        <w:tc>
          <w:tcPr>
            <w:tcW w:w="977" w:type="dxa"/>
            <w:tcBorders>
              <w:top w:val="single" w:sz="4" w:space="0" w:color="F2F2F2" w:themeColor="background1" w:themeShade="F2"/>
              <w:bottom w:val="single" w:sz="4" w:space="0" w:color="F2F2F2" w:themeColor="background1" w:themeShade="F2"/>
            </w:tcBorders>
            <w:shd w:val="clear" w:color="000000" w:fill="F9F9FB"/>
            <w:hideMark/>
          </w:tcPr>
          <w:p w14:paraId="1FE182D9"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057485CC" w14:textId="77777777" w:rsidTr="00B467D3">
        <w:trPr>
          <w:trHeight w:val="469"/>
        </w:trPr>
        <w:tc>
          <w:tcPr>
            <w:tcW w:w="10240" w:type="dxa"/>
            <w:tcBorders>
              <w:top w:val="single" w:sz="4" w:space="0" w:color="F2F2F2" w:themeColor="background1" w:themeShade="F2"/>
            </w:tcBorders>
            <w:shd w:val="clear" w:color="000000" w:fill="FFFFFF"/>
            <w:hideMark/>
          </w:tcPr>
          <w:p w14:paraId="3679F45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20. Document the patient assessment, patient consent, device placement (including cannula type, size, and site), patient response, complications or missed attempts.</w:t>
            </w:r>
            <w:r w:rsidRPr="006E1F24">
              <w:rPr>
                <w:rFonts w:eastAsia="Times" w:cstheme="minorHAnsi"/>
                <w:color w:val="231F20"/>
                <w:sz w:val="22"/>
                <w:szCs w:val="22"/>
                <w:vertAlign w:val="superscript"/>
              </w:rPr>
              <w:t xml:space="preserve">13 </w:t>
            </w:r>
          </w:p>
        </w:tc>
        <w:tc>
          <w:tcPr>
            <w:tcW w:w="812" w:type="dxa"/>
            <w:tcBorders>
              <w:top w:val="single" w:sz="4" w:space="0" w:color="F2F2F2" w:themeColor="background1" w:themeShade="F2"/>
            </w:tcBorders>
            <w:shd w:val="clear" w:color="000000" w:fill="F9F9FB"/>
            <w:hideMark/>
          </w:tcPr>
          <w:p w14:paraId="7FA09688"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10</w:t>
            </w:r>
          </w:p>
        </w:tc>
        <w:tc>
          <w:tcPr>
            <w:tcW w:w="992" w:type="dxa"/>
            <w:tcBorders>
              <w:top w:val="single" w:sz="4" w:space="0" w:color="F2F2F2" w:themeColor="background1" w:themeShade="F2"/>
            </w:tcBorders>
            <w:shd w:val="clear" w:color="000000" w:fill="F9F9FB"/>
            <w:hideMark/>
          </w:tcPr>
          <w:p w14:paraId="4EBBDE2F"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0</w:t>
            </w:r>
          </w:p>
        </w:tc>
        <w:tc>
          <w:tcPr>
            <w:tcW w:w="992" w:type="dxa"/>
            <w:tcBorders>
              <w:top w:val="single" w:sz="4" w:space="0" w:color="F2F2F2" w:themeColor="background1" w:themeShade="F2"/>
            </w:tcBorders>
            <w:shd w:val="clear" w:color="000000" w:fill="F9F9FB"/>
            <w:hideMark/>
          </w:tcPr>
          <w:p w14:paraId="184797C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9 (8-9)</w:t>
            </w:r>
          </w:p>
        </w:tc>
        <w:tc>
          <w:tcPr>
            <w:tcW w:w="977" w:type="dxa"/>
            <w:tcBorders>
              <w:top w:val="single" w:sz="4" w:space="0" w:color="F2F2F2" w:themeColor="background1" w:themeShade="F2"/>
            </w:tcBorders>
            <w:shd w:val="clear" w:color="000000" w:fill="F9F9FB"/>
            <w:hideMark/>
          </w:tcPr>
          <w:p w14:paraId="0D976E7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5B5C5B8B" w14:textId="77777777" w:rsidTr="00B467D3">
        <w:trPr>
          <w:trHeight w:val="275"/>
        </w:trPr>
        <w:tc>
          <w:tcPr>
            <w:tcW w:w="10240" w:type="dxa"/>
            <w:tcBorders>
              <w:bottom w:val="single" w:sz="4" w:space="0" w:color="auto"/>
            </w:tcBorders>
            <w:shd w:val="clear" w:color="auto" w:fill="F9F9FB"/>
          </w:tcPr>
          <w:p w14:paraId="623DA50B"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eastAsia="Times New Roman" w:cstheme="minorHAnsi"/>
                <w:b/>
                <w:bCs/>
                <w:sz w:val="22"/>
                <w:szCs w:val="22"/>
                <w:lang w:eastAsia="en-AU"/>
              </w:rPr>
              <w:t xml:space="preserve">Qualitative Data </w:t>
            </w:r>
            <w:r w:rsidRPr="006E1F24">
              <w:rPr>
                <w:rFonts w:eastAsia="Times New Roman" w:cstheme="minorHAnsi"/>
                <w:sz w:val="22"/>
                <w:szCs w:val="22"/>
                <w:lang w:eastAsia="en-AU"/>
              </w:rPr>
              <w:t>(Participants’ Comments)</w:t>
            </w:r>
            <w:r w:rsidRPr="006E1F24">
              <w:rPr>
                <w:rFonts w:eastAsia="Times New Roman" w:cstheme="minorHAnsi"/>
                <w:color w:val="000000"/>
                <w:sz w:val="22"/>
                <w:szCs w:val="22"/>
                <w:lang w:eastAsia="en-AU"/>
              </w:rPr>
              <w:t xml:space="preserve"> </w:t>
            </w:r>
          </w:p>
        </w:tc>
        <w:tc>
          <w:tcPr>
            <w:tcW w:w="3773" w:type="dxa"/>
            <w:gridSpan w:val="4"/>
            <w:tcBorders>
              <w:bottom w:val="single" w:sz="4" w:space="0" w:color="auto"/>
            </w:tcBorders>
            <w:shd w:val="clear" w:color="auto" w:fill="auto"/>
          </w:tcPr>
          <w:p w14:paraId="71F19134" w14:textId="77777777" w:rsidR="00743CB8" w:rsidRPr="006E1F24" w:rsidRDefault="00743CB8" w:rsidP="00B467D3">
            <w:pPr>
              <w:jc w:val="both"/>
              <w:rPr>
                <w:rFonts w:eastAsia="Times New Roman" w:cstheme="minorHAnsi"/>
                <w:b/>
                <w:bCs/>
                <w:sz w:val="22"/>
                <w:szCs w:val="22"/>
                <w:lang w:eastAsia="en-AU"/>
              </w:rPr>
            </w:pPr>
            <w:r w:rsidRPr="006E1F24">
              <w:rPr>
                <w:rFonts w:eastAsia="Times New Roman" w:cstheme="minorHAnsi"/>
                <w:b/>
                <w:bCs/>
                <w:sz w:val="22"/>
                <w:szCs w:val="22"/>
                <w:lang w:eastAsia="en-AU"/>
              </w:rPr>
              <w:t>Research Committee Response</w:t>
            </w:r>
          </w:p>
        </w:tc>
      </w:tr>
      <w:tr w:rsidR="00743CB8" w:rsidRPr="006E1F24" w14:paraId="635C2692" w14:textId="77777777" w:rsidTr="00B467D3">
        <w:trPr>
          <w:trHeight w:val="917"/>
        </w:trPr>
        <w:tc>
          <w:tcPr>
            <w:tcW w:w="10240" w:type="dxa"/>
            <w:tcBorders>
              <w:bottom w:val="nil"/>
            </w:tcBorders>
            <w:shd w:val="clear" w:color="auto" w:fill="F9F9FB"/>
          </w:tcPr>
          <w:p w14:paraId="0130D3D1" w14:textId="77777777" w:rsidR="00743CB8" w:rsidRPr="006E1F24" w:rsidRDefault="00743CB8" w:rsidP="00B467D3">
            <w:pPr>
              <w:spacing w:after="160" w:line="259" w:lineRule="auto"/>
              <w:rPr>
                <w:rFonts w:eastAsia="Times New Roman" w:cstheme="minorHAnsi"/>
                <w:b/>
                <w:bCs/>
                <w:sz w:val="22"/>
                <w:szCs w:val="22"/>
                <w:lang w:eastAsia="en-AU"/>
              </w:rPr>
            </w:pPr>
            <w:r w:rsidRPr="006E1F24">
              <w:rPr>
                <w:rFonts w:cstheme="minorHAnsi"/>
                <w:sz w:val="22"/>
                <w:szCs w:val="22"/>
              </w:rPr>
              <w:t>While I don't disagree with the verbiage in statement 11 - I would be very cautious-and probably opt not -to mix more than one medication together for a SC infusion as I would be concerned about potential reactions.</w:t>
            </w:r>
          </w:p>
        </w:tc>
        <w:tc>
          <w:tcPr>
            <w:tcW w:w="3773" w:type="dxa"/>
            <w:gridSpan w:val="4"/>
            <w:tcBorders>
              <w:bottom w:val="nil"/>
            </w:tcBorders>
            <w:shd w:val="clear" w:color="auto" w:fill="auto"/>
          </w:tcPr>
          <w:p w14:paraId="493AB71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No change to recommendation </w:t>
            </w:r>
          </w:p>
          <w:p w14:paraId="6C8FCA98"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w:t>
            </w:r>
            <w:proofErr w:type="gramStart"/>
            <w:r w:rsidRPr="006E1F24">
              <w:rPr>
                <w:rFonts w:eastAsia="Times New Roman" w:cstheme="minorHAnsi"/>
                <w:sz w:val="22"/>
                <w:szCs w:val="22"/>
                <w:lang w:eastAsia="en-AU"/>
              </w:rPr>
              <w:t>limited</w:t>
            </w:r>
            <w:proofErr w:type="gramEnd"/>
            <w:r w:rsidRPr="006E1F24">
              <w:rPr>
                <w:rFonts w:eastAsia="Times New Roman" w:cstheme="minorHAnsi"/>
                <w:sz w:val="22"/>
                <w:szCs w:val="22"/>
                <w:lang w:eastAsia="en-AU"/>
              </w:rPr>
              <w:t xml:space="preserve"> evidence supports this practice if the compatibility has been determined and monitoring of reactions as addressed in question 24 and 25)</w:t>
            </w:r>
          </w:p>
        </w:tc>
      </w:tr>
      <w:tr w:rsidR="00743CB8" w:rsidRPr="006E1F24" w14:paraId="6C4CECE5" w14:textId="77777777" w:rsidTr="00B467D3">
        <w:trPr>
          <w:trHeight w:val="855"/>
        </w:trPr>
        <w:tc>
          <w:tcPr>
            <w:tcW w:w="10240" w:type="dxa"/>
            <w:tcBorders>
              <w:top w:val="nil"/>
              <w:bottom w:val="nil"/>
            </w:tcBorders>
            <w:shd w:val="clear" w:color="auto" w:fill="F9F9FB"/>
          </w:tcPr>
          <w:p w14:paraId="6140AAE5"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 xml:space="preserve">There is very limited published research (except expert opinion) where volume above 2 l per day have been tried. But from my clinical experience, 1.5 l can be infusion per site per day without problems. </w:t>
            </w:r>
          </w:p>
        </w:tc>
        <w:tc>
          <w:tcPr>
            <w:tcW w:w="3773" w:type="dxa"/>
            <w:gridSpan w:val="4"/>
            <w:tcBorders>
              <w:top w:val="nil"/>
              <w:bottom w:val="nil"/>
            </w:tcBorders>
            <w:shd w:val="clear" w:color="auto" w:fill="auto"/>
          </w:tcPr>
          <w:p w14:paraId="08E8F6B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No change to recommendation (limited data acknowledged in recommendation grade) </w:t>
            </w:r>
          </w:p>
        </w:tc>
      </w:tr>
      <w:tr w:rsidR="00743CB8" w:rsidRPr="006E1F24" w14:paraId="59EE5092" w14:textId="77777777" w:rsidTr="00B467D3">
        <w:trPr>
          <w:trHeight w:val="831"/>
        </w:trPr>
        <w:tc>
          <w:tcPr>
            <w:tcW w:w="10240" w:type="dxa"/>
            <w:tcBorders>
              <w:top w:val="nil"/>
              <w:bottom w:val="nil"/>
            </w:tcBorders>
            <w:shd w:val="clear" w:color="auto" w:fill="F9F9FB"/>
          </w:tcPr>
          <w:p w14:paraId="5E28EC0D"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Recommendation 12: From my clinical experience on older adults with the placement of the subcutaneous access on the abdominal wall this is never necessary, but it depends on what is meant with excess hair.</w:t>
            </w:r>
          </w:p>
        </w:tc>
        <w:tc>
          <w:tcPr>
            <w:tcW w:w="3773" w:type="dxa"/>
            <w:gridSpan w:val="4"/>
            <w:tcBorders>
              <w:top w:val="nil"/>
              <w:bottom w:val="nil"/>
            </w:tcBorders>
            <w:shd w:val="clear" w:color="auto" w:fill="auto"/>
          </w:tcPr>
          <w:p w14:paraId="62F4871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w:t>
            </w:r>
            <w:r w:rsidRPr="006E1F24">
              <w:rPr>
                <w:rFonts w:cstheme="minorHAnsi"/>
                <w:sz w:val="22"/>
                <w:szCs w:val="22"/>
              </w:rPr>
              <w:t>No change to recommendation (Assessment of “excess hair” is a clinical judgement and advised in best practice guidelines to promote dressing adhesion)</w:t>
            </w:r>
          </w:p>
        </w:tc>
      </w:tr>
      <w:tr w:rsidR="00743CB8" w:rsidRPr="006E1F24" w14:paraId="2258E8E2" w14:textId="77777777" w:rsidTr="00B467D3">
        <w:trPr>
          <w:trHeight w:val="518"/>
        </w:trPr>
        <w:tc>
          <w:tcPr>
            <w:tcW w:w="10240" w:type="dxa"/>
            <w:tcBorders>
              <w:top w:val="nil"/>
              <w:bottom w:val="nil"/>
            </w:tcBorders>
            <w:shd w:val="clear" w:color="auto" w:fill="F9F9FB"/>
          </w:tcPr>
          <w:p w14:paraId="2695D020" w14:textId="60B13BAA" w:rsidR="00743CB8" w:rsidRPr="006E1F24" w:rsidRDefault="00743CB8" w:rsidP="00B467D3">
            <w:pPr>
              <w:spacing w:after="160" w:line="259" w:lineRule="auto"/>
              <w:rPr>
                <w:rFonts w:cstheme="minorHAnsi"/>
                <w:sz w:val="22"/>
                <w:szCs w:val="22"/>
              </w:rPr>
            </w:pPr>
            <w:r w:rsidRPr="006E1F24">
              <w:rPr>
                <w:rFonts w:cstheme="minorHAnsi"/>
                <w:sz w:val="22"/>
                <w:szCs w:val="22"/>
              </w:rPr>
              <w:t xml:space="preserve">Recommendation 14: I agree with the statement if it only concerns the subcutaneous infusion of medicine. When infusing fluid, I would recommend a larger gauge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cstheme="minorHAnsi"/>
                <w:sz w:val="22"/>
                <w:szCs w:val="22"/>
              </w:rPr>
              <w:t>22G.</w:t>
            </w:r>
          </w:p>
        </w:tc>
        <w:tc>
          <w:tcPr>
            <w:tcW w:w="3773" w:type="dxa"/>
            <w:gridSpan w:val="4"/>
            <w:tcBorders>
              <w:top w:val="nil"/>
              <w:bottom w:val="nil"/>
            </w:tcBorders>
            <w:shd w:val="clear" w:color="auto" w:fill="auto"/>
          </w:tcPr>
          <w:p w14:paraId="5C5E225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Recommendation to be amended</w:t>
            </w:r>
          </w:p>
        </w:tc>
      </w:tr>
      <w:tr w:rsidR="00743CB8" w:rsidRPr="006E1F24" w14:paraId="68EA4EC1" w14:textId="77777777" w:rsidTr="00B467D3">
        <w:trPr>
          <w:trHeight w:val="512"/>
        </w:trPr>
        <w:tc>
          <w:tcPr>
            <w:tcW w:w="10240" w:type="dxa"/>
            <w:tcBorders>
              <w:top w:val="nil"/>
              <w:bottom w:val="nil"/>
            </w:tcBorders>
            <w:shd w:val="clear" w:color="auto" w:fill="F9F9FB"/>
          </w:tcPr>
          <w:p w14:paraId="47EAE830"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cstheme="minorHAnsi"/>
                <w:sz w:val="22"/>
                <w:szCs w:val="22"/>
              </w:rPr>
              <w:t xml:space="preserve">Consideration should be given to needle-phobia patients and appropriate treatment provided i.e., desensitising device, </w:t>
            </w:r>
            <w:proofErr w:type="spellStart"/>
            <w:r w:rsidRPr="006E1F24">
              <w:rPr>
                <w:rFonts w:cstheme="minorHAnsi"/>
                <w:sz w:val="22"/>
                <w:szCs w:val="22"/>
              </w:rPr>
              <w:t>emla</w:t>
            </w:r>
            <w:proofErr w:type="spellEnd"/>
            <w:r w:rsidRPr="006E1F24">
              <w:rPr>
                <w:rFonts w:cstheme="minorHAnsi"/>
                <w:sz w:val="22"/>
                <w:szCs w:val="22"/>
              </w:rPr>
              <w:t xml:space="preserve"> cream. Anchoring of devices and IV lines should be considered to prevent dislodgement.</w:t>
            </w:r>
          </w:p>
        </w:tc>
        <w:tc>
          <w:tcPr>
            <w:tcW w:w="3773" w:type="dxa"/>
            <w:gridSpan w:val="4"/>
            <w:tcBorders>
              <w:top w:val="nil"/>
              <w:bottom w:val="nil"/>
            </w:tcBorders>
            <w:shd w:val="clear" w:color="auto" w:fill="auto"/>
          </w:tcPr>
          <w:p w14:paraId="19DA5B39"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Recommendation to be amended </w:t>
            </w:r>
          </w:p>
        </w:tc>
      </w:tr>
      <w:tr w:rsidR="00743CB8" w:rsidRPr="006E1F24" w14:paraId="060D09EE" w14:textId="77777777" w:rsidTr="00B467D3">
        <w:trPr>
          <w:trHeight w:val="298"/>
        </w:trPr>
        <w:tc>
          <w:tcPr>
            <w:tcW w:w="10240" w:type="dxa"/>
            <w:tcBorders>
              <w:top w:val="nil"/>
              <w:bottom w:val="single" w:sz="4" w:space="0" w:color="auto"/>
            </w:tcBorders>
            <w:shd w:val="clear" w:color="auto" w:fill="F9F9FB"/>
          </w:tcPr>
          <w:p w14:paraId="7FDC3307" w14:textId="77777777" w:rsidR="00743CB8" w:rsidRPr="006E1F24" w:rsidRDefault="00743CB8" w:rsidP="00B467D3">
            <w:pPr>
              <w:spacing w:after="160" w:line="259" w:lineRule="auto"/>
              <w:rPr>
                <w:rFonts w:cstheme="minorHAnsi"/>
                <w:sz w:val="22"/>
                <w:szCs w:val="22"/>
              </w:rPr>
            </w:pPr>
            <w:r w:rsidRPr="006E1F24">
              <w:rPr>
                <w:rFonts w:cstheme="minorHAnsi"/>
                <w:sz w:val="22"/>
                <w:szCs w:val="22"/>
              </w:rPr>
              <w:t>Recommendation 14: I agree only with the use of the non-metal cannula.</w:t>
            </w:r>
          </w:p>
        </w:tc>
        <w:tc>
          <w:tcPr>
            <w:tcW w:w="3773" w:type="dxa"/>
            <w:gridSpan w:val="4"/>
            <w:tcBorders>
              <w:top w:val="nil"/>
              <w:bottom w:val="single" w:sz="4" w:space="0" w:color="auto"/>
            </w:tcBorders>
            <w:shd w:val="clear" w:color="auto" w:fill="auto"/>
          </w:tcPr>
          <w:p w14:paraId="3D9E897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No change to recommendation (recommendation re needle size is acknowledged as weak- as indicated by the term “preferably”)</w:t>
            </w:r>
          </w:p>
        </w:tc>
      </w:tr>
    </w:tbl>
    <w:p w14:paraId="7622257B" w14:textId="7022E40E" w:rsidR="00743CB8" w:rsidRPr="006E1F24" w:rsidRDefault="00743CB8" w:rsidP="00743CB8">
      <w:pPr>
        <w:rPr>
          <w:rFonts w:cstheme="minorHAnsi"/>
        </w:rPr>
      </w:pPr>
    </w:p>
    <w:p w14:paraId="1704E163" w14:textId="770E3DE6" w:rsidR="00743CB8" w:rsidRPr="00A162FD" w:rsidRDefault="00743CB8" w:rsidP="00743CB8">
      <w:pPr>
        <w:pStyle w:val="Heading2"/>
        <w:numPr>
          <w:ilvl w:val="1"/>
          <w:numId w:val="2"/>
        </w:numPr>
        <w:rPr>
          <w:rFonts w:asciiTheme="minorHAnsi" w:hAnsiTheme="minorHAnsi" w:cstheme="minorHAnsi"/>
          <w:b/>
          <w:bCs/>
        </w:rPr>
      </w:pPr>
      <w:bookmarkStart w:id="2" w:name="_Toc61445815"/>
      <w:r w:rsidRPr="00A162FD">
        <w:rPr>
          <w:rFonts w:asciiTheme="minorHAnsi" w:hAnsiTheme="minorHAnsi" w:cstheme="minorHAnsi"/>
          <w:b/>
          <w:bCs/>
        </w:rPr>
        <w:t>Recommendations for Best Practice in Subcutaneous Infusions Management</w:t>
      </w:r>
      <w:bookmarkEnd w:id="2"/>
    </w:p>
    <w:tbl>
      <w:tblPr>
        <w:tblpPr w:leftFromText="180" w:rightFromText="180" w:vertAnchor="text" w:horzAnchor="margin" w:tblpY="192"/>
        <w:tblW w:w="137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201"/>
        <w:gridCol w:w="709"/>
        <w:gridCol w:w="992"/>
        <w:gridCol w:w="993"/>
        <w:gridCol w:w="850"/>
      </w:tblGrid>
      <w:tr w:rsidR="00743CB8" w:rsidRPr="006E1F24" w14:paraId="633BDAA4" w14:textId="77777777" w:rsidTr="00B467D3">
        <w:trPr>
          <w:cantSplit/>
          <w:trHeight w:val="335"/>
        </w:trPr>
        <w:tc>
          <w:tcPr>
            <w:tcW w:w="10201" w:type="dxa"/>
            <w:vMerge w:val="restart"/>
            <w:shd w:val="clear" w:color="auto" w:fill="D9D9D9" w:themeFill="background1" w:themeFillShade="D9"/>
            <w:vAlign w:val="center"/>
            <w:hideMark/>
          </w:tcPr>
          <w:p w14:paraId="314756A0"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b/>
                <w:bCs/>
                <w:sz w:val="22"/>
                <w:szCs w:val="22"/>
                <w:lang w:eastAsia="en-AU"/>
              </w:rPr>
              <w:t>Recommendation</w:t>
            </w:r>
            <w:r w:rsidRPr="006E1F24">
              <w:rPr>
                <w:rFonts w:eastAsia="Times New Roman" w:cstheme="minorHAnsi"/>
                <w:b/>
                <w:bCs/>
                <w:color w:val="000000" w:themeColor="text1"/>
                <w:sz w:val="22"/>
                <w:szCs w:val="22"/>
                <w:lang w:eastAsia="en-AU"/>
              </w:rPr>
              <w:t xml:space="preserve">  </w:t>
            </w:r>
          </w:p>
        </w:tc>
        <w:tc>
          <w:tcPr>
            <w:tcW w:w="1701" w:type="dxa"/>
            <w:gridSpan w:val="2"/>
            <w:shd w:val="clear" w:color="auto" w:fill="D9D9D9" w:themeFill="background1" w:themeFillShade="D9"/>
            <w:vAlign w:val="center"/>
            <w:hideMark/>
          </w:tcPr>
          <w:p w14:paraId="18D312CA"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b/>
                <w:bCs/>
                <w:color w:val="000000" w:themeColor="text1"/>
                <w:sz w:val="22"/>
                <w:szCs w:val="22"/>
                <w:lang w:eastAsia="en-AU"/>
              </w:rPr>
              <w:t>N</w:t>
            </w:r>
          </w:p>
        </w:tc>
        <w:tc>
          <w:tcPr>
            <w:tcW w:w="993" w:type="dxa"/>
            <w:vMerge w:val="restart"/>
            <w:shd w:val="clear" w:color="auto" w:fill="D9D9D9" w:themeFill="background1" w:themeFillShade="D9"/>
            <w:vAlign w:val="center"/>
            <w:hideMark/>
          </w:tcPr>
          <w:p w14:paraId="7484A0FA"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b/>
                <w:bCs/>
                <w:color w:val="000000" w:themeColor="text1"/>
                <w:sz w:val="22"/>
                <w:szCs w:val="22"/>
                <w:lang w:eastAsia="en-AU"/>
              </w:rPr>
              <w:t>Median</w:t>
            </w:r>
          </w:p>
          <w:p w14:paraId="1F208F9B"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b/>
                <w:bCs/>
                <w:color w:val="000000" w:themeColor="text1"/>
                <w:sz w:val="22"/>
                <w:szCs w:val="22"/>
                <w:lang w:eastAsia="en-AU"/>
              </w:rPr>
              <w:t> (IQR)</w:t>
            </w:r>
          </w:p>
        </w:tc>
        <w:tc>
          <w:tcPr>
            <w:tcW w:w="850" w:type="dxa"/>
            <w:vMerge w:val="restart"/>
            <w:shd w:val="clear" w:color="auto" w:fill="D9D9D9" w:themeFill="background1" w:themeFillShade="D9"/>
            <w:vAlign w:val="center"/>
            <w:hideMark/>
          </w:tcPr>
          <w:p w14:paraId="3F31FFA8"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b/>
                <w:bCs/>
                <w:color w:val="000000" w:themeColor="text1"/>
                <w:sz w:val="22"/>
                <w:szCs w:val="22"/>
                <w:lang w:eastAsia="en-AU"/>
              </w:rPr>
              <w:t>Range</w:t>
            </w:r>
          </w:p>
          <w:p w14:paraId="7C299B68"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b/>
                <w:bCs/>
                <w:color w:val="000000" w:themeColor="text1"/>
                <w:sz w:val="22"/>
                <w:szCs w:val="22"/>
                <w:lang w:eastAsia="en-AU"/>
              </w:rPr>
              <w:t> </w:t>
            </w:r>
          </w:p>
        </w:tc>
      </w:tr>
      <w:tr w:rsidR="00743CB8" w:rsidRPr="006E1F24" w14:paraId="3CDBD286" w14:textId="77777777" w:rsidTr="00B467D3">
        <w:trPr>
          <w:trHeight w:val="315"/>
        </w:trPr>
        <w:tc>
          <w:tcPr>
            <w:tcW w:w="10201" w:type="dxa"/>
            <w:vMerge/>
            <w:tcBorders>
              <w:bottom w:val="single" w:sz="4" w:space="0" w:color="auto"/>
            </w:tcBorders>
            <w:shd w:val="clear" w:color="auto" w:fill="D9D9D9" w:themeFill="background1" w:themeFillShade="D9"/>
            <w:vAlign w:val="center"/>
            <w:hideMark/>
          </w:tcPr>
          <w:p w14:paraId="0A3FBB25" w14:textId="77777777" w:rsidR="00743CB8" w:rsidRPr="006E1F24" w:rsidRDefault="00743CB8" w:rsidP="00B467D3">
            <w:pPr>
              <w:keepNext/>
              <w:rPr>
                <w:rFonts w:eastAsia="Times New Roman" w:cstheme="minorHAnsi"/>
                <w:color w:val="000000" w:themeColor="text1"/>
                <w:sz w:val="22"/>
                <w:szCs w:val="22"/>
                <w:lang w:eastAsia="en-AU"/>
              </w:rPr>
            </w:pPr>
          </w:p>
        </w:tc>
        <w:tc>
          <w:tcPr>
            <w:tcW w:w="709" w:type="dxa"/>
            <w:tcBorders>
              <w:bottom w:val="single" w:sz="4" w:space="0" w:color="auto"/>
            </w:tcBorders>
            <w:shd w:val="clear" w:color="auto" w:fill="D9D9D9" w:themeFill="background1" w:themeFillShade="D9"/>
            <w:vAlign w:val="center"/>
            <w:hideMark/>
          </w:tcPr>
          <w:p w14:paraId="49FB2DB1"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Valid</w:t>
            </w:r>
          </w:p>
        </w:tc>
        <w:tc>
          <w:tcPr>
            <w:tcW w:w="992" w:type="dxa"/>
            <w:tcBorders>
              <w:bottom w:val="single" w:sz="4" w:space="0" w:color="auto"/>
            </w:tcBorders>
            <w:shd w:val="clear" w:color="auto" w:fill="D9D9D9" w:themeFill="background1" w:themeFillShade="D9"/>
            <w:vAlign w:val="center"/>
            <w:hideMark/>
          </w:tcPr>
          <w:p w14:paraId="4414C26E"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Missing</w:t>
            </w:r>
          </w:p>
        </w:tc>
        <w:tc>
          <w:tcPr>
            <w:tcW w:w="993" w:type="dxa"/>
            <w:vMerge/>
            <w:tcBorders>
              <w:bottom w:val="single" w:sz="4" w:space="0" w:color="auto"/>
            </w:tcBorders>
            <w:shd w:val="clear" w:color="auto" w:fill="D9D9D9" w:themeFill="background1" w:themeFillShade="D9"/>
            <w:vAlign w:val="center"/>
            <w:hideMark/>
          </w:tcPr>
          <w:p w14:paraId="6B73DBB6" w14:textId="77777777" w:rsidR="00743CB8" w:rsidRPr="006E1F24" w:rsidRDefault="00743CB8" w:rsidP="00B467D3">
            <w:pPr>
              <w:keepNext/>
              <w:rPr>
                <w:rFonts w:eastAsia="Times New Roman" w:cstheme="minorHAnsi"/>
                <w:color w:val="000000" w:themeColor="text1"/>
                <w:sz w:val="22"/>
                <w:szCs w:val="22"/>
                <w:lang w:eastAsia="en-AU"/>
              </w:rPr>
            </w:pPr>
          </w:p>
        </w:tc>
        <w:tc>
          <w:tcPr>
            <w:tcW w:w="850" w:type="dxa"/>
            <w:vMerge/>
            <w:tcBorders>
              <w:bottom w:val="single" w:sz="4" w:space="0" w:color="auto"/>
            </w:tcBorders>
            <w:shd w:val="clear" w:color="auto" w:fill="D9D9D9" w:themeFill="background1" w:themeFillShade="D9"/>
            <w:vAlign w:val="center"/>
            <w:hideMark/>
          </w:tcPr>
          <w:p w14:paraId="56C0C895" w14:textId="77777777" w:rsidR="00743CB8" w:rsidRPr="006E1F24" w:rsidRDefault="00743CB8" w:rsidP="00B467D3">
            <w:pPr>
              <w:keepNext/>
              <w:rPr>
                <w:rFonts w:eastAsia="Times New Roman" w:cstheme="minorHAnsi"/>
                <w:color w:val="000000" w:themeColor="text1"/>
                <w:sz w:val="22"/>
                <w:szCs w:val="22"/>
                <w:lang w:eastAsia="en-AU"/>
              </w:rPr>
            </w:pPr>
          </w:p>
        </w:tc>
      </w:tr>
      <w:tr w:rsidR="00743CB8" w:rsidRPr="006E1F24" w14:paraId="6741E65B" w14:textId="77777777" w:rsidTr="00B467D3">
        <w:trPr>
          <w:trHeight w:val="315"/>
        </w:trPr>
        <w:tc>
          <w:tcPr>
            <w:tcW w:w="10201" w:type="dxa"/>
            <w:tcBorders>
              <w:bottom w:val="single" w:sz="4" w:space="0" w:color="F2F2F2" w:themeColor="background1" w:themeShade="F2"/>
            </w:tcBorders>
            <w:shd w:val="clear" w:color="000000" w:fill="FFFFFF"/>
            <w:vAlign w:val="center"/>
            <w:hideMark/>
          </w:tcPr>
          <w:p w14:paraId="582822B7" w14:textId="37828144"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21. Initiate and regulate the flow rate of the infusion at prescribed rate. Use the infusion control device appropriate for the type of therapy. (The following devices have been reported for use with: (</w:t>
            </w:r>
            <w:proofErr w:type="spellStart"/>
            <w:r w:rsidRPr="006E1F24">
              <w:rPr>
                <w:rFonts w:eastAsia="Times New Roman" w:cstheme="minorHAnsi"/>
                <w:color w:val="000000" w:themeColor="text1"/>
                <w:sz w:val="22"/>
                <w:szCs w:val="22"/>
                <w:lang w:eastAsia="en-AU"/>
              </w:rPr>
              <w:t>i</w:t>
            </w:r>
            <w:proofErr w:type="spellEnd"/>
            <w:r w:rsidRPr="006E1F24">
              <w:rPr>
                <w:rFonts w:eastAsia="Times New Roman" w:cstheme="minorHAnsi"/>
                <w:color w:val="000000" w:themeColor="text1"/>
                <w:sz w:val="22"/>
                <w:szCs w:val="22"/>
                <w:lang w:eastAsia="en-AU"/>
              </w:rPr>
              <w:t>) hydration- electronic infusion device and gravity infusion</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{"citationItems":[{"id":"ITEM-1","itemData":{"author":[{"dropping-particle":"","family":"Frisoli","given":"Alberto","non-dropping-particle":"","parse-names":false,"suffix":""},{"dropping-particle":"","family":"Paula","given":"Ana Patricia","non-dropping-particle":"De","parse-names":false,"suffix":""},{"dropping-particle":"","family":"Feldman","given":"Daniel","non-dropping-particle":"","parse-names":false,"suffix":""},{"dropping-particle":"","family":"Nasri","given":"Fábio","non-dropping-particle":"","parse-names":false,"suffix":""}],"container-title":"Drugs &amp; Aging","id":"ITEM-1","issue":"4","issued":{"date-parts":[["2000"]]},"page":"313-319","title":"Subcutaneous hydration by hypodermoclysis: A practical and low cost treatment for elderly patients","type":"article-journal","volume":"16"},"uris":["http://www.mendeley.com/documents/?uuid=cfd877bf-7eed-477c-aa1c-20bd6528f190"]},{"id":"ITEM-2","itemData":{"DOI":"10.1016/j.jpainsymman.2016.04.009","ISSN":"0885-3924","author":[{"dropping-particle":"","family":"Vidal","given":"Marieberta","non-dropping-particle":"","parse-names":false,"suffix":""},{"dropping-particle":"","family":"Hui","given":"David","non-dropping-particle":"","parse-names":false,"suffix":""},{"dropping-particle":"","family":"Williams","given":"Janet","non-dropping-particle":"","parse-names":false,"suffix":""},{"dropping-particle":"","family":"Bruera","given":"Eduardo","non-dropping-particle":"","parse-names":false,"suffix":""}],"container-title":"Journal of Pain and Symptom Management","id":"ITEM-2","issue":"4","issued":{"date-parts":[["2016"]]},"page":"570-574","publisher":"Elsevier Inc","title":"A prospective ptudy of hypodermoclysis performed by caregivers in the home setting","type":"article-journal","volume":"52"},"uris":["http://www.mendeley.com/documents/?uuid=ef6eecf9-88ba-4122-ab2c-ee4a0497b33c"]},{"id":"ITEM-3","itemData":{"DOI":"10.1111/jocn.13683","author":[{"dropping-particle":"","family":"Forbat","given":"Liz","non-dropping-particle":"","parse-names":false,"suffix":""},{"dropping-particle":"","family":"Kunicki","given":"Natalie","non-dropping-particle":"","parse-names":false,"suffix":""},{"dropping-particle":"","family":"Chapman","given":"Michael","non-dropping-particle":"","parse-names":false,"suffix":""},{"dropping-particle":"","family":"Lovell","given":"Clare","non-dropping-particle":"","parse-names":false,"suffix":""}],"container-title":"Journal of Clinical Nursing","id":"ITEM-3","issued":{"date-parts":[["2016"]]},"page":"1204-1216","title":"How and why are subcutaneous fluids administered in an advanced illness population: A systematic review","type":"article-journal","volume":"26"},"uris":["http://www.mendeley.com/documents/?uuid=be9a29d0-fdbb-4bd1-af6c-ba95ad480588"]},{"id":"ITEM-4","itemData":{"author":[{"dropping-particle":"","family":"Broadhurst","given":"D","non-dropping-particle":"","parse-names":false,"suffix":""},{"dropping-particle":"","family":"Cooke","given":"MC","non-dropping-particle":"","parse-names":false,"suffix":""},{"dropping-particle":"","family":"Sriram","given":"D","non-dropping-particle":"","parse-names":false,"suffix":""},{"dropping-particle":"","family":"Grey","given":"B","non-dropping-particle":"","parse-names":false,"suffix":""}],"container-title":"TBD","id":"ITEM-4","issued":{"date-parts":[["2020"]]},"title":"Subcutaneous hydration and medication infusion (effectiveness, safety, acceptability): A systematic review of systematic reviews","type":"article-journal"},"uris":["http://www.mendeley.com/documents/?uuid=60e9ff98-6d26-46a6-b1da-b846d356eb52"]},{"id":"ITEM-5","itemData":{"DOI":"10.1191/0269216304pm1006oa","ISSN":"02692163","abstract":"OBJECTIVES AND METHOD: Survey of subcutaneous drug use and hypodermoclysis with a standardized questionnaire to 27 nursing teams and 52 physicians in a geriatric hospital department (404 beds). Evaluation of license status (CH, F, D and UK) and systematic literature review of 34 drugs used in the geriatric setting. RESULTS: Subcutaneous route is used daily with drugs and fluids mostly for patients in palliative care (83%) or who are dehydrated (54%) when oral or IV administration is impossible (73%, 68% respectively). Morphine (98%), haloperidol (90%), furosemide (69%) and hydromorphone (56%) by bolus (36%) or slow injection over 5 min (82%) are the main drugs used and NaCI 0.9% (95%), and glucose 5%/NaCI 0.9% (31 %) are commonly used for rehydration. Among the 34 drugs reviewed, only 13 (38%) are licensed for subcutaneous use in CH, UK, F or D, and only, morphine (14 articles of 68) and rehydration (six articles) are evaluated in high level studies. Haloperidol and furosemide are used off-label and there are no well-designed studies supporting their subcutaneous use. CONCLUSION: There is a lack of information on drugs widely used by subcutaneous route in the elderly. In that context, physicians carry responsibility for the prescription.","author":[{"dropping-particle":"","family":"Fonzo-Christe","given":"Caroline","non-dropping-particle":"","parse-names":false,"suffix":""},{"dropping-particle":"","family":"Vukasovic","given":"Caroline","non-dropping-particle":"","parse-names":false,"suffix":""},{"dropping-particle":"","family":"Wasilewski-Rasca","given":"Anne Florence","non-dropping-particle":"","parse-names":false,"suffix":""},{"dropping-particle":"","family":"Bonnabry","given":"Pascal","non-dropping-particle":"","parse-names":false,"suffix":""}],"container-title":"Palliative Medicine","id":"ITEM-5","issue":"3","issued":{"date-parts":[["2005"]]},"page":"208-219","title":"Subcutaneous administration of drugs in the elderly: Survey of practice and systematic literature review","type":"article-journal","volume":"19"},"uris":["http://www.mendeley.com/documents/?uuid=b68e659e-2ed0-4637-a25e-76909ecccad1"]}],"mendeley":{"formattedCitation":"&lt;sup&gt;6,11,21–23&lt;/sup&gt;","plainTextFormattedCitation":"6,11,21–23","previouslyFormattedCitation":"&lt;sup&gt;6,11,21–23&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6,11,21–23</w:t>
            </w:r>
            <w:r w:rsidRPr="006E1F24">
              <w:rPr>
                <w:rFonts w:eastAsia="Times" w:cstheme="minorHAnsi"/>
                <w:color w:val="231F20"/>
                <w:sz w:val="22"/>
                <w:szCs w:val="22"/>
                <w:vertAlign w:val="superscript"/>
              </w:rPr>
              <w:fldChar w:fldCharType="end"/>
            </w:r>
            <w:r w:rsidRPr="006E1F24">
              <w:rPr>
                <w:rFonts w:eastAsia="Times New Roman" w:cstheme="minorHAnsi"/>
                <w:color w:val="000000" w:themeColor="text1"/>
                <w:sz w:val="22"/>
                <w:szCs w:val="22"/>
                <w:lang w:eastAsia="en-AU"/>
              </w:rPr>
              <w:t>; and (ii) medications- mechanical infusion device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color w:val="000000" w:themeColor="text1"/>
                <w:sz w:val="22"/>
                <w:szCs w:val="22"/>
                <w:lang w:eastAsia="en-AU"/>
              </w:rPr>
              <w:t>syringe driver, elastomeric], electronic infusion device.)</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{"citationItems":[{"id":"ITEM-1","itemData":{"DOI":"10.1371/journal.pone.0031679","ISSN":"19326203","abstract":"BACKGROUND: Subcutaneous terbutaline (SQ terbutaline) infusion by pump is used in pregnant women as a prolonged (beyond 48-72 h) maintenance tocolytic following acute treatment of preterm contractions. The effectiveness and safety of this maintenance tocolysis have not been clearly established. We aimed to systematically evaluate the effectiveness and safety of subcutaneous (SQ) terbutaline infusion by pump for maintenance tocolysis.\\n\\nMETHODOLOGY/PRINCIPAL FINDINGS: MEDLINE, EMBASE, CINAHL, the Cochrane Library, the Centre for Reviews and Dissemination databases, post-marketing surveillance data and grey literature were searched up to April 2011 for relevant experimental and observational studies. Two randomized trials, one nonrandomized trial, and 11 observational studies met inclusion criteria. Non-comparative studies were considered only for pump-related harms. We excluded case-reports but sought FDA summaries of post-marketing surveillance data. Non-English records without an English abstract were excluded. Evidence of low strength from observational studies with risk of bias favored SQ terbutaline pump for the outcomes of delivery at &lt;32 and &lt;37 weeks, mean days of pregnancy prolongation, and neonatal death. Observational studies of medium to high risk of bias also demonstrated benefit for other surrogate outcomes, such as birthweight and neonatal intensive care unit (NICU) admission. Several cases of maternal deaths and maternal cardiovascular events have been reported in patients receiving terbutaline tocolysis.\\n\\nCONCLUSIONS/SIGNIFICANCE: Although evidence suggests that pump therapy may be beneficial as maintenance tocolysis, our confidence in its validity and reproducibility is low, suggesting that its use should be limited to the research setting. Concerns regarding safety of therapy persist.","author":[{"dropping-particle":"","family":"Gaudet","given":"Laura M.","non-dropping-particle":"","parse-names":false,"suffix":""},{"dropping-particle":"","family":"Singh","given":"Kavita","non-dropping-particle":"","parse-names":false,"suffix":""},{"dropping-particle":"","family":"Weeks","given":"Laura","non-dropping-particle":"","parse-names":false,"suffix":""},{"dropping-particle":"","family":"Skidmore","given":"Becky","non-dropping-particle":"","parse-names":false,"suffix":""},{"dropping-particle":"","family":"Tsertsvadze","given":"Alexander","non-dropping-particle":"","parse-names":false,"suffix":""},{"dropping-particle":"","family":"Ansari","given":"Mohammed T.","non-dropping-particle":"","parse-names":false,"suffix":""}],"container-title":"PLoS ONE","id":"ITEM-1","issue":"2","issued":{"date-parts":[["2012"]]},"title":"Effectiveness of terbutaline pump for the prevention of preterm birth: A systematic review and meta-analysis","type":"article-journal","volume":"7"},"uris":["http://www.mendeley.com/documents/?uuid=a633342e-b89f-495a-b048-853f712787b9"]},{"id":"ITEM-2","itemData":{"DOI":"10.1007/s40271-014-0075-y","ISSN":"11781661","abstract":"© 2014, Springer International Publishing Switzerland. Background: Intravenous (IV) drug delivery is commonly used for its rapid administration and immediate drug effect. Most studies compare IV to subcutaneous (SC) delivery in terms of safety and efficacy, but little is known about what patients prefer. Methods: A systematic review was conducted by searching seven electronic databases for articles published up to February 2014. Included studies were randomized controlled trials (RCTs) and/or crossover designs investigating patient preference for SC versus IV administration. The risk of bias in the RCTs was determined using the Cochrane Collaboration tool. Reviewers independently extracted data and assessed the risk of bias. Any discrepancies were resolved by consensus. Results: The search identified 115 publications, but few (6/115) met the inclusion criteria. Patient populations and drugs investigated were diverse. Four of six studies demonstrated a clear patient preference for SC administration. Main factors associated with SC preference were time saving and the ability to have treatment at home. Only three studies used study-specific instruments to measure preference. Conclusions: Results suggest that patients prefer SC over IV delivery. Patient preference has clearly been neglected in clinical research, but it is important in medical decision making when choosing treatment methods as it has implications for adherence and quality of life. If the safety and efficacy of both administration routes are equivalent, then the most important factor should be patient preference as this will ensure optimal treatment adherence and ultimately improve patient experience or satisfaction. Future drug efficacy and safety studies should include contemporaneous, actual patient preference where possible, utilizing appropriate measures.","author":[{"dropping-particle":"","family":"Stoner","given":"Kelly L.","non-dropping-particle":"","parse-names":false,"suffix":""},{"dropping-particle":"","family":"Harder","given":"Helena","non-dropping-particle":"","parse-names":false,"suffix":""},{"dropping-particle":"","family":"Fallowfield","given":"Lesley J.","non-dropping-particle":"","parse-names":false,"suffix":""},{"dropping-particle":"","family":"Jenkins","given":"Valerie A.","non-dropping-particle":"","parse-names":false,"suffix":""}],"container-title":"Patient","id":"ITEM-2","issue":"2","issued":{"date-parts":[["2015"]]},"page":"145-153","title":"Intravenous versus subcutaneous drug administration. Which do patients prefer? A systematic review","type":"article-journal","volume":"8"},"uris":["http://www.mendeley.com/documents/?uuid=fb95443a-8e66-4245-9ce7-e1db878dcd2a"]},{"id":"ITEM-3","itemData":{"DOI":"10.1017/S095925981500012X","ISSN":"14699036","abstract":"Patients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Gerontology","id":"ITEM-3","issue":"2","issued":{"date-parts":[["2015"]]},"page":"117-146","title":"Subcutaneous fluid and drug delivery: Safe, efficient and inexpensive","type":"article-journal","volume":"25"},"uris":["http://www.mendeley.com/documents/?uuid=8a6c7379-45d3-4c3e-81be-b47186d6ebd6"]},{"id":"ITEM-4","itemData":{"author":[{"dropping-particle":"","family":"Broadhurst","given":"D","non-dropping-particle":"","parse-names":false,"suffix":""},{"dropping-particle":"","family":"Cooke","given":"MC","non-dropping-particle":"","parse-names":false,"suffix":""},{"dropping-particle":"","family":"Sriram","given":"D","non-dropping-particle":"","parse-names":false,"suffix":""},{"dropping-particle":"","family":"Grey","given":"B","non-dropping-particle":"","parse-names":false,"suffix":""}],"container-title":"TBD","id":"ITEM-4","issued":{"date-parts":[["2020"]]},"title":"Subcutaneous hydration and medication infusion (effectiveness, safety, acceptability): A systematic review of systematic reviews","type":"article-journal"},"uris":["http://www.mendeley.com/documents/?uuid=60e9ff98-6d26-46a6-b1da-b846d356eb52"]},{"id":"ITEM-5","itemData":{"DOI":"10.1191/0269216304pm1006oa","ISSN":"02692163","abstract":"OBJECTIVES AND METHOD: Survey of subcutaneous drug use and hypodermoclysis with a standardized questionnaire to 27 nursing teams and 52 physicians in a geriatric hospital department (404 beds). Evaluation of license status (CH, F, D and UK) and systematic literature review of 34 drugs used in the geriatric setting. RESULTS: Subcutaneous route is used daily with drugs and fluids mostly for patients in palliative care (83%) or who are dehydrated (54%) when oral or IV administration is impossible (73%, 68% respectively). Morphine (98%), haloperidol (90%), furosemide (69%) and hydromorphone (56%) by bolus (36%) or slow injection over 5 min (82%) are the main drugs used and NaCI 0.9% (95%), and glucose 5%/NaCI 0.9% (31 %) are commonly used for rehydration. Among the 34 drugs reviewed, only 13 (38%) are licensed for subcutaneous use in CH, UK, F or D, and only, morphine (14 articles of 68) and rehydration (six articles) are evaluated in high level studies. Haloperidol and furosemide are used off-label and there are no well-designed studies supporting their subcutaneous use. CONCLUSION: There is a lack of information on drugs widely used by subcutaneous route in the elderly. In that context, physicians carry responsibility for the prescription.","author":[{"dropping-particle":"","family":"Fonzo-Christe","given":"Caroline","non-dropping-particle":"","parse-names":false,"suffix":""},{"dropping-particle":"","family":"Vukasovic","given":"Caroline","non-dropping-particle":"","parse-names":false,"suffix":""},{"dropping-particle":"","family":"Wasilewski-Rasca","given":"Anne Florence","non-dropping-particle":"","parse-names":false,"suffix":""},{"dropping-particle":"","family":"Bonnabry","given":"Pascal","non-dropping-particle":"","parse-names":false,"suffix":""}],"container-title":"Palliative Medicine","id":"ITEM-5","issue":"3","issued":{"date-parts":[["2005"]]},"page":"208-219","title":"Subcutaneous administration of drugs in the elderly: Survey of practice and systematic literature review","type":"article-journal","volume":"19"},"uris":["http://www.mendeley.com/documents/?uuid=b68e659e-2ed0-4637-a25e-76909ecccad1"]}],"mendeley":{"formattedCitation":"&lt;sup&gt;3,10,11,23,24&lt;/sup&gt;","manualFormatting":"3,10,11,13,23,24","plainTextFormattedCitation":"3,10,11,23,24","previouslyFormattedCitation":"&lt;sup&gt;3,10,11,23,24&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3,10,11,13,24,2</w:t>
            </w:r>
            <w:r w:rsidRPr="006E1F24">
              <w:rPr>
                <w:rFonts w:eastAsia="Times" w:cstheme="minorHAnsi"/>
                <w:color w:val="231F20"/>
                <w:sz w:val="22"/>
                <w:szCs w:val="22"/>
                <w:vertAlign w:val="superscript"/>
              </w:rPr>
              <w:fldChar w:fldCharType="end"/>
            </w:r>
            <w:r w:rsidRPr="006E1F24">
              <w:rPr>
                <w:rFonts w:eastAsia="Times" w:cstheme="minorHAnsi"/>
                <w:color w:val="231F20"/>
                <w:sz w:val="22"/>
                <w:szCs w:val="22"/>
                <w:vertAlign w:val="superscript"/>
              </w:rPr>
              <w:t xml:space="preserve">5 </w:t>
            </w:r>
          </w:p>
        </w:tc>
        <w:tc>
          <w:tcPr>
            <w:tcW w:w="709" w:type="dxa"/>
            <w:tcBorders>
              <w:bottom w:val="single" w:sz="4" w:space="0" w:color="F2F2F2" w:themeColor="background1" w:themeShade="F2"/>
            </w:tcBorders>
            <w:shd w:val="clear" w:color="000000" w:fill="F9F9FB"/>
            <w:vAlign w:val="center"/>
            <w:hideMark/>
          </w:tcPr>
          <w:p w14:paraId="16C89DA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bottom w:val="single" w:sz="4" w:space="0" w:color="F2F2F2" w:themeColor="background1" w:themeShade="F2"/>
            </w:tcBorders>
            <w:shd w:val="clear" w:color="000000" w:fill="F9F9FB"/>
            <w:vAlign w:val="center"/>
            <w:hideMark/>
          </w:tcPr>
          <w:p w14:paraId="2953C01E"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bottom w:val="single" w:sz="4" w:space="0" w:color="F2F2F2" w:themeColor="background1" w:themeShade="F2"/>
            </w:tcBorders>
            <w:shd w:val="clear" w:color="000000" w:fill="F9F9FB"/>
            <w:vAlign w:val="center"/>
            <w:hideMark/>
          </w:tcPr>
          <w:p w14:paraId="0CFE1332"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bottom w:val="single" w:sz="4" w:space="0" w:color="F2F2F2" w:themeColor="background1" w:themeShade="F2"/>
            </w:tcBorders>
            <w:shd w:val="clear" w:color="000000" w:fill="F9F9FB"/>
            <w:vAlign w:val="center"/>
            <w:hideMark/>
          </w:tcPr>
          <w:p w14:paraId="0A3325E8"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7-9</w:t>
            </w:r>
          </w:p>
        </w:tc>
      </w:tr>
      <w:tr w:rsidR="00743CB8" w:rsidRPr="006E1F24" w14:paraId="70925E3F"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662F3049"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22. Change administration sets used for continuous infusions at least every 7 days, every 24 hours for intermittent infusions, and immediately if system integrity is compromised, or as per organizational policy.</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uthor":[{"dropping-particle":"","family":"Gorski","given":"Lisa","non-dropping-particle":"","parse-names":false,"suffix":""},{"dropping-particle":"","family":"Hadaway","given":"Lynn","non-dropping-particle":"","parse-names":false,"suffix":""},{"dropping-particle":"","family":"Hagle","given":"E. E.","non-dropping-particle":"","parse-names":false,"suffix":""},{"dropping-particle":"","family":"McGoldrick","given":"M","non-dropping-particle":"","parse-names":false,"suffix":""},{"dropping-particle":"","family":"Orr","given":"M","non-dropping-particle":"","parse-names":false,"suffix":""},{"dropping-particle":"","family":"Doellman","given":"D","non-dropping-particle":"","parse-names":false,"suffix":""}],"container-title":"Journal of Infusion Nursing","id":"ITEM-2","issue":"1S","issued":{"date-parts":[["2016"]]},"page":"1-164","title":"Infusion therapy standards of practice","type":"article-journal","volume":"39"},"uris":["http://www.mendeley.com/documents/?uuid=50f980ef-88cc-4c13-b6fb-742474759ec2"]}],"mendeley":{"formattedCitation":"&lt;sup&gt;2,8&lt;/sup&gt;","plainTextFormattedCitation":"2,8","previouslyFormattedCitation":"&lt;sup&gt;2,8&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2,8</w:t>
            </w:r>
            <w:r w:rsidRPr="006E1F24">
              <w:rPr>
                <w:rFonts w:cstheme="minorHAnsi"/>
                <w:sz w:val="22"/>
                <w:szCs w:val="22"/>
              </w:rPr>
              <w:fldChar w:fldCharType="end"/>
            </w:r>
            <w:r w:rsidRPr="006E1F24">
              <w:rPr>
                <w:rFonts w:cstheme="minorHAnsi"/>
                <w:sz w:val="22"/>
                <w:szCs w:val="22"/>
                <w:vertAlign w:val="superscript"/>
              </w:rPr>
              <w:t xml:space="preserve">,13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B5C4AB2"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5EAA50E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6EE774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(6-9)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5628B9A"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3-9</w:t>
            </w:r>
          </w:p>
        </w:tc>
      </w:tr>
      <w:tr w:rsidR="00743CB8" w:rsidRPr="006E1F24" w14:paraId="0D3659EA"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3A3685C8"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23. Prime all air out of administration set prior to initiation of therapy. Label administration sets with date initiated and initials. Place label identifying subcutaneous access device near device connection on administration set.</w:t>
            </w:r>
            <w:r w:rsidRPr="006E1F24">
              <w:rPr>
                <w:rFonts w:eastAsia="Times" w:cstheme="minorHAnsi"/>
                <w:noProof/>
                <w:color w:val="231F20"/>
                <w:sz w:val="22"/>
                <w:szCs w:val="22"/>
                <w:vertAlign w:val="superscript"/>
              </w:rPr>
              <w:fldChar w:fldCharType="begin" w:fldLock="1"/>
            </w:r>
            <w:r w:rsidRPr="006E1F24">
              <w:rPr>
                <w:rFonts w:eastAsia="Times" w:cstheme="minorHAnsi"/>
                <w:noProof/>
                <w:color w:val="231F20"/>
                <w:sz w:val="22"/>
                <w:szCs w:val="22"/>
                <w:vertAlign w:val="superscript"/>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uthor":[{"dropping-particle":"","family":"Gabriel","given":"Janice","non-dropping-particle":"","parse-names":false,"suffix":""}],"container-title":"British Journal of Nursing","id":"ITEM-2","issue":"14","issued":{"date-parts":[["2013"]]},"page":"S6-S12","title":"The use of subcutaneous infusion in medication administration","type":"article-journal","volume":"22"},"uris":["http://www.mendeley.com/documents/?uuid=d6ac3c5d-ec71-408a-87db-ceafff147f63"]}],"mendeley":{"formattedCitation":"&lt;sup&gt;8,14&lt;/sup&gt;","plainTextFormattedCitation":"8,14","previouslyFormattedCitation":"&lt;sup&gt;8,14&lt;/sup&gt;"},"properties":{"noteIndex":0},"schema":"https://github.com/citation-style-language/schema/raw/master/csl-citation.json"}</w:instrText>
            </w:r>
            <w:r w:rsidRPr="006E1F24">
              <w:rPr>
                <w:rFonts w:eastAsia="Times" w:cstheme="minorHAnsi"/>
                <w:noProof/>
                <w:color w:val="231F20"/>
                <w:sz w:val="22"/>
                <w:szCs w:val="22"/>
                <w:vertAlign w:val="superscript"/>
              </w:rPr>
              <w:fldChar w:fldCharType="separate"/>
            </w:r>
            <w:r w:rsidRPr="006E1F24">
              <w:rPr>
                <w:rFonts w:eastAsia="Times" w:cstheme="minorHAnsi"/>
                <w:noProof/>
                <w:color w:val="231F20"/>
                <w:sz w:val="22"/>
                <w:szCs w:val="22"/>
                <w:vertAlign w:val="superscript"/>
              </w:rPr>
              <w:t>8,14</w:t>
            </w:r>
            <w:r w:rsidRPr="006E1F24">
              <w:rPr>
                <w:rFonts w:eastAsia="Times" w:cstheme="minorHAnsi"/>
                <w:noProof/>
                <w:color w:val="231F20"/>
                <w:sz w:val="22"/>
                <w:szCs w:val="22"/>
                <w:vertAlign w:val="superscript"/>
              </w:rPr>
              <w:fldChar w:fldCharType="end"/>
            </w:r>
            <w:r w:rsidRPr="006E1F24">
              <w:rPr>
                <w:rFonts w:cstheme="minorHAnsi"/>
                <w:sz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58B71CE7"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03DC9C31"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160C83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8ED933D"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8-9</w:t>
            </w:r>
          </w:p>
        </w:tc>
      </w:tr>
      <w:tr w:rsidR="00743CB8" w:rsidRPr="006E1F24" w14:paraId="6AC96859"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792415CF" w14:textId="24A5E333"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24. Monitor patient, assessing site and infusion, one hour after starting infusion and then regularly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color w:val="000000" w:themeColor="text1"/>
                <w:sz w:val="22"/>
                <w:szCs w:val="22"/>
                <w:lang w:eastAsia="en-AU"/>
              </w:rPr>
              <w:t>every shift/visit).</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Guidelines","type":"book"},"uris":["http://www.mendeley.com/documents/?uuid=51e21049-2167-4db2-a4ef-ae9f8d544f9f"]},{"id":"ITEM-2","itemData":{"author":[{"dropping-particle":"","family":"Royal College of Nursing","given":"","non-dropping-particle":"","parse-names":false,"suffix":""}],"id":"ITEM-2","issued":{"date-parts":[["2016"]]},"publisher-place":"London, UK","title":"Standards for infusion therapy: 4th edition","type":"report"},"uris":["http://www.mendeley.com/documents/?uuid=dcb305c2-5372-4bd2-9460-5295fd568a30"]}],"mendeley":{"formattedCitation":"&lt;sup&gt;8,13&lt;/sup&gt;","plainTextFormattedCitation":"8,13","previouslyFormattedCitation":"&lt;sup&gt;8,13&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8,13</w:t>
            </w:r>
            <w:r w:rsidRPr="006E1F24">
              <w:rPr>
                <w:rFonts w:eastAsia="Times" w:cstheme="minorHAnsi"/>
                <w:color w:val="231F20"/>
                <w:sz w:val="22"/>
                <w:szCs w:val="22"/>
                <w:vertAlign w:val="superscript"/>
              </w:rPr>
              <w:fldChar w:fldCharType="end"/>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865A20D"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6E06D6AA"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7662109"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(7-9)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40E11B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32443013"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4BB50F4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25. Assess patient’s tolerance and response to treatment. For subcutaneous hydration, initially include at least daily reassessments of response to therapy, clinical fluid status, laboratory values (urea, creatinine and electrolytes), fluid balance charts, vital signs, and weight measurement twice weekly and adjust care plan accordingly. Patients on longer-term subcutaneous hydration whose condition is stable may be monitored less frequently, although decisions to reduce monitoring frequency should be detailed in their care plan.</w:t>
            </w:r>
            <w:r w:rsidRPr="00A162FD">
              <w:rPr>
                <w:rFonts w:eastAsia="Times New Roman" w:cstheme="minorHAnsi"/>
                <w:color w:val="000000" w:themeColor="text1"/>
                <w:sz w:val="22"/>
                <w:szCs w:val="22"/>
                <w:vertAlign w:val="superscript"/>
                <w:lang w:eastAsia="en-AU"/>
              </w:rPr>
              <w:fldChar w:fldCharType="begin" w:fldLock="1"/>
            </w:r>
            <w:r w:rsidRPr="00A162FD">
              <w:rPr>
                <w:rFonts w:eastAsia="Times New Roman" w:cstheme="minorHAnsi"/>
                <w:color w:val="000000" w:themeColor="text1"/>
                <w:sz w:val="22"/>
                <w:szCs w:val="22"/>
                <w:vertAlign w:val="superscript"/>
                <w:lang w:eastAsia="en-AU"/>
              </w:rPr>
              <w:instrText>ADDIN CSL_CITATION {"citationItems":[{"id":"ITEM-1","itemData":{"author":[{"dropping-particle":"","family":"National Institute for Health and Care Excellence","given":"","non-dropping-particle":"","parse-names":false,"suffix":""}],"container-title":"Nice clinical guideline","id":"ITEM-1","issued":{"date-parts":[["2013"]]},"page":"1-26","title":"Intravenous fluid therapy in adults in hospital","type":"article-journal","volume":"174"},"uris":["http://www.mendeley.com/documents/?uuid=7d7efb7b-7c11-45bc-8efb-61212f563ae5"]}],"mendeley":{"formattedCitation":"&lt;sup&gt;9&lt;/sup&gt;","plainTextFormattedCitation":"9","previouslyFormattedCitation":"&lt;sup&gt;9&lt;/sup&gt;"},"properties":{"noteIndex":0},"schema":"https://github.com/citation-style-language/schema/raw/master/csl-citation.json"}</w:instrText>
            </w:r>
            <w:r w:rsidRPr="00A162FD">
              <w:rPr>
                <w:rFonts w:eastAsia="Times New Roman" w:cstheme="minorHAnsi"/>
                <w:color w:val="000000" w:themeColor="text1"/>
                <w:sz w:val="22"/>
                <w:szCs w:val="22"/>
                <w:vertAlign w:val="superscript"/>
                <w:lang w:eastAsia="en-AU"/>
              </w:rPr>
              <w:fldChar w:fldCharType="separate"/>
            </w:r>
            <w:r w:rsidRPr="00A162FD">
              <w:rPr>
                <w:rFonts w:eastAsia="Times New Roman" w:cstheme="minorHAnsi"/>
                <w:color w:val="000000" w:themeColor="text1"/>
                <w:sz w:val="22"/>
                <w:szCs w:val="22"/>
                <w:vertAlign w:val="superscript"/>
                <w:lang w:eastAsia="en-AU"/>
              </w:rPr>
              <w:t>9</w:t>
            </w:r>
            <w:r w:rsidRPr="00A162FD">
              <w:rPr>
                <w:rFonts w:eastAsia="Times New Roman" w:cstheme="minorHAnsi"/>
                <w:color w:val="000000" w:themeColor="text1"/>
                <w:sz w:val="22"/>
                <w:szCs w:val="22"/>
                <w:vertAlign w:val="superscript"/>
                <w:lang w:eastAsia="en-AU"/>
              </w:rPr>
              <w:fldChar w:fldCharType="end"/>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C16D9E5"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3B2299E"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4F35CF4"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741CC3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5-9</w:t>
            </w:r>
          </w:p>
        </w:tc>
      </w:tr>
      <w:tr w:rsidR="00743CB8" w:rsidRPr="006E1F24" w14:paraId="010F32AF"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7CF5178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 xml:space="preserve">26. Employ strategies to prevent, identify, and manage infusion complications, which depend mainly on the </w:t>
            </w:r>
            <w:proofErr w:type="spellStart"/>
            <w:r w:rsidRPr="006E1F24">
              <w:rPr>
                <w:rFonts w:eastAsia="Times New Roman" w:cstheme="minorHAnsi"/>
                <w:color w:val="000000" w:themeColor="text1"/>
                <w:sz w:val="22"/>
                <w:szCs w:val="22"/>
                <w:lang w:eastAsia="en-AU"/>
              </w:rPr>
              <w:t>infusate</w:t>
            </w:r>
            <w:proofErr w:type="spellEnd"/>
            <w:r w:rsidRPr="006E1F24">
              <w:rPr>
                <w:rFonts w:eastAsia="Times New Roman" w:cstheme="minorHAnsi"/>
                <w:color w:val="000000" w:themeColor="text1"/>
                <w:sz w:val="22"/>
                <w:szCs w:val="22"/>
                <w:lang w:eastAsia="en-AU"/>
              </w:rPr>
              <w:t xml:space="preserve"> and infusion rate.</w:t>
            </w:r>
            <w:r w:rsidRPr="006E1F24">
              <w:rPr>
                <w:rFonts w:cstheme="minorHAnsi"/>
                <w:sz w:val="22"/>
                <w:szCs w:val="22"/>
              </w:rPr>
              <w:fldChar w:fldCharType="begin" w:fldLock="1"/>
            </w:r>
            <w:r w:rsidRPr="006E1F24">
              <w:rPr>
                <w:rFonts w:cstheme="minorHAnsi"/>
                <w:sz w:val="22"/>
                <w:szCs w:val="22"/>
              </w:rPr>
              <w:instrText>ADDIN CSL_CITATION {"citationItems":[{"id":"ITEM-1","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-1","issued":{"date-parts":[["2020"]]},"title":"Subcutaneous hydration and medications infusions (effectiveness, safety, acceptability): A systematic review of systematic reviews","type":"article-journal"},"uris":["http://www.mendeley.com/documents/?uuid=dcdca528-53ad-4aba-a961-906f864ad0e8"]},{"id":"ITEM-2","itemData":{"DOI":"10.1017/S095925981500012X","ISSN":"14699036","abstract":"Patients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Gerontology","id":"ITEM-2","issue":"2","issued":{"date-parts":[["2015"]]},"page":"117-146","title":"Subcutaneous fluid and drug delivery: Safe, efficient and inexpensive","type":"article-journal","volume":"25"},"uris":["http://www.mendeley.com/documents/?uuid=8a6c7379-45d3-4c3e-81be-b47186d6ebd6"]}],"mendeley":{"formattedCitation":"&lt;sup&gt;1,10&lt;/sup&gt;","plainTextFormattedCitation":"1,10","previouslyFormattedCitation":"&lt;sup&gt;1,10&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1,10</w:t>
            </w:r>
            <w:r w:rsidRPr="006E1F24">
              <w:rPr>
                <w:rFonts w:cstheme="minorHAnsi"/>
                <w:sz w:val="22"/>
                <w:szCs w:val="22"/>
              </w:rPr>
              <w:fldChar w:fldCharType="end"/>
            </w:r>
            <w:r w:rsidRPr="006E1F24">
              <w:rPr>
                <w:rFonts w:cstheme="minorHAnsi"/>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61937818"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1730E74"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65FE5AE5"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69F1EC9D"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8-9</w:t>
            </w:r>
          </w:p>
        </w:tc>
      </w:tr>
      <w:tr w:rsidR="00743CB8" w:rsidRPr="006E1F24" w14:paraId="6F553617"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3F18096A" w14:textId="46962D8E"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 xml:space="preserve">27. For initiation and maintenance of subcutaneous hydration and some medications, consider the use of hyaluronidase  for continuous subcutaneous infusions to facilitate the dispersion and absorption of the </w:t>
            </w:r>
            <w:proofErr w:type="spellStart"/>
            <w:r w:rsidRPr="006E1F24">
              <w:rPr>
                <w:rFonts w:eastAsia="Times New Roman" w:cstheme="minorHAnsi"/>
                <w:color w:val="000000" w:themeColor="text1"/>
                <w:sz w:val="22"/>
                <w:szCs w:val="22"/>
                <w:lang w:eastAsia="en-AU"/>
              </w:rPr>
              <w:t>infusate</w:t>
            </w:r>
            <w:proofErr w:type="spellEnd"/>
            <w:r w:rsidRPr="006E1F24">
              <w:rPr>
                <w:rFonts w:eastAsia="Times New Roman" w:cstheme="minorHAnsi"/>
                <w:color w:val="000000" w:themeColor="text1"/>
                <w:sz w:val="22"/>
                <w:szCs w:val="22"/>
                <w:lang w:eastAsia="en-AU"/>
              </w:rPr>
              <w:t xml:space="preserve">, particularly if the infusion is not well tolerated due to swelling or pain or is running </w:t>
            </w:r>
            <w:r w:rsidR="006E1F24" w:rsidRPr="006E1F24">
              <w:rPr>
                <w:rFonts w:eastAsia="Times New Roman" w:cstheme="minorHAnsi"/>
                <w:color w:val="000000" w:themeColor="text1"/>
                <w:sz w:val="22"/>
                <w:szCs w:val="22"/>
                <w:lang w:eastAsia="en-AU"/>
              </w:rPr>
              <w:t>slowly</w:t>
            </w:r>
            <w:r w:rsidRPr="006E1F24">
              <w:rPr>
                <w:rFonts w:eastAsia="Times New Roman" w:cstheme="minorHAnsi"/>
                <w:color w:val="000000" w:themeColor="text1"/>
                <w:sz w:val="22"/>
                <w:szCs w:val="22"/>
                <w:lang w:eastAsia="en-AU"/>
              </w:rPr>
              <w:t>.</w:t>
            </w:r>
            <w:r w:rsidRPr="006E1F24">
              <w:rPr>
                <w:rFonts w:eastAsia="Times" w:cstheme="minorHAnsi"/>
                <w:b/>
                <w:color w:val="231F20"/>
                <w:sz w:val="22"/>
                <w:szCs w:val="22"/>
                <w:vertAlign w:val="superscript"/>
              </w:rPr>
              <w:fldChar w:fldCharType="begin" w:fldLock="1"/>
            </w:r>
            <w:r w:rsidRPr="006E1F24">
              <w:rPr>
                <w:rFonts w:eastAsia="Times" w:cstheme="minorHAnsi"/>
                <w:b/>
                <w:color w:val="231F20"/>
                <w:sz w:val="22"/>
                <w:szCs w:val="22"/>
                <w:vertAlign w:val="superscript"/>
              </w:rPr>
              <w:instrText>ADDIN CSL_CITATION {"citationItems":[{"id":"ITEM-1","itemData":{"author":[{"dropping-particle":"","family":"Bruera","given":"E","non-dropping-particle":"","parse-names":false,"suffix":""},{"dropping-particle":"","family":"Neumann","given":"C M","non-dropping-particle":"","parse-names":false,"suffix":""},{"dropping-particle":"","family":"Pituskin","given":"E","non-dropping-particle":"","parse-names":false,"suffix":""},{"dropping-particle":"","family":"Calder","given":"K","non-dropping-particle":"","parse-names":false,"suffix":""},{"dropping-particle":"","family":"Hanson","given":"J","non-dropping-particle":"","parse-names":false,"suffix":""}],"container-title":"Annals of Oncology","id":"ITEM-1","issued":{"date-parts":[["1999"]]},"page":"1255-1258","title":"A randomized controlled trial of local injections of hyaluronidase versus placebo in cancer patients receiving subcutaneous hydration","type":"article-journal","volume":"10"},"uris":["http://www.mendeley.com/documents/?uuid=cee359a3-5329-4826-8e20-8c0eafe623be"]},{"id":"ITEM-2","itemData":{"author":[{"dropping-particle":"","family":"Bruera","given":"Eduardo","non-dropping-particle":"","parse-names":false,"suffix":""},{"dropping-particle":"","family":"Belzile","given":"M","non-dropping-particle":"","parse-names":false,"suffix":""},{"dropping-particle":"","family":"Watanabe","given":"S","non-dropping-particle":"","parse-names":false,"suffix":""},{"dropping-particle":"","family":"Fainsinger","given":"Robin L","non-dropping-particle":"","parse-names":false,"suffix":""}],"container-title":"Support Care Cancer","id":"ITEM-2","issued":{"date-parts":[["1996"]]},"page":"147-150","title":"Volume of hydration in terminal cancer patients","type":"article-journal","volume":"4"},"uris":["http://www.mendeley.com/documents/?uuid=4ed4af4b-54d9-4b06-b7f7-424d4f99e237"]},{"id":"ITEM-3","itemData":{"author":[{"dropping-particle":"","family":"Challiner","given":"Yvonne C","non-dropping-particle":"","parse-names":false,"suffix":""},{"dropping-particle":"","family":"Jarrett","given":"D","non-dropping-particle":"","parse-names":false,"suffix":""},{"dropping-particle":"","family":"Hayward","given":"M J","non-dropping-particle":"","parse-names":false,"suffix":""},{"dropping-particle":"","family":"Al-Jubouri","given":"MA","non-dropping-particle":"","parse-names":false,"suffix":""},{"dropping-particle":"","family":"Julious","given":"S A","non-dropping-particle":"","parse-names":false,"suffix":""}],"container-title":"Postgrad Med J","id":"ITEM-3","issued":{"date-parts":[["1994"]]},"page":"195-197","title":"A comparison of intravenous and subcutaneous hydration in elderly acute stroke patients","type":"article-journal","volume":"70"},"uris":["http://www.mendeley.com/documents/?uuid=c6463762-601b-4908-8ebb-ed7885ea1f15"]},{"id":"ITEM-4","itemData":{"author":[{"dropping-particle":"","family":"Wilhelm","given":"K","non-dropping-particle":"","parse-names":false,"suffix":""}],"id":"ITEM-4","issued":{"date-parts":[["2018"]]},"number-of-pages":"42","publisher":"University of Arizona","title":"A systematic review of hyaluronidase-assisted subcutaneous fluid administration in pediatrics and geriatrics and its potential application in low resource settings","type":"book"},"uris":["http://www.mendeley.com/documents/?uuid=798b7bb4-9b22-467e-b621-5d0f10405648"]},{"id":"ITEM-5","itemData":{"DOI":"10.1093/gerona/52A.3.M169","ISSN":"10795006","abstract":"Background. The purpose of the study was to evaluate the evidence supporting the use of hypodermoclysis (i.e., subcutaneous infusion of fluids) to treat dehydrated elderly patients, and to discuss clinical applications of this mode of therapy in the long-term care setting. Method. Articles reporting the use of hypodermoclysis were identified using a systematic MEDLINE search between January 1966 and May 1996. Articles were included in our sample if they contained original patient data that evaluated either the efficacy or adverse effects associated with the use of subcutaneous infusions to treat dehydration in adults, whether hyaluronidase was required to facilitate the absorption of subcutaneous fluid, or if potassium could be added to the solution. Results. Eighteen articles met the inclusion criteria. Since we hypothesized that adverse effects associated with hypodermoclysis may have been related largely to the use of nonelectrolyte or hypertonic solutions, the studies were evaluated according to the type of fluid administered. Six hundred and eighty-five patients were described in 13 studies evaluating the efficacy and toxicity of subcutaneously administered fluid. Four studies evaluated hypodermoclysis using electrolyte-containing solutions in 25 patients. Two of these were randomized control trials (RCT) that compared hypodermoclysis to intravenous therapy. Both reported similar absorption of fluids. In the single RCT that evaluated adverse effects, 4 of 17 patients receiving hypodermoclysis reported minor side effects similar to those reported with intravenous therapy. Adverse effects were more severe when electrolyte-free or hypertonic solutions were evaluated. Of the 639 patients who may have received electrolyte-free solutions, 16 patients (2.5%) reported adverse effects, 8 of which were severe. Both patients reported to have received hypertonic solutions noted adverse effects, one of which was severe. The use of hyaluronidase to facilitate absorption was evaluated in 74 patients. These studies suggest that hyaluronidase improves the speed of fluid absorption but may not change the patient's comfort level. A single case report of 350 subcutaneous infusions in 67 patients investigated the administration of up to 34 mmol/L of potassium chloride (KCl) by hypodermoclysis. The only adverse reaction observed was discomfort at the infusion site. Conclusions. Hypodermoclysis can be used to most safely provide fluids when electrolyte-containing fluids …","author":[{"dropping-particle":"","family":"Rochon","given":"Paula A.","non-dropping-particle":"","parse-names":false,"suffix":""},{"dropping-particle":"","family":"Gill","given":"Sudeep S.","non-dropping-particle":"","parse-names":false,"suffix":""},{"dropping-particle":"","family":"Litner","given":"Jason","non-dropping-particle":"","parse-names":false,"suffix":""},{"dropping-particle":"","family":"Fischbach","given":"Michelle","non-dropping-particle":"","parse-names":false,"suffix":""},{"dropping-particle":"","family":"Goodison","given":"Andrea J.","non-dropping-particle":"","parse-names":false,"suffix":""},{"dropping-particle":"","family":"Gordon","given":"Michael","non-dropping-particle":"","parse-names":false,"suffix":""}],"container-title":"Journals of Gerontology - Series A Biological Sciences and Medical Sciences","id":"ITEM-5","issue":"3","issued":{"date-parts":[["1997"]]},"title":"A systematic review of the evidence for hypodermoclysis to treat dehydration in older people","type":"article-journal","volume":"52"},"uris":["http://www.mendeley.com/documents/?uuid=ec747557-6a82-4a11-a8ee-2d2ca4efb0be"]},{"id":"ITEM-6","itemData":{"DOI":"10.1017/S095925981500012X","ISSN":"14699036","abstract":"Patients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Gerontology","id":"ITEM-6","issue":"2","issued":{"date-parts":[["2015"]]},"page":"117-146","title":"Subcutaneous fluid and drug delivery: Safe, efficient and inexpensive","type":"article-journal","volume":"25"},"uris":["http://www.mendeley.com/documents/?uuid=8a6c7379-45d3-4c3e-81be-b47186d6ebd6"]},{"id":"ITEM-7","itemData":{"author":[{"dropping-particle":"","family":"Royal College of Nursing","given":"","non-dropping-particle":"","parse-names":false,"suffix":""}],"id":"ITEM-7","issued":{"date-parts":[["2016"]]},"publisher-place":"London, UK","title":"Standards for infusion therapy: 4th edition","type":"report"},"uris":["http://www.mendeley.com/documents/?uuid=dcb305c2-5372-4bd2-9460-5295fd568a30"]},{"id":"ITEM-8","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-8","issued":{"date-parts":[["2020"]]},"title":"Subcutaneous hydration and medications infusions (effectiveness, safety, acceptability): A systematic review of systematic reviews","type":"article-journal"},"uris":["http://www.mendeley.com/documents/?uuid=dcdca528-53ad-4aba-a961-906f864ad0e8"]}],"mendeley":{"formattedCitation":"&lt;sup&gt;1,10,13,25–29&lt;/sup&gt;","plainTextFormattedCitation":"1,10,13,25–29","previouslyFormattedCitation":"&lt;sup&gt;1,10,13,25–29&lt;/sup&gt;"},"properties":{"noteIndex":0},"schema":"https://github.com/citation-style-language/schema/raw/master/csl-citation.json"}</w:instrText>
            </w:r>
            <w:r w:rsidRPr="006E1F24">
              <w:rPr>
                <w:rFonts w:eastAsia="Times" w:cstheme="minorHAnsi"/>
                <w:b/>
                <w:color w:val="231F20"/>
                <w:sz w:val="22"/>
                <w:szCs w:val="22"/>
                <w:vertAlign w:val="superscript"/>
              </w:rPr>
              <w:fldChar w:fldCharType="separate"/>
            </w:r>
            <w:r w:rsidRPr="006E1F24">
              <w:rPr>
                <w:rFonts w:eastAsia="Times" w:cstheme="minorHAnsi"/>
                <w:noProof/>
                <w:color w:val="231F20"/>
                <w:sz w:val="22"/>
                <w:szCs w:val="22"/>
                <w:vertAlign w:val="superscript"/>
              </w:rPr>
              <w:t>1,10,13,26–</w:t>
            </w:r>
            <w:r w:rsidR="0033393B">
              <w:rPr>
                <w:rFonts w:eastAsia="Times" w:cstheme="minorHAnsi"/>
                <w:noProof/>
                <w:color w:val="231F20"/>
                <w:sz w:val="22"/>
                <w:szCs w:val="22"/>
                <w:vertAlign w:val="superscript"/>
              </w:rPr>
              <w:t>29</w:t>
            </w:r>
            <w:r w:rsidRPr="006E1F24">
              <w:rPr>
                <w:rFonts w:eastAsia="Times" w:cstheme="minorHAnsi"/>
                <w:b/>
                <w:color w:val="231F20"/>
                <w:sz w:val="22"/>
                <w:szCs w:val="22"/>
                <w:vertAlign w:val="superscript"/>
              </w:rPr>
              <w:fldChar w:fldCharType="end"/>
            </w:r>
            <w:r w:rsidRPr="006E1F24">
              <w:rPr>
                <w:rFonts w:eastAsia="Times" w:cstheme="minorHAnsi"/>
                <w:color w:val="231F20"/>
                <w:sz w:val="22"/>
                <w:szCs w:val="22"/>
              </w:rPr>
              <w:t xml:space="preserve"> </w:t>
            </w:r>
            <w:r w:rsidRPr="006E1F24">
              <w:rPr>
                <w:rFonts w:eastAsia="Times New Roman" w:cstheme="minorHAnsi"/>
                <w:color w:val="000000" w:themeColor="text1"/>
                <w:sz w:val="22"/>
                <w:szCs w:val="22"/>
                <w:lang w:eastAsia="en-AU"/>
              </w:rPr>
              <w:t>Consider hyaluronidase with the administration of the following medications which have been shown to enhance absorption of medications (</w:t>
            </w:r>
            <w:proofErr w:type="spellStart"/>
            <w:r w:rsidR="006E1F24" w:rsidRPr="006E1F24">
              <w:rPr>
                <w:rFonts w:eastAsia="Times New Roman" w:cstheme="minorHAnsi"/>
                <w:sz w:val="22"/>
                <w:szCs w:val="22"/>
                <w:lang w:eastAsia="en-AU"/>
              </w:rPr>
              <w:t>eg</w:t>
            </w:r>
            <w:proofErr w:type="spellEnd"/>
            <w:r w:rsidR="006E1F24" w:rsidRPr="006E1F24">
              <w:rPr>
                <w:rFonts w:eastAsia="Times New Roman" w:cstheme="minorHAnsi"/>
                <w:sz w:val="22"/>
                <w:szCs w:val="22"/>
                <w:lang w:eastAsia="en-AU"/>
              </w:rPr>
              <w:t xml:space="preserve">, </w:t>
            </w:r>
            <w:r w:rsidRPr="006E1F24">
              <w:rPr>
                <w:rFonts w:eastAsia="Times New Roman" w:cstheme="minorHAnsi"/>
                <w:color w:val="000000" w:themeColor="text1"/>
                <w:sz w:val="22"/>
                <w:szCs w:val="22"/>
                <w:lang w:eastAsia="en-AU"/>
              </w:rPr>
              <w:t>ceftriaxone, hydromorphone, immunoglobulin, midazolam, morphine, ondansetron, potassium, and trastuzumab).</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Gerontology","id":"ITEM-1","issue":"2","issued":{"date-parts":[["2015"]]},"page":"117-146","title":"Subcutaneous fluid and drug delivery: Safe, efficient and inexpensive","type":"article-journal","volume":"25"},"uris":["http://www.mendeley.com/documents/?uuid=8a6c7379-45d3-4c3e-81be-b47186d6ebd6"]},{"id":"ITEM-2","itemData":{"DOI":"10.1007/s40265-013-0094-3","ISSN":"00126667","abstract":"Background: Substitution with immunoglobulin can be administered intravenously (IV) or subcutaneously (SC) to patients with immunodeficiency, but it is not clear which route is to be preferred. Objective: The aim of this study was to compare IV and SC administration of immunoglobulin regarding efficacy, safety, health-related quality of life and health economics in patients with primary or secondary immunodeficiency. Method: PubMed and other databases were searched. Reference lists of retrieved articles were scanned and major immunoglobulin producers were contacted for additional articles. Randomized and non-randomized clinical studies that compared SC with IV immunoglobulin substitution in patients with immunodeficiency were included. The validity of the findings in the included studies was evaluated and summarized in accordance with the GRADE approach. Results: Twenty-five studies were included; two randomized and 17 non-randomized studies of patients with primary immunodeficiency, one non-randomized study of patients with secondary immunodeficiency and five studies of health economics. The quality of evidence as assessed by the GRADE score was found to be moderate or low for all outcomes. Both IV and SC administration of immunoglobulin was found to be highly effective in preventing serious bacterial infections. IgG trough levels were higher with SC immunoglobulin substitution. Both therapy forms were concluded to be safe, as no serious adverse event was reported. Minor adverse events, consisting of local symptoms that were usually mild, were more frequent with SC immunoglobulin substitution. Health-related quality of life improved when patients switched from hospital-based IV immunoglobulin substitution to SC immunoglobulin substitution at home. The studies that evaluated health economics all found that SC administration was considerably more cost effective in comparison with IV immunoglobulin substitution. The main difference was that the number of lost work or school days was lower in patients with SC administration. Conclusion: Both SC and IV immunoglobulin substitution offer protection from serious bacterial infections and have good safety. On the basis of available studies it is not possible to rate one of the two substitution modes as superior to the other, at least not regarding efficacy and safety. Improvement of health-related quality of life with SC immunoglobulin substitution largely seems to be related to home therapy. Studies including p…","author":[{"dropping-particle":"","family":"Lingman-Framme","given":"Jenny","non-dropping-particle":"","parse-names":false,"suffix":""},{"dropping-particle":"","family":"Fasth","given":"Anders","non-dropping-particle":"","parse-names":false,"suffix":""}],"container-title":"Drugs","id":"ITEM-2","issue":"12","issued":{"date-parts":[["2013"]]},"page":"1307-1319","title":"Subcutaneous immunoglobulin for primary and secondary immunodeficiencies: An evidence-based review","type":"article-journal","volume":"73"},"uris":["http://www.mendeley.com/documents/?uuid=fc67373e-f8f4-442d-85e8-0c613f18d11c"]},{"id":"ITEM-3","itemData":{"DOI":"10.1097/NAN.0000000000000099","ISBN":"0000000000000","ISSN":"15390667","abstract":"Parenteral drug delivery is an essential part of patient care. The subcutaneous (SC) route is easily accessed, is more cost-effective, and provides increased convenience for the patient than the other parenteral methods. The pharmacokinetic profile of medications delivered SC reflect bioavailabilities similar to intravenous (IV) delivery. The coadministration of human recombinant hyaluronidase with SC medications enhances the maximum concentration and time to maximum concentration to more closely mimic drugs delivered by the IV route. Pharmaceutical companies are studying and successfully developing new formulations of current medications for delivery via the SC route.","author":[{"dropping-particle":"","family":"Arthur","given":"Annette O.","non-dropping-particle":"","parse-names":false,"suffix":""}],"container-title":"Journal of Infusion Nursing","id":"ITEM-3","issue":"3","issued":{"date-parts":[["2015"]]},"page":"179-187","title":"Innovations in subcutaneous infusions","type":"article-journal","volume":"38"},"uris":["http://www.mendeley.com/documents/?uuid=cf176d84-4909-46f6-8677-152e535f7855"]}],"mendeley":{"formattedCitation":"&lt;sup&gt;4,10,30&lt;/sup&gt;","plainTextFormattedCitation":"4,10,30","previouslyFormattedCitation":"&lt;sup&gt;4,10,30&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4,10,31</w:t>
            </w:r>
            <w:r w:rsidRPr="006E1F24">
              <w:rPr>
                <w:rFonts w:eastAsia="Times" w:cstheme="minorHAnsi"/>
                <w:color w:val="231F20"/>
                <w:sz w:val="22"/>
                <w:szCs w:val="22"/>
              </w:rPr>
              <w:fldChar w:fldCharType="end"/>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82DF6F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6670272"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28D59E2A"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8(4-9)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2621876D"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60AA0801"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3308F3DD" w14:textId="030797FA"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28. Hyaluronidase dosage and protocols vary. Consider injecting hyaluronidase prior to infusion (</w:t>
            </w:r>
            <w:proofErr w:type="spellStart"/>
            <w:r w:rsidRPr="006E1F24">
              <w:rPr>
                <w:rFonts w:eastAsia="Times New Roman" w:cstheme="minorHAnsi"/>
                <w:color w:val="000000" w:themeColor="text1"/>
                <w:sz w:val="22"/>
                <w:szCs w:val="22"/>
                <w:lang w:eastAsia="en-AU"/>
              </w:rPr>
              <w:t>e</w:t>
            </w:r>
            <w:r w:rsidR="006E1F24" w:rsidRPr="006E1F24">
              <w:rPr>
                <w:rFonts w:eastAsia="Times New Roman" w:cstheme="minorHAnsi"/>
                <w:color w:val="000000" w:themeColor="text1"/>
                <w:sz w:val="22"/>
                <w:szCs w:val="22"/>
                <w:lang w:eastAsia="en-AU"/>
              </w:rPr>
              <w:t>g</w:t>
            </w:r>
            <w:proofErr w:type="spellEnd"/>
            <w:r w:rsidRPr="006E1F24">
              <w:rPr>
                <w:rFonts w:eastAsia="Times New Roman" w:cstheme="minorHAnsi"/>
                <w:color w:val="000000" w:themeColor="text1"/>
                <w:sz w:val="22"/>
                <w:szCs w:val="22"/>
                <w:lang w:eastAsia="en-AU"/>
              </w:rPr>
              <w:t>, 150-300 units) or, if compatible, to the hydration fluid. Patients taking salicylates (</w:t>
            </w:r>
            <w:proofErr w:type="spellStart"/>
            <w:r w:rsidRPr="006E1F24">
              <w:rPr>
                <w:rFonts w:eastAsia="Times New Roman" w:cstheme="minorHAnsi"/>
                <w:color w:val="000000" w:themeColor="text1"/>
                <w:sz w:val="22"/>
                <w:szCs w:val="22"/>
                <w:lang w:eastAsia="en-AU"/>
              </w:rPr>
              <w:t>e</w:t>
            </w:r>
            <w:r w:rsidR="006E1F24" w:rsidRPr="006E1F24">
              <w:rPr>
                <w:rFonts w:eastAsia="Times New Roman" w:cstheme="minorHAnsi"/>
                <w:color w:val="000000" w:themeColor="text1"/>
                <w:sz w:val="22"/>
                <w:szCs w:val="22"/>
                <w:lang w:eastAsia="en-AU"/>
              </w:rPr>
              <w:t>g</w:t>
            </w:r>
            <w:proofErr w:type="spellEnd"/>
            <w:r w:rsidRPr="006E1F24">
              <w:rPr>
                <w:rFonts w:eastAsia="Times New Roman" w:cstheme="minorHAnsi"/>
                <w:color w:val="000000" w:themeColor="text1"/>
                <w:sz w:val="22"/>
                <w:szCs w:val="22"/>
                <w:lang w:eastAsia="en-AU"/>
              </w:rPr>
              <w:t>, aspirin), steroids or antihistamines may require a larger dose of hyaluronidase for equivalent dispersing effect.</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-1","issued":{"date-parts":[["2020"]]},"title":"Subcutaneous hydration and medications infusions (effectiveness, safety, acceptability): A systematic review of systematic reviews","type":"article-journal"},"uris":["http://www.mendeley.com/documents/?uuid=dcdca528-53ad-4aba-a961-906f864ad0e8"]},{"id":"ITEM-2","itemData":{"author":[{"dropping-particle":"","family":"Wilhelm","given":"K","non-dropping-particle":"","parse-names":false,"suffix":""}],"id":"ITEM-2","issued":{"date-parts":[["2018"]]},"number-of-pages":"42","publisher":"University of Arizona","title":"A systematic review of hyaluronidase-assisted subcutaneous fluid administration in pediatrics and geriatrics and its potential application in low resource settings","type":"book"},"uris":["http://www.mendeley.com/documents/?uuid=798b7bb4-9b22-467e-b621-5d0f10405648"]},{"id":"ITEM-3","itemData":{"DOI":"10.1093/gerona/52A.3.M169","ISSN":"10795006","abstract":"Background. The purpose of the study was to evaluate the evidence supporting the use of hypodermoclysis (i.e., subcutaneous infusion of fluids) to treat dehydrated elderly patients, and to discuss clinical applications of this mode of therapy in the long-term care setting. Method. Articles reporting the use of hypodermoclysis were identified using a systematic MEDLINE search between January 1966 and May 1996. Articles were included in our sample if they contained original patient data that evaluated either the efficacy or adverse effects associated with the use of subcutaneous infusions to treat dehydration in adults, whether hyaluronidase was required to facilitate the absorption of subcutaneous fluid, or if potassium could be added to the solution. Results. Eighteen articles met the inclusion criteria. Since we hypothesized that adverse effects associated with hypodermoclysis may have been related largely to the use of nonelectrolyte or hypertonic solutions, the studies were evaluated according to the type of fluid administered. Six hundred and eighty-five patients were described in 13 studies evaluating the efficacy and toxicity of subcutaneously administered fluid. Four studies evaluated hypodermoclysis using electrolyte-containing solutions in 25 patients. Two of these were randomized control trials (RCT) that compared hypodermoclysis to intravenous therapy. Both reported similar absorption of fluids. In the single RCT that evaluated adverse effects, 4 of 17 patients receiving hypodermoclysis reported minor side effects similar to those reported with intravenous therapy. Adverse effects were more severe when electrolyte-free or hypertonic solutions were evaluated. Of the 639 patients who may have received electrolyte-free solutions, 16 patients (2.5%) reported adverse effects, 8 of which were severe. Both patients reported to have received hypertonic solutions noted adverse effects, one of which was severe. The use of hyaluronidase to facilitate absorption was evaluated in 74 patients. These studies suggest that hyaluronidase improves the speed of fluid absorption but may not change the patient's comfort level. A single case report of 350 subcutaneous infusions in 67 patients investigated the administration of up to 34 mmol/L of potassium chloride (KCl) by hypodermoclysis. The only adverse reaction observed was discomfort at the infusion site. Conclusions. Hypodermoclysis can be used to most safely provide fluids when electrolyte-containing fluids …","author":[{"dropping-particle":"","family":"Rochon","given":"Paula A.","non-dropping-particle":"","parse-names":false,"suffix":""},{"dropping-particle":"","family":"Gill","given":"Sudeep S.","non-dropping-particle":"","parse-names":false,"suffix":""},{"dropping-particle":"","family":"Litner","given":"Jason","non-dropping-particle":"","parse-names":false,"suffix":""},{"dropping-particle":"","family":"Fischbach","given":"Michelle","non-dropping-particle":"","parse-names":false,"suffix":""},{"dropping-particle":"","family":"Goodison","given":"Andrea J.","non-dropping-particle":"","parse-names":false,"suffix":""},{"dropping-particle":"","family":"Gordon","given":"Michael","non-dropping-particle":"","parse-names":false,"suffix":""}],"container-title":"Journals of Gerontology - Series A Biological Sciences and Medical Sciences","id":"ITEM-3","issue":"3","issued":{"date-parts":[["1997"]]},"title":"A systematic review of the evidence for hypodermoclysis to treat dehydration in older people","type":"article-journal","volume":"52"},"uris":["http://www.mendeley.com/documents/?uuid=ec747557-6a82-4a11-a8ee-2d2ca4efb0be"]},{"id":"ITEM-4","itemData":{"author":[{"dropping-particle":"","family":"Royal College of Nursing","given":"","non-dropping-particle":"","parse-names":false,"suffix":""}],"id":"ITEM-4","issued":{"date-parts":[["2016"]]},"publisher-place":"London, UK","title":"Standards for infusion therapy: 4th edition","type":"report"},"uris":["http://www.mendeley.com/documents/?uuid=dcb305c2-5372-4bd2-9460-5295fd568a30"]},{"id":"ITEM-5","itemData":{"DOI":"10.1017/S095925981500012X","ISSN":"14699036","abstract":"Patients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Gerontology","id":"ITEM-5","issue":"2","issued":{"date-parts":[["2015"]]},"page":"117-146","title":"Subcutaneous fluid and drug delivery: Safe, efficient and inexpensive","type":"article-journal","volume":"25"},"uris":["http://www.mendeley.com/documents/?uuid=8a6c7379-45d3-4c3e-81be-b47186d6ebd6"]},{"id":"ITEM-6","itemData":{"author":[{"dropping-particle":"","family":"Slesak","given":"Günther","non-dropping-particle":"","parse-names":false,"suffix":""},{"dropping-particle":"","family":"Schnürle","given":"Joachim W","non-dropping-particle":"","parse-names":false,"suffix":""},{"dropping-particle":"","family":"Kinzel","given":"Eduard","non-dropping-particle":"","parse-names":false,"suffix":""}],"container-title":"Journal of the American Geriatrics Society","id":"ITEM-6","issue":"2","issued":{"date-parts":[["2003"]]},"page":"155-160","title":"Comparison of subcutaneous and intravenous rehydration in geriatric patients: A randomized trial","type":"article-journal","volume":"51"},"uris":["http://www.mendeley.com/documents/?uuid=5e786f93-bada-44b2-b42c-a4b58421ce95"]},{"id":"ITEM-7","itemData":{"author":[{"dropping-particle":"","family":"Bruera","given":"E","non-dropping-particle":"","parse-names":false,"suffix":""},{"dropping-particle":"","family":"Neumann","given":"C M","non-dropping-particle":"","parse-names":false,"suffix":""},{"dropping-particle":"","family":"Pituskin","given":"E","non-dropping-particle":"","parse-names":false,"suffix":""},{"dropping-particle":"","family":"Calder","given":"K","non-dropping-particle":"","parse-names":false,"suffix":""},{"dropping-particle":"","family":"Hanson","given":"J","non-dropping-particle":"","parse-names":false,"suffix":""}],"container-title":"Annals of Oncology","id":"ITEM-7","issued":{"date-parts":[["1999"]]},"page":"1255-1258","title":"A randomized controlled trial of local injections of hyaluronidase versus placebo in cancer patients receiving subcutaneous hydration","type":"article-journal","volume":"10"},"uris":["http://www.mendeley.com/documents/?uuid=cee359a3-5329-4826-8e20-8c0eafe623be"]},{"id":"ITEM-8","itemData":{"author":[{"dropping-particle":"","family":"Challiner","given":"Yvonne C","non-dropping-particle":"","parse-names":false,"suffix":""},{"dropping-particle":"","family":"Jarrett","given":"D","non-dropping-particle":"","parse-names":false,"suffix":""},{"dropping-particle":"","family":"Hayward","given":"M J","non-dropping-particle":"","parse-names":false,"suffix":""},{"dropping-particle":"","family":"Al-Jubouri","given":"MA","non-dropping-particle":"","parse-names":false,"suffix":""},{"dropping-particle":"","family":"Julious","given":"S A","non-dropping-particle":"","parse-names":false,"suffix":""}],"container-title":"Postgrad Med J","id":"ITEM-8","issued":{"date-parts":[["1994"]]},"page":"195-197","title":"A comparison of intravenous and subcutaneous hydration in elderly acute stroke patients","type":"article-journal","volume":"70"},"uris":["http://www.mendeley.com/documents/?uuid=c6463762-601b-4908-8ebb-ed7885ea1f15"]}],"mendeley":{"formattedCitation":"&lt;sup&gt;1,10,13,25,27–29,31&lt;/sup&gt;","plainTextFormattedCitation":"1,10,13,25,27–29,31","previouslyFormattedCitation":"&lt;sup&gt;1,10,13,25,27–29,31&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1,10,13,26–</w:t>
            </w:r>
            <w:r w:rsidR="0033393B">
              <w:rPr>
                <w:rFonts w:eastAsia="Times" w:cstheme="minorHAnsi"/>
                <w:noProof/>
                <w:color w:val="231F20"/>
                <w:sz w:val="22"/>
                <w:szCs w:val="22"/>
                <w:vertAlign w:val="superscript"/>
              </w:rPr>
              <w:t>29</w:t>
            </w:r>
            <w:r w:rsidRPr="006E1F24">
              <w:rPr>
                <w:rFonts w:eastAsia="Times" w:cstheme="minorHAnsi"/>
                <w:noProof/>
                <w:color w:val="231F20"/>
                <w:sz w:val="22"/>
                <w:szCs w:val="22"/>
                <w:vertAlign w:val="superscript"/>
              </w:rPr>
              <w:t>,3</w:t>
            </w:r>
            <w:r w:rsidR="0033393B">
              <w:rPr>
                <w:rFonts w:eastAsia="Times" w:cstheme="minorHAnsi"/>
                <w:noProof/>
                <w:color w:val="231F20"/>
                <w:sz w:val="22"/>
                <w:szCs w:val="22"/>
                <w:vertAlign w:val="superscript"/>
              </w:rPr>
              <w:t>1</w:t>
            </w:r>
            <w:r w:rsidRPr="006E1F24">
              <w:rPr>
                <w:rFonts w:eastAsia="Times" w:cstheme="minorHAnsi"/>
                <w:color w:val="231F20"/>
                <w:sz w:val="22"/>
                <w:szCs w:val="22"/>
              </w:rPr>
              <w:fldChar w:fldCharType="end"/>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980212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384B407"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54FB48E2"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 (4-9)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727E5DC"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3CF3984E" w14:textId="77777777" w:rsidTr="00B467D3">
        <w:trPr>
          <w:trHeight w:val="315"/>
        </w:trPr>
        <w:tc>
          <w:tcPr>
            <w:tcW w:w="10201" w:type="dxa"/>
            <w:tcBorders>
              <w:top w:val="single" w:sz="4" w:space="0" w:color="F2F2F2" w:themeColor="background1" w:themeShade="F2"/>
              <w:bottom w:val="single" w:sz="4" w:space="0" w:color="auto"/>
            </w:tcBorders>
            <w:shd w:val="clear" w:color="000000" w:fill="FFFFFF"/>
            <w:vAlign w:val="center"/>
            <w:hideMark/>
          </w:tcPr>
          <w:p w14:paraId="7601FB75"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29. Consult drug information references or to determine stability/compatibility of hyaluronidase with infusates.</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author":[{"dropping-particle":"","family":"Gorski","given":"Lisa","non-dropping-particle":"","parse-names":false,"suffix":""},{"dropping-particle":"","family":"Hadaway","given":"Lynn","non-dropping-particle":"","parse-names":false,"suffix":""},{"dropping-particle":"","family":"Hagle","given":"E. E.","non-dropping-particle":"","parse-names":false,"suffix":""},{"dropping-particle":"","family":"McGoldrick","given":"M","non-dropping-particle":"","parse-names":false,"suffix":""},{"dropping-particle":"","family":"Orr","given":"M","non-dropping-particle":"","parse-names":false,"suffix":""},{"dropping-particle":"","family":"Doellman","given":"D","non-dropping-particle":"","parse-names":false,"suffix":""}],"container-title":"Journal of Infusion Nursing","id":"ITEM-1","issue":"1S","issued":{"date-parts":[["2016"]]},"page":"1-164","title":"Infusion therapy standards of practice","type":"article-journal","volume":"39"},"uris":["http://www.mendeley.com/documents/?uuid=50f980ef-88cc-4c13-b6fb-742474759ec2"]}],"mendeley":{"formattedCitation":"&lt;sup&gt;2&lt;/sup&gt;","plainTextFormattedCitation":"2","previouslyFormattedCitation":"&lt;sup&gt;2&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2</w:t>
            </w:r>
            <w:r w:rsidRPr="006E1F24">
              <w:rPr>
                <w:rFonts w:eastAsia="Times" w:cstheme="minorHAnsi"/>
                <w:color w:val="231F20"/>
                <w:sz w:val="22"/>
                <w:szCs w:val="22"/>
              </w:rPr>
              <w:fldChar w:fldCharType="end"/>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auto"/>
            </w:tcBorders>
            <w:shd w:val="clear" w:color="000000" w:fill="F9F9FB"/>
            <w:vAlign w:val="center"/>
            <w:hideMark/>
          </w:tcPr>
          <w:p w14:paraId="4518A353"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auto"/>
            </w:tcBorders>
            <w:shd w:val="clear" w:color="000000" w:fill="F9F9FB"/>
            <w:vAlign w:val="center"/>
            <w:hideMark/>
          </w:tcPr>
          <w:p w14:paraId="5D3E8FAD"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auto"/>
            </w:tcBorders>
            <w:shd w:val="clear" w:color="000000" w:fill="F9F9FB"/>
            <w:vAlign w:val="center"/>
            <w:hideMark/>
          </w:tcPr>
          <w:p w14:paraId="441AC899"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auto"/>
            </w:tcBorders>
            <w:shd w:val="clear" w:color="000000" w:fill="F9F9FB"/>
            <w:vAlign w:val="center"/>
            <w:hideMark/>
          </w:tcPr>
          <w:p w14:paraId="528E6CDF"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1DECADF5" w14:textId="77777777" w:rsidTr="00B467D3">
        <w:trPr>
          <w:trHeight w:val="315"/>
        </w:trPr>
        <w:tc>
          <w:tcPr>
            <w:tcW w:w="10201" w:type="dxa"/>
            <w:tcBorders>
              <w:bottom w:val="single" w:sz="4" w:space="0" w:color="F2F2F2" w:themeColor="background1" w:themeShade="F2"/>
            </w:tcBorders>
            <w:shd w:val="clear" w:color="000000" w:fill="FFFFFF"/>
            <w:vAlign w:val="center"/>
          </w:tcPr>
          <w:p w14:paraId="6826B463" w14:textId="555E097E" w:rsidR="00743CB8" w:rsidRPr="006E1F24" w:rsidRDefault="00743CB8" w:rsidP="00B467D3">
            <w:pPr>
              <w:keepNext/>
              <w:autoSpaceDE w:val="0"/>
              <w:autoSpaceDN w:val="0"/>
              <w:adjustRightInd w:val="0"/>
              <w:ind w:right="62"/>
              <w:rPr>
                <w:rFonts w:cstheme="minorHAnsi"/>
                <w:b/>
                <w:bCs/>
                <w:color w:val="000000" w:themeColor="text1"/>
                <w:sz w:val="22"/>
                <w:szCs w:val="22"/>
              </w:rPr>
            </w:pPr>
            <w:r w:rsidRPr="006E1F24">
              <w:rPr>
                <w:rFonts w:cstheme="minorHAnsi"/>
                <w:color w:val="000000" w:themeColor="text1"/>
                <w:sz w:val="22"/>
                <w:szCs w:val="22"/>
              </w:rPr>
              <w:t>30. Assess for adverse reactions to hyaluronidase (</w:t>
            </w:r>
            <w:proofErr w:type="spellStart"/>
            <w:r w:rsidRPr="006E1F24">
              <w:rPr>
                <w:rFonts w:cstheme="minorHAnsi"/>
                <w:color w:val="000000" w:themeColor="text1"/>
                <w:sz w:val="22"/>
                <w:szCs w:val="22"/>
              </w:rPr>
              <w:t>e</w:t>
            </w:r>
            <w:r w:rsidR="006E1F24" w:rsidRPr="006E1F24">
              <w:rPr>
                <w:rFonts w:cstheme="minorHAnsi"/>
                <w:color w:val="000000" w:themeColor="text1"/>
                <w:sz w:val="22"/>
                <w:szCs w:val="22"/>
              </w:rPr>
              <w:t>g</w:t>
            </w:r>
            <w:proofErr w:type="spellEnd"/>
            <w:r w:rsidRPr="006E1F24">
              <w:rPr>
                <w:rFonts w:cstheme="minorHAnsi"/>
                <w:color w:val="000000" w:themeColor="text1"/>
                <w:sz w:val="22"/>
                <w:szCs w:val="22"/>
              </w:rPr>
              <w:t>, mild local access site reactions, allergic or anaphylactic-like reactions).</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author":[{"dropping-particle":"","family":"Gorski","given":"Lisa","non-dropping-particle":"","parse-names":false,"suffix":""},{"dropping-particle":"","family":"Hadaway","given":"Lynn","non-dropping-particle":"","parse-names":false,"suffix":""},{"dropping-particle":"","family":"Hagle","given":"E. E.","non-dropping-particle":"","parse-names":false,"suffix":""},{"dropping-particle":"","family":"McGoldrick","given":"M","non-dropping-particle":"","parse-names":false,"suffix":""},{"dropping-particle":"","family":"Orr","given":"M","non-dropping-particle":"","parse-names":false,"suffix":""},{"dropping-particle":"","family":"Doellman","given":"D","non-dropping-particle":"","parse-names":false,"suffix":""}],"container-title":"Journal of Infusion Nursing","id":"ITEM-1","issue":"1S","issued":{"date-parts":[["2016"]]},"page":"1-164","title":"Infusion therapy standards of practice","type":"article-journal","volume":"39"},"uris":["http://www.mendeley.com/documents/?uuid=50f980ef-88cc-4c13-b6fb-742474759ec2"]}],"mendeley":{"formattedCitation":"&lt;sup&gt;2&lt;/sup&gt;","plainTextFormattedCitation":"2","previouslyFormattedCitation":"&lt;sup&gt;2&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2</w:t>
            </w:r>
            <w:r w:rsidRPr="006E1F24">
              <w:rPr>
                <w:rFonts w:eastAsia="Times" w:cstheme="minorHAnsi"/>
                <w:color w:val="231F20"/>
                <w:sz w:val="22"/>
                <w:szCs w:val="22"/>
              </w:rPr>
              <w:fldChar w:fldCharType="end"/>
            </w:r>
            <w:r w:rsidRPr="006E1F24">
              <w:rPr>
                <w:rFonts w:eastAsia="Times" w:cstheme="minorHAnsi"/>
                <w:color w:val="231F20"/>
                <w:sz w:val="22"/>
                <w:szCs w:val="22"/>
              </w:rPr>
              <w:t xml:space="preserve"> </w:t>
            </w:r>
          </w:p>
        </w:tc>
        <w:tc>
          <w:tcPr>
            <w:tcW w:w="709" w:type="dxa"/>
            <w:tcBorders>
              <w:bottom w:val="single" w:sz="4" w:space="0" w:color="F2F2F2" w:themeColor="background1" w:themeShade="F2"/>
            </w:tcBorders>
            <w:shd w:val="clear" w:color="000000" w:fill="F9F9FB"/>
            <w:vAlign w:val="center"/>
          </w:tcPr>
          <w:p w14:paraId="2FE321D1"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bottom w:val="single" w:sz="4" w:space="0" w:color="F2F2F2" w:themeColor="background1" w:themeShade="F2"/>
            </w:tcBorders>
            <w:shd w:val="clear" w:color="000000" w:fill="F9F9FB"/>
            <w:vAlign w:val="center"/>
          </w:tcPr>
          <w:p w14:paraId="37951F53"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bottom w:val="single" w:sz="4" w:space="0" w:color="F2F2F2" w:themeColor="background1" w:themeShade="F2"/>
            </w:tcBorders>
            <w:shd w:val="clear" w:color="000000" w:fill="F9F9FB"/>
            <w:vAlign w:val="center"/>
          </w:tcPr>
          <w:p w14:paraId="6EDF892B"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bottom w:val="single" w:sz="4" w:space="0" w:color="F2F2F2" w:themeColor="background1" w:themeShade="F2"/>
            </w:tcBorders>
            <w:shd w:val="clear" w:color="000000" w:fill="F9F9FB"/>
            <w:vAlign w:val="center"/>
          </w:tcPr>
          <w:p w14:paraId="109E248B"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2E79B8A2"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1BDA5218" w14:textId="139EFF0B"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 xml:space="preserve">31. Prior to accessing a </w:t>
            </w:r>
            <w:proofErr w:type="spellStart"/>
            <w:r w:rsidRPr="006E1F24">
              <w:rPr>
                <w:rFonts w:eastAsia="Times New Roman" w:cstheme="minorHAnsi"/>
                <w:color w:val="000000" w:themeColor="text1"/>
                <w:sz w:val="22"/>
                <w:szCs w:val="22"/>
                <w:lang w:eastAsia="en-AU"/>
              </w:rPr>
              <w:t>needlefree</w:t>
            </w:r>
            <w:proofErr w:type="spellEnd"/>
            <w:r w:rsidRPr="006E1F24">
              <w:rPr>
                <w:rFonts w:eastAsia="Times New Roman" w:cstheme="minorHAnsi"/>
                <w:color w:val="000000" w:themeColor="text1"/>
                <w:sz w:val="22"/>
                <w:szCs w:val="22"/>
                <w:lang w:eastAsia="en-AU"/>
              </w:rPr>
              <w:t xml:space="preserve"> connector on end of access device, perform active disinfection with a vigorous mechanical scrub using an antiseptic wipe, or use a disinfectant cap, and allow solution to dry</w:t>
            </w:r>
            <w:r w:rsidRPr="006E1F24">
              <w:rPr>
                <w:rFonts w:cstheme="minorHAnsi"/>
                <w:sz w:val="22"/>
                <w:szCs w:val="22"/>
              </w:rPr>
              <w:t>.</w:t>
            </w:r>
            <w:r w:rsidRPr="006E1F24">
              <w:rPr>
                <w:rFonts w:eastAsia="Times" w:cstheme="minorHAnsi"/>
                <w:noProof/>
                <w:color w:val="231F20"/>
                <w:sz w:val="22"/>
                <w:szCs w:val="22"/>
                <w:vertAlign w:val="superscript"/>
              </w:rPr>
              <w:t>9</w:t>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218C1E24"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76D0021"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BAABC8B"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(9-9)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00FF011"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r>
      <w:tr w:rsidR="00743CB8" w:rsidRPr="006E1F24" w14:paraId="0788B8A6"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0EACED74"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32. For administration of multiple solution/medications, consider using separate subcutaneous access device for each medication (flushing after each dose is not required). If using one device, and solutions/medications are compatible, do not flush between medications; if not compatible, flush device with sterile preservative-free 0.9% sodium chloride (volume of device and any add-on devices). The use of multiple sites versus multi-use sites for medication administration is an unresolved issue due to lack of evidence.</w:t>
            </w:r>
            <w:r w:rsidRPr="006E1F24">
              <w:rPr>
                <w:rFonts w:cstheme="minorHAnsi"/>
                <w:sz w:val="22"/>
                <w:szCs w:val="22"/>
              </w:rPr>
              <w:fldChar w:fldCharType="begin" w:fldLock="1"/>
            </w:r>
            <w:r w:rsidRPr="006E1F24">
              <w:rPr>
                <w:rFonts w:cstheme="minorHAnsi"/>
                <w:sz w:val="22"/>
                <w:szCs w:val="22"/>
              </w:rPr>
              <w:instrText>ADDIN CSL_CITATION {"citationItems":[{"id":"ITEM-1","itemData":{"DOI":"10.12968/bjon.2019.28.Sup14c.1","ISSN":"09660461","author":[{"dropping-particle":"","family":"Gabriel","given":"Janice","non-dropping-particle":"","parse-names":false,"suffix":""}],"container-title":"British Journal of Nursing","id":"ITEM-1","issue":"Sup14c","issued":{"date-parts":[["2019"]]},"page":"1-7","title":"A guide to subcutaneous infusion","type":"article-journal","volume":"28"},"uris":["http://www.mendeley.com/documents/?uuid=ad9580be-5793-4df3-99cf-cd98376b12d0"]},{"id":"ITEM-2","itemData":{"abstract":"Hypodermoclysis, or the subcutaneous administration of fluids, is a\\r\\nmethod of rehydration that is not routinely used in the UK. Yet it is\\r\\na simple and effective method o f fluid administration for individuals\\r\\nwith mild-to-moderate dehydration, especially for the frail and\\r\\nelderly (Sasson and Shvartzman, 2001). Subcutaneous infusion is an\\r\\nalternative route o f parenteral administration. It provides a number\\r\\no f advantages over the intravenous route for those individuals unable\\r\\nto tolerate enteral fluids, as it is associated with fewer complications,\\r\\nas well as a wider range of infusion sites. This makes it particularly\\r\\nadvantageous for frail and/or older patients requiring low-volume\\r\\nhydration in the community setting. This article discusses indications\\r\\nand contraindications for subcutaneous infusions, as well as patient\\r\\nassessment, placement, securement and potential complications.","author":[{"dropping-particle":"","family":"Gabriel","given":"J","non-dropping-particle":"","parse-names":false,"suffix":""}],"container-title":"Britsh Journal of Nursing","id":"ITEM-2","issue":"14","issued":{"date-parts":[["2014"]]},"page":"S10-S14","title":"Subcutaneus fluid administration and the hydration of older people","type":"article-journal","volume":"23"},"uris":["http://www.mendeley.com/documents/?uuid=115a8cda-fc43-4a46-b0c3-475dc75c3242"]},{"id":"ITEM-3","itemData":{"author":[{"dropping-particle":"","family":"Canadian Vascular Access Association","given":"","non-dropping-particle":"","parse-names":false,"suffix":""}],"id":"ITEM-3","issued":{"date-parts":[["2019"]]},"publisher":"Pappin Communications","publisher-place":"Pembroke, ON","title":"Canadian Vascular Access and Infusion Therapy Guidelines","type":"book"},"uris":["http://www.mendeley.com/documents/?uuid=51e21049-2167-4db2-a4ef-ae9f8d544f9f"]}],"mendeley":{"formattedCitation":"&lt;sup&gt;7,8,16&lt;/sup&gt;","plainTextFormattedCitation":"7,8,16","previouslyFormattedCitation":"&lt;sup&gt;7,8,16&lt;/sup&gt;"},"properties":{"noteIndex":0},"schema":"https://github.com/citation-style-language/schema/raw/master/csl-citation.json"}</w:instrText>
            </w:r>
            <w:r w:rsidRPr="006E1F24">
              <w:rPr>
                <w:rFonts w:cstheme="minorHAnsi"/>
                <w:sz w:val="22"/>
                <w:szCs w:val="22"/>
              </w:rPr>
              <w:fldChar w:fldCharType="separate"/>
            </w:r>
            <w:r w:rsidRPr="006E1F24">
              <w:rPr>
                <w:rFonts w:cstheme="minorHAnsi"/>
                <w:noProof/>
                <w:sz w:val="22"/>
                <w:szCs w:val="22"/>
                <w:vertAlign w:val="superscript"/>
              </w:rPr>
              <w:t>7,8,16</w:t>
            </w:r>
            <w:r w:rsidRPr="006E1F24">
              <w:rPr>
                <w:rFonts w:cstheme="minorHAnsi"/>
                <w:sz w:val="22"/>
                <w:szCs w:val="22"/>
              </w:rPr>
              <w:fldChar w:fldCharType="end"/>
            </w:r>
            <w:r w:rsidRPr="006E1F24">
              <w:rPr>
                <w:rFonts w:cstheme="minorHAnsi"/>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B1E436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30B713F"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90460A5"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 (7-9)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57FC5D0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42C30C30"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23205E25" w14:textId="21D57D60"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 xml:space="preserve">33. Replace access device, using new subcutaneous access device and site: </w:t>
            </w:r>
            <w:proofErr w:type="spellStart"/>
            <w:r w:rsidRPr="006E1F24">
              <w:rPr>
                <w:rFonts w:eastAsia="Times New Roman" w:cstheme="minorHAnsi"/>
                <w:color w:val="000000" w:themeColor="text1"/>
                <w:sz w:val="22"/>
                <w:szCs w:val="22"/>
                <w:lang w:eastAsia="en-AU"/>
              </w:rPr>
              <w:t>i</w:t>
            </w:r>
            <w:proofErr w:type="spellEnd"/>
            <w:r w:rsidRPr="006E1F24">
              <w:rPr>
                <w:rFonts w:eastAsia="Times New Roman" w:cstheme="minorHAnsi"/>
                <w:color w:val="000000" w:themeColor="text1"/>
                <w:sz w:val="22"/>
                <w:szCs w:val="22"/>
                <w:lang w:eastAsia="en-AU"/>
              </w:rPr>
              <w:t>) every 24 to 48 hours or after 1.5 to 2 litres of hydration solution has infused;  ii), every 2-7 days  for continuous medication infusions; with each intermittent infusion (</w:t>
            </w:r>
            <w:proofErr w:type="spellStart"/>
            <w:r w:rsidRPr="006E1F24">
              <w:rPr>
                <w:rFonts w:eastAsia="Times New Roman" w:cstheme="minorHAnsi"/>
                <w:color w:val="000000" w:themeColor="text1"/>
                <w:sz w:val="22"/>
                <w:szCs w:val="22"/>
                <w:lang w:eastAsia="en-AU"/>
              </w:rPr>
              <w:t>e</w:t>
            </w:r>
            <w:r w:rsidR="006E1F24" w:rsidRPr="006E1F24">
              <w:rPr>
                <w:rFonts w:eastAsia="Times New Roman" w:cstheme="minorHAnsi"/>
                <w:color w:val="000000" w:themeColor="text1"/>
                <w:sz w:val="22"/>
                <w:szCs w:val="22"/>
                <w:lang w:eastAsia="en-AU"/>
              </w:rPr>
              <w:t>g</w:t>
            </w:r>
            <w:proofErr w:type="spellEnd"/>
            <w:r w:rsidRPr="006E1F24">
              <w:rPr>
                <w:rFonts w:eastAsia="Times New Roman" w:cstheme="minorHAnsi"/>
                <w:color w:val="000000" w:themeColor="text1"/>
                <w:sz w:val="22"/>
                <w:szCs w:val="22"/>
                <w:lang w:eastAsia="en-AU"/>
              </w:rPr>
              <w:t>, SCIG, deferoxamine); or iii) As clinically indicated based on patient comfort and access site assessment findings (</w:t>
            </w:r>
            <w:proofErr w:type="spellStart"/>
            <w:r w:rsidRPr="006E1F24">
              <w:rPr>
                <w:rFonts w:eastAsia="Times New Roman" w:cstheme="minorHAnsi"/>
                <w:color w:val="000000" w:themeColor="text1"/>
                <w:sz w:val="22"/>
                <w:szCs w:val="22"/>
                <w:lang w:eastAsia="en-AU"/>
              </w:rPr>
              <w:t>e</w:t>
            </w:r>
            <w:r w:rsidR="006E1F24" w:rsidRPr="006E1F24">
              <w:rPr>
                <w:rFonts w:eastAsia="Times New Roman" w:cstheme="minorHAnsi"/>
                <w:color w:val="000000" w:themeColor="text1"/>
                <w:sz w:val="22"/>
                <w:szCs w:val="22"/>
                <w:lang w:eastAsia="en-AU"/>
              </w:rPr>
              <w:t>g</w:t>
            </w:r>
            <w:proofErr w:type="spellEnd"/>
            <w:r w:rsidRPr="006E1F24">
              <w:rPr>
                <w:rFonts w:eastAsia="Times New Roman" w:cstheme="minorHAnsi"/>
                <w:color w:val="000000" w:themeColor="text1"/>
                <w:sz w:val="22"/>
                <w:szCs w:val="22"/>
                <w:lang w:eastAsia="en-AU"/>
              </w:rPr>
              <w:t>, erythema, swelling, leaking, local bleeding, bruising, burning, abscess, or pain).</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{"citationItems":[{"id":"ITEM-1","itemData":{"DOI":"10.1017/S095925981500012X","ISSN":"14699036","abstract":"Patients with difficult venous access or oral intolerance and clinical situations with inadequate response to oral therapy have generated the need for alternative routes of delivery for drugs and fluids.The purpose of this study was to conduct a systematic review examining the evidence for subcutaneous (SC) administration of drugs and/or fluids.We used a broad search strategy using electronic databases CINAHL, EMBASE, PubMed and Cochrane library, key terms and ‘Medical Subject Headings’ (MeSH) such as ‘subcutaneous route’, ‘hypodermoclysis’ and the name/group of the most used drugs via this route (e.g. ‘ketorolac, morphine, ceftriaxone’, ‘analgesics, opioids, antibiotics’).We conclude that the SC route is an effective alternative for rehydration in patients with mild–moderate dehydration and offers a number of potential advantages in appropriately selected scenarios. Experience of administering drugs by this route suggests that it is well tolerated and is associated with minimal side-effects.","author":[{"dropping-particle":"","family":"Duems-Noriega","given":"Oscar","non-dropping-particle":"","parse-names":false,"suffix":""},{"dropping-particle":"","family":"Ariño-Blasco","given":"Sergio","non-dropping-particle":"","parse-names":false,"suffix":""}],"container-title":"Reviews in Clinical Gerontology","id":"ITEM-1","issue":"2","issued":{"date-parts":[["2015"]]},"page":"117-146","title":"Subcutaneous fluid and drug delivery: Safe, efficient and inexpensive","type":"article-journal","volume":"25"},"uris":["http://www.mendeley.com/documents/?uuid=8a6c7379-45d3-4c3e-81be-b47186d6ebd6"]},{"id":"ITEM-2","itemData":{"author":[{"dropping-particle":"","family":"Canadian Vascular Access Association","given":"","non-dropping-particle":"","parse-names":false,"suffix":""}],"id":"ITEM-2","issued":{"date-parts":[["2019"]]},"publisher":"Pappin Communications","publisher-place":"Pembroke, ON","title":"Canadian Vascular Access and Infusion Therapy Guidelines","type":"book"},"uris":["http://www.mendeley.com/documents/?uuid=51e21049-2167-4db2-a4ef-ae9f8d544f9f"]},{"id":"ITEM-3","itemData":{"author":[{"dropping-particle":"","family":"Royal College of Nursing","given":"","non-dropping-particle":"","parse-names":false,"suffix":""}],"id":"ITEM-3","issued":{"date-parts":[["2016"]]},"publisher-place":"London, UK","title":"Standards for infusion therapy: 4th edition","type":"report"},"uris":["http://www.mendeley.com/documents/?uuid=dcb305c2-5372-4bd2-9460-5295fd568a30"]},{"id":"ITEM-4","itemData":{"author":[{"dropping-particle":"","family":"Broadhurst","given":"DA","non-dropping-particle":"","parse-names":false,"suffix":""},{"dropping-particle":"","family":"Cooke","given":"MC","non-dropping-particle":"","parse-names":false,"suffix":""},{"dropping-particle":"","family":"Sriram","given":"D","non-dropping-particle":"","parse-names":false,"suffix":""},{"dropping-particle":"","family":"Grey","given":"B","non-dropping-particle":"","parse-names":false,"suffix":""}],"id":"ITEM-4","issued":{"date-parts":[["2020"]]},"title":"Subcutaneous hydration and medications infusions (effectiveness, safety, acceptability): A systematic review of systematic reviews","type":"article-journal"},"uris":["http://www.mendeley.com/documents/?uuid=dcdca528-53ad-4aba-a961-906f864ad0e8"]},{"id":"ITEM-5","itemData":{"DOI":"10.1200/JCO.2012.44.6518","author":[{"dropping-particle":"","family":"Bruera","given":"Eduardo","non-dropping-particle":"","parse-names":false,"suffix":""},{"dropping-particle":"","family":"Hui","given":"David","non-dropping-particle":"","parse-names":false,"suffix":""},{"dropping-particle":"","family":"Dalal","given":"Shalini","non-dropping-particle":"","parse-names":false,"suffix":""},{"dropping-particle":"","family":"Torres-vigil","given":"Isabel","non-dropping-particle":"","parse-names":false,"suffix":""},{"dropping-particle":"","family":"Trumble","given":"Joseph","non-dropping-particle":"","parse-names":false,"suffix":""},{"dropping-particle":"","family":"Roosth","given":"Joseph","non-dropping-particle":"","parse-names":false,"suffix":""},{"dropping-particle":"","family":"Krauter","given":"Susan","non-dropping-particle":"","parse-names":false,"suffix":""},{"dropping-particle":"","family":"Strickland","given":"Carol","non-dropping-particle":"","parse-names":false,"suffix":""},{"dropping-particle":"","family":"Unger","given":"Kenneth","non-dropping-particle":"","parse-names":false,"suffix":""},{"dropping-particle":"","family":"Palmer","given":"J Lynn","non-dropping-particle":"","parse-names":false,"suffix":""},{"dropping-particle":"","family":"Allo","given":"Julio","non-dropping-particle":"","parse-names":false,"suffix":""},{"dropping-particle":"","family":"Frisbee-hume","given":"Susan","non-dropping-particle":"","parse-names":false,"suffix":""},{"dropping-particle":"","family":"Tarleton","given":"Kenneth","non-dropping-particle":"","parse-names":false,"suffix":""},{"dropping-particle":"","family":"Bruera","given":"Eduardo","non-dropping-particle":"","parse-names":false,"suffix":""},{"dropping-particle":"","family":"Hui","given":"David","non-dropping-particle":"","parse-names":false,"suffix":""},{"dropping-particle":"","family":"Dalal","given":"Shalini","non-dropping-particle":"","parse-names":false,"suffix":""},{"dropping-particle":"","family":"Torres-vigil","given":"Isabel","non-dropping-particle":"","parse-names":false,"suffix":""},{"dropping-particle":"","family":"Palmer","given":"J Lynn","non-dropping-particle":"","parse-names":false,"suffix":""},{"dropping-particle":"","family":"Frisbee-hume","given":"Susan","non-dropping-particle":"","parse-names":false,"suffix":""}],"container-title":"Journal of Clinical Oncology","id":"ITEM-5","issue":"1","issued":{"date-parts":[["2013"]]},"page":"111-118","title":"Parenteral hydration in patients with advanced cancer: A multicenter, double-blind, placebo-controlled randomized trial","type":"article-journal","volume":"31"},"uris":["http://www.mendeley.com/documents/?uuid=46141de3-b885-44f4-9da2-83cf250190ce"]}],"mendeley":{"formattedCitation":"&lt;sup&gt;1,8,10,13,32&lt;/sup&gt;","plainTextFormattedCitation":"1,8,10,13,32","previouslyFormattedCitation":"&lt;sup&gt;1,8,10,13,32&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1,8,10,13,3</w:t>
            </w:r>
            <w:r w:rsidR="0033393B">
              <w:rPr>
                <w:rFonts w:eastAsia="Times" w:cstheme="minorHAnsi"/>
                <w:noProof/>
                <w:color w:val="231F20"/>
                <w:sz w:val="22"/>
                <w:szCs w:val="22"/>
                <w:vertAlign w:val="superscript"/>
              </w:rPr>
              <w:t>2</w:t>
            </w:r>
            <w:r w:rsidRPr="006E1F24">
              <w:rPr>
                <w:rFonts w:eastAsia="Times" w:cstheme="minorHAnsi"/>
                <w:color w:val="231F20"/>
                <w:sz w:val="22"/>
                <w:szCs w:val="22"/>
                <w:vertAlign w:val="superscript"/>
              </w:rPr>
              <w:fldChar w:fldCharType="end"/>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2BC880DE"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6048CCE"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79A919B"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 (5-9)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FD0A7D2"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1-9</w:t>
            </w:r>
          </w:p>
        </w:tc>
      </w:tr>
      <w:tr w:rsidR="00743CB8" w:rsidRPr="006E1F24" w14:paraId="0FF86F84"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4FB772AA"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34. Change the dressing with each subcutaneous site rotation and immediately if the integrity of the dressing is compromised.</w:t>
            </w:r>
            <w:r w:rsidRPr="006E1F24">
              <w:rPr>
                <w:rFonts w:eastAsia="Times" w:cstheme="minorHAnsi"/>
                <w:color w:val="231F20"/>
                <w:sz w:val="22"/>
                <w:szCs w:val="22"/>
                <w:vertAlign w:val="superscript"/>
              </w:rPr>
              <w:fldChar w:fldCharType="begin" w:fldLock="1"/>
            </w:r>
            <w:r w:rsidRPr="006E1F24">
              <w:rPr>
                <w:rFonts w:eastAsia="Times" w:cstheme="minorHAnsi"/>
                <w:color w:val="231F20"/>
                <w:sz w:val="22"/>
                <w:szCs w:val="22"/>
                <w:vertAlign w:val="superscript"/>
              </w:rPr>
              <w:instrText>ADDIN CSL_CITATION {"citationItems":[{"id":"ITEM-1","itemData":{"author":[{"dropping-particle":"","family":"Canadian Vascular Access Association","given":"","non-dropping-particle":"","parse-names":false,"suffix":""}],"id":"ITEM-1","issued":{"date-parts":[["2019"]]},"publisher":"Pappin Communications","publisher-place":"Pembroke, ON","title":"Canadian Vascular Access and Infusion Therapy Guidelines","type":"book"},"uris":["http://www.mendeley.com/documents/?uuid=51e21049-2167-4db2-a4ef-ae9f8d544f9f"]},{"id":"ITEM-2","itemData":{"author":[{"dropping-particle":"","family":"Royal College of Nursing","given":"","non-dropping-particle":"","parse-names":false,"suffix":""}],"id":"ITEM-2","issued":{"date-parts":[["2016"]]},"publisher-place":"London, UK","title":"Standards for infusion therapy: 4th edition","type":"report"},"uris":["http://www.mendeley.com/documents/?uuid=dcb305c2-5372-4bd2-9460-5295fd568a30"]}],"mendeley":{"formattedCitation":"&lt;sup&gt;8,13&lt;/sup&gt;","plainTextFormattedCitation":"8,13","previouslyFormattedCitation":"&lt;sup&gt;8,13&lt;/sup&gt;"},"properties":{"noteIndex":0},"schema":"https://github.com/citation-style-language/schema/raw/master/csl-citation.json"}</w:instrText>
            </w:r>
            <w:r w:rsidRPr="006E1F24">
              <w:rPr>
                <w:rFonts w:eastAsia="Times" w:cstheme="minorHAnsi"/>
                <w:color w:val="231F20"/>
                <w:sz w:val="22"/>
                <w:szCs w:val="22"/>
                <w:vertAlign w:val="superscript"/>
              </w:rPr>
              <w:fldChar w:fldCharType="separate"/>
            </w:r>
            <w:r w:rsidRPr="006E1F24">
              <w:rPr>
                <w:rFonts w:eastAsia="Times" w:cstheme="minorHAnsi"/>
                <w:noProof/>
                <w:color w:val="231F20"/>
                <w:sz w:val="22"/>
                <w:szCs w:val="22"/>
                <w:vertAlign w:val="superscript"/>
              </w:rPr>
              <w:t>8,13</w:t>
            </w:r>
            <w:r w:rsidRPr="006E1F24">
              <w:rPr>
                <w:rFonts w:eastAsia="Times" w:cstheme="minorHAnsi"/>
                <w:color w:val="231F20"/>
                <w:sz w:val="22"/>
                <w:szCs w:val="22"/>
                <w:vertAlign w:val="superscript"/>
              </w:rPr>
              <w:fldChar w:fldCharType="end"/>
            </w:r>
            <w:r w:rsidRPr="006E1F24">
              <w:rPr>
                <w:rFonts w:eastAsia="Times" w:cstheme="minorHAnsi"/>
                <w:color w:val="231F20"/>
                <w:sz w:val="22"/>
                <w:szCs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BB6CCCF"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3EDBEE00"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64656CF"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237D10C1"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8-9</w:t>
            </w:r>
          </w:p>
        </w:tc>
      </w:tr>
      <w:tr w:rsidR="00743CB8" w:rsidRPr="006E1F24" w14:paraId="681EDDE9"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48DAE5A8"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35. Teach patient and/or caregiver to monitor the site, response to therapy, infusion device, and post-removal care. If self-administration is being performed, validate learning of patient and/or caregiver in subcutaneous infusion management.</w:t>
            </w:r>
            <w:r w:rsidRPr="006E1F24">
              <w:rPr>
                <w:rFonts w:eastAsia="Times" w:cstheme="minorHAnsi"/>
                <w:color w:val="231F20"/>
                <w:sz w:val="22"/>
                <w:szCs w:val="22"/>
              </w:rPr>
              <w:fldChar w:fldCharType="begin" w:fldLock="1"/>
            </w:r>
            <w:r w:rsidRPr="006E1F24">
              <w:rPr>
                <w:rFonts w:eastAsia="Times" w:cstheme="minorHAnsi"/>
                <w:color w:val="231F20"/>
                <w:sz w:val="22"/>
                <w:szCs w:val="22"/>
              </w:rPr>
              <w:instrText>ADDIN CSL_CITATION {"citationItems":[{"id":"ITEM-1","itemData":{"DOI":"10.1016/j.jpainsymman.2016.04.009","ISSN":"0885-3924","author":[{"dropping-particle":"","family":"Vidal","given":"Marieberta","non-dropping-particle":"","parse-names":false,"suffix":""},{"dropping-particle":"","family":"Hui","given":"David","non-dropping-particle":"","parse-names":false,"suffix":""},{"dropping-particle":"","family":"Williams","given":"Janet","non-dropping-particle":"","parse-names":false,"suffix":""},{"dropping-particle":"","family":"Bruera","given":"Eduardo","non-dropping-particle":"","parse-names":false,"suffix":""}],"container-title":"Journal of Pain and Symptom Management","id":"ITEM-1","issue":"4","issued":{"date-parts":[["2016"]]},"page":"570-574","publisher":"Elsevier Inc","title":"A prospective ptudy of hypodermoclysis performed by caregivers in the home setting","type":"article-journal","volume":"52"},"uris":["http://www.mendeley.com/documents/?uuid=ef6eecf9-88ba-4122-ab2c-ee4a0497b33c"]}],"mendeley":{"formattedCitation":"&lt;sup&gt;6&lt;/sup&gt;","plainTextFormattedCitation":"6","previouslyFormattedCitation":"&lt;sup&gt;6&lt;/sup&gt;"},"properties":{"noteIndex":0},"schema":"https://github.com/citation-style-language/schema/raw/master/csl-citation.json"}</w:instrText>
            </w:r>
            <w:r w:rsidRPr="006E1F24">
              <w:rPr>
                <w:rFonts w:eastAsia="Times" w:cstheme="minorHAnsi"/>
                <w:color w:val="231F20"/>
                <w:sz w:val="22"/>
                <w:szCs w:val="22"/>
              </w:rPr>
              <w:fldChar w:fldCharType="separate"/>
            </w:r>
            <w:r w:rsidRPr="006E1F24">
              <w:rPr>
                <w:rFonts w:eastAsia="Times" w:cstheme="minorHAnsi"/>
                <w:noProof/>
                <w:color w:val="231F20"/>
                <w:sz w:val="22"/>
                <w:szCs w:val="22"/>
                <w:vertAlign w:val="superscript"/>
              </w:rPr>
              <w:t>6</w:t>
            </w:r>
            <w:r w:rsidRPr="006E1F24">
              <w:rPr>
                <w:rFonts w:eastAsia="Times" w:cstheme="minorHAnsi"/>
                <w:color w:val="231F20"/>
                <w:sz w:val="22"/>
                <w:szCs w:val="22"/>
              </w:rPr>
              <w:fldChar w:fldCharType="end"/>
            </w:r>
            <w:r w:rsidRPr="006E1F24">
              <w:rPr>
                <w:rFonts w:cstheme="minorHAnsi"/>
                <w:sz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10A93B8C"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475E1159"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ECC529A"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7F89E4E3"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8-9</w:t>
            </w:r>
          </w:p>
        </w:tc>
      </w:tr>
      <w:tr w:rsidR="00743CB8" w:rsidRPr="006E1F24" w14:paraId="6356FA80" w14:textId="77777777" w:rsidTr="00B467D3">
        <w:trPr>
          <w:trHeight w:val="315"/>
        </w:trPr>
        <w:tc>
          <w:tcPr>
            <w:tcW w:w="10201" w:type="dxa"/>
            <w:tcBorders>
              <w:top w:val="single" w:sz="4" w:space="0" w:color="F2F2F2" w:themeColor="background1" w:themeShade="F2"/>
              <w:bottom w:val="single" w:sz="4" w:space="0" w:color="F2F2F2" w:themeColor="background1" w:themeShade="F2"/>
            </w:tcBorders>
            <w:shd w:val="clear" w:color="000000" w:fill="FFFFFF"/>
            <w:vAlign w:val="center"/>
            <w:hideMark/>
          </w:tcPr>
          <w:p w14:paraId="033420D2" w14:textId="77777777" w:rsidR="00743CB8" w:rsidRPr="006E1F24" w:rsidRDefault="00743CB8" w:rsidP="00B467D3">
            <w:pPr>
              <w:keepNext/>
              <w:rPr>
                <w:rFonts w:eastAsia="Times New Roman" w:cstheme="minorHAnsi"/>
                <w:b/>
                <w:bCs/>
                <w:color w:val="000000" w:themeColor="text1"/>
                <w:sz w:val="22"/>
                <w:szCs w:val="22"/>
                <w:lang w:eastAsia="en-AU"/>
              </w:rPr>
            </w:pPr>
            <w:r w:rsidRPr="006E1F24">
              <w:rPr>
                <w:rFonts w:eastAsia="Times New Roman" w:cstheme="minorHAnsi"/>
                <w:color w:val="000000" w:themeColor="text1"/>
                <w:sz w:val="22"/>
                <w:szCs w:val="22"/>
                <w:lang w:eastAsia="en-AU"/>
              </w:rPr>
              <w:t>36. Discontinue infusion therapy when indicated: stop the infusion, remove the dressing and subcutaneous set, and apply dry dressing over site.</w:t>
            </w:r>
            <w:r w:rsidRPr="006E1F24">
              <w:rPr>
                <w:rFonts w:cstheme="minorHAnsi"/>
                <w:sz w:val="22"/>
              </w:rPr>
              <w:t xml:space="preserve"> [C]</w:t>
            </w:r>
          </w:p>
        </w:tc>
        <w:tc>
          <w:tcPr>
            <w:tcW w:w="709"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01DBBE5B"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6622670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50D74A55"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vAlign w:val="center"/>
            <w:hideMark/>
          </w:tcPr>
          <w:p w14:paraId="6E4B8C6C"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6-9</w:t>
            </w:r>
          </w:p>
        </w:tc>
      </w:tr>
      <w:tr w:rsidR="00743CB8" w:rsidRPr="006E1F24" w14:paraId="582C0FF1" w14:textId="77777777" w:rsidTr="00B467D3">
        <w:trPr>
          <w:trHeight w:val="315"/>
        </w:trPr>
        <w:tc>
          <w:tcPr>
            <w:tcW w:w="10201" w:type="dxa"/>
            <w:tcBorders>
              <w:top w:val="single" w:sz="4" w:space="0" w:color="F2F2F2" w:themeColor="background1" w:themeShade="F2"/>
            </w:tcBorders>
            <w:shd w:val="clear" w:color="000000" w:fill="FFFFFF"/>
            <w:vAlign w:val="center"/>
            <w:hideMark/>
          </w:tcPr>
          <w:p w14:paraId="1AD4F6AA" w14:textId="725BE3D5"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37. Document fluid/medication type, volume, rate and time administered, care provided, and assessments, complications, response to treatment</w:t>
            </w:r>
            <w:r w:rsidR="006E1F24" w:rsidRPr="006E1F24">
              <w:rPr>
                <w:rFonts w:eastAsia="Times New Roman" w:cstheme="minorHAnsi"/>
                <w:color w:val="000000" w:themeColor="text1"/>
                <w:sz w:val="22"/>
                <w:szCs w:val="22"/>
                <w:lang w:eastAsia="en-AU"/>
              </w:rPr>
              <w:t>,</w:t>
            </w:r>
            <w:r w:rsidRPr="006E1F24">
              <w:rPr>
                <w:rFonts w:eastAsia="Times New Roman" w:cstheme="minorHAnsi"/>
                <w:color w:val="000000" w:themeColor="text1"/>
                <w:sz w:val="22"/>
                <w:szCs w:val="22"/>
                <w:lang w:eastAsia="en-AU"/>
              </w:rPr>
              <w:t xml:space="preserve"> other related interventions or communications. [</w:t>
            </w:r>
            <w:r w:rsidRPr="006E1F24">
              <w:rPr>
                <w:rFonts w:cstheme="minorHAnsi"/>
                <w:sz w:val="22"/>
              </w:rPr>
              <w:t>C]</w:t>
            </w:r>
          </w:p>
        </w:tc>
        <w:tc>
          <w:tcPr>
            <w:tcW w:w="709" w:type="dxa"/>
            <w:tcBorders>
              <w:top w:val="single" w:sz="4" w:space="0" w:color="F2F2F2" w:themeColor="background1" w:themeShade="F2"/>
            </w:tcBorders>
            <w:shd w:val="clear" w:color="000000" w:fill="F9F9FB"/>
            <w:vAlign w:val="center"/>
            <w:hideMark/>
          </w:tcPr>
          <w:p w14:paraId="77079C64"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10</w:t>
            </w:r>
          </w:p>
        </w:tc>
        <w:tc>
          <w:tcPr>
            <w:tcW w:w="992" w:type="dxa"/>
            <w:tcBorders>
              <w:top w:val="single" w:sz="4" w:space="0" w:color="F2F2F2" w:themeColor="background1" w:themeShade="F2"/>
            </w:tcBorders>
            <w:shd w:val="clear" w:color="000000" w:fill="F9F9FB"/>
            <w:vAlign w:val="center"/>
            <w:hideMark/>
          </w:tcPr>
          <w:p w14:paraId="7A0790DA"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0</w:t>
            </w:r>
          </w:p>
        </w:tc>
        <w:tc>
          <w:tcPr>
            <w:tcW w:w="993" w:type="dxa"/>
            <w:tcBorders>
              <w:top w:val="single" w:sz="4" w:space="0" w:color="F2F2F2" w:themeColor="background1" w:themeShade="F2"/>
            </w:tcBorders>
            <w:shd w:val="clear" w:color="auto" w:fill="auto"/>
            <w:vAlign w:val="center"/>
            <w:hideMark/>
          </w:tcPr>
          <w:p w14:paraId="0F4CE406"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9 (9-9)</w:t>
            </w:r>
          </w:p>
        </w:tc>
        <w:tc>
          <w:tcPr>
            <w:tcW w:w="850" w:type="dxa"/>
            <w:tcBorders>
              <w:top w:val="single" w:sz="4" w:space="0" w:color="F2F2F2" w:themeColor="background1" w:themeShade="F2"/>
            </w:tcBorders>
            <w:shd w:val="clear" w:color="auto" w:fill="auto"/>
            <w:vAlign w:val="center"/>
            <w:hideMark/>
          </w:tcPr>
          <w:p w14:paraId="13D47227" w14:textId="77777777" w:rsidR="00743CB8" w:rsidRPr="006E1F24" w:rsidRDefault="00743CB8" w:rsidP="00B467D3">
            <w:pPr>
              <w:keepNext/>
              <w:rPr>
                <w:rFonts w:eastAsia="Times New Roman" w:cstheme="minorHAnsi"/>
                <w:color w:val="000000" w:themeColor="text1"/>
                <w:sz w:val="22"/>
                <w:szCs w:val="22"/>
                <w:lang w:eastAsia="en-AU"/>
              </w:rPr>
            </w:pPr>
            <w:r w:rsidRPr="006E1F24">
              <w:rPr>
                <w:rFonts w:eastAsia="Times New Roman" w:cstheme="minorHAnsi"/>
                <w:color w:val="000000" w:themeColor="text1"/>
                <w:sz w:val="22"/>
                <w:szCs w:val="22"/>
                <w:lang w:eastAsia="en-AU"/>
              </w:rPr>
              <w:t>8-9</w:t>
            </w:r>
          </w:p>
        </w:tc>
      </w:tr>
    </w:tbl>
    <w:tbl>
      <w:tblPr>
        <w:tblW w:w="13745" w:type="dxa"/>
        <w:tblBorders>
          <w:top w:val="single" w:sz="4" w:space="0" w:color="auto"/>
          <w:bottom w:val="single" w:sz="4" w:space="0" w:color="auto"/>
          <w:insideH w:val="single" w:sz="4" w:space="0" w:color="auto"/>
        </w:tblBorders>
        <w:tblLook w:val="04A0" w:firstRow="1" w:lastRow="0" w:firstColumn="1" w:lastColumn="0" w:noHBand="0" w:noVBand="1"/>
      </w:tblPr>
      <w:tblGrid>
        <w:gridCol w:w="10240"/>
        <w:gridCol w:w="3505"/>
      </w:tblGrid>
      <w:tr w:rsidR="00743CB8" w:rsidRPr="006E1F24" w14:paraId="1F92E6FF" w14:textId="77777777" w:rsidTr="00B467D3">
        <w:trPr>
          <w:trHeight w:val="275"/>
        </w:trPr>
        <w:tc>
          <w:tcPr>
            <w:tcW w:w="10240" w:type="dxa"/>
            <w:tcBorders>
              <w:bottom w:val="single" w:sz="4" w:space="0" w:color="auto"/>
            </w:tcBorders>
            <w:shd w:val="clear" w:color="auto" w:fill="F9F9FB"/>
          </w:tcPr>
          <w:p w14:paraId="2D6C7F39"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eastAsia="Times New Roman" w:cstheme="minorHAnsi"/>
                <w:b/>
                <w:bCs/>
                <w:sz w:val="22"/>
                <w:szCs w:val="22"/>
                <w:lang w:eastAsia="en-AU"/>
              </w:rPr>
              <w:t xml:space="preserve">Qualitative Data </w:t>
            </w:r>
            <w:r w:rsidRPr="006E1F24">
              <w:rPr>
                <w:rFonts w:eastAsia="Times New Roman" w:cstheme="minorHAnsi"/>
                <w:sz w:val="22"/>
                <w:szCs w:val="22"/>
                <w:lang w:eastAsia="en-AU"/>
              </w:rPr>
              <w:t>(Participants’ Comments)</w:t>
            </w:r>
          </w:p>
        </w:tc>
        <w:tc>
          <w:tcPr>
            <w:tcW w:w="3505" w:type="dxa"/>
            <w:tcBorders>
              <w:bottom w:val="single" w:sz="4" w:space="0" w:color="auto"/>
            </w:tcBorders>
            <w:shd w:val="clear" w:color="auto" w:fill="auto"/>
          </w:tcPr>
          <w:p w14:paraId="36596C0C" w14:textId="77777777" w:rsidR="00743CB8" w:rsidRPr="006E1F24" w:rsidRDefault="00743CB8" w:rsidP="00B467D3">
            <w:pPr>
              <w:jc w:val="both"/>
              <w:rPr>
                <w:rFonts w:eastAsia="Times New Roman" w:cstheme="minorHAnsi"/>
                <w:b/>
                <w:bCs/>
                <w:sz w:val="22"/>
                <w:szCs w:val="22"/>
                <w:lang w:eastAsia="en-AU"/>
              </w:rPr>
            </w:pPr>
            <w:r w:rsidRPr="006E1F24">
              <w:rPr>
                <w:rFonts w:eastAsia="Times New Roman" w:cstheme="minorHAnsi"/>
                <w:b/>
                <w:bCs/>
                <w:sz w:val="22"/>
                <w:szCs w:val="22"/>
                <w:lang w:eastAsia="en-AU"/>
              </w:rPr>
              <w:t>Research Committee Response</w:t>
            </w:r>
          </w:p>
        </w:tc>
      </w:tr>
      <w:tr w:rsidR="00743CB8" w:rsidRPr="006E1F24" w14:paraId="505756F3" w14:textId="77777777" w:rsidTr="00B467D3">
        <w:trPr>
          <w:trHeight w:val="1152"/>
        </w:trPr>
        <w:tc>
          <w:tcPr>
            <w:tcW w:w="10240" w:type="dxa"/>
            <w:tcBorders>
              <w:bottom w:val="nil"/>
            </w:tcBorders>
            <w:shd w:val="clear" w:color="auto" w:fill="F9F9FB"/>
          </w:tcPr>
          <w:p w14:paraId="61B487EC"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 xml:space="preserve">Recommendation 22: I think administration sets should be changed every 24 h also for continuous infusions. </w:t>
            </w:r>
          </w:p>
        </w:tc>
        <w:tc>
          <w:tcPr>
            <w:tcW w:w="3505" w:type="dxa"/>
            <w:tcBorders>
              <w:bottom w:val="nil"/>
            </w:tcBorders>
            <w:shd w:val="clear" w:color="auto" w:fill="auto"/>
          </w:tcPr>
          <w:p w14:paraId="65CF46EB"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No change to recommendation </w:t>
            </w:r>
          </w:p>
          <w:p w14:paraId="5BE08B92"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(No supporting evidence provided; recommendation supported by cited best practice guidelines)</w:t>
            </w:r>
          </w:p>
        </w:tc>
      </w:tr>
      <w:tr w:rsidR="00743CB8" w:rsidRPr="006E1F24" w14:paraId="4D35B3AB" w14:textId="77777777" w:rsidTr="00B467D3">
        <w:trPr>
          <w:trHeight w:val="853"/>
        </w:trPr>
        <w:tc>
          <w:tcPr>
            <w:tcW w:w="10240" w:type="dxa"/>
            <w:tcBorders>
              <w:top w:val="nil"/>
              <w:bottom w:val="nil"/>
            </w:tcBorders>
            <w:shd w:val="clear" w:color="auto" w:fill="F9F9FB"/>
          </w:tcPr>
          <w:p w14:paraId="41AF8C3B"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Recommendation 24: needs to allow for latitude in monitoring frequency for home care patients as nurse will not be there for extended period of time - patient/caregiver education regarding frequency and what to look for is essential.</w:t>
            </w:r>
          </w:p>
        </w:tc>
        <w:tc>
          <w:tcPr>
            <w:tcW w:w="3505" w:type="dxa"/>
            <w:tcBorders>
              <w:top w:val="nil"/>
              <w:bottom w:val="nil"/>
            </w:tcBorders>
            <w:shd w:val="clear" w:color="auto" w:fill="auto"/>
          </w:tcPr>
          <w:p w14:paraId="06A3991D"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Recommendation to be amended</w:t>
            </w:r>
            <w:r w:rsidRPr="006E1F24">
              <w:rPr>
                <w:rFonts w:cstheme="minorHAnsi"/>
                <w:sz w:val="22"/>
                <w:szCs w:val="22"/>
              </w:rPr>
              <w:t xml:space="preserve"> </w:t>
            </w:r>
          </w:p>
        </w:tc>
      </w:tr>
      <w:tr w:rsidR="00743CB8" w:rsidRPr="006E1F24" w14:paraId="4CB6BB26" w14:textId="77777777" w:rsidTr="00B467D3">
        <w:trPr>
          <w:trHeight w:val="570"/>
        </w:trPr>
        <w:tc>
          <w:tcPr>
            <w:tcW w:w="10240" w:type="dxa"/>
            <w:tcBorders>
              <w:top w:val="nil"/>
              <w:bottom w:val="nil"/>
            </w:tcBorders>
            <w:shd w:val="clear" w:color="auto" w:fill="F9F9FB"/>
          </w:tcPr>
          <w:p w14:paraId="203A8190"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Recommendation 24: Monitoring the patient with medications in a syringe pump would need to be done sooner than one hour and the site and infusion every 4 hours.</w:t>
            </w:r>
          </w:p>
        </w:tc>
        <w:tc>
          <w:tcPr>
            <w:tcW w:w="3505" w:type="dxa"/>
            <w:tcBorders>
              <w:top w:val="nil"/>
              <w:bottom w:val="nil"/>
            </w:tcBorders>
            <w:shd w:val="clear" w:color="auto" w:fill="auto"/>
          </w:tcPr>
          <w:p w14:paraId="7F892E0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Recommendation to be amended</w:t>
            </w:r>
          </w:p>
        </w:tc>
      </w:tr>
      <w:tr w:rsidR="00743CB8" w:rsidRPr="006E1F24" w14:paraId="78E681E3" w14:textId="77777777" w:rsidTr="00B467D3">
        <w:trPr>
          <w:trHeight w:val="852"/>
        </w:trPr>
        <w:tc>
          <w:tcPr>
            <w:tcW w:w="10240" w:type="dxa"/>
            <w:tcBorders>
              <w:top w:val="nil"/>
              <w:bottom w:val="nil"/>
            </w:tcBorders>
            <w:shd w:val="clear" w:color="auto" w:fill="F9F9FB"/>
          </w:tcPr>
          <w:p w14:paraId="1936721B"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Recommendation 24: Assessment, specifically in home infusion, is not possible in high frequency due to limitations in nurse visits. I would suggest to delineate that out of the above in order to make note and not set a standard that would eliminate ability to provide the service at all.</w:t>
            </w:r>
          </w:p>
        </w:tc>
        <w:tc>
          <w:tcPr>
            <w:tcW w:w="3505" w:type="dxa"/>
            <w:tcBorders>
              <w:top w:val="nil"/>
              <w:bottom w:val="nil"/>
            </w:tcBorders>
            <w:shd w:val="clear" w:color="auto" w:fill="auto"/>
          </w:tcPr>
          <w:p w14:paraId="58C42C5B" w14:textId="77777777" w:rsidR="00743CB8" w:rsidRPr="006E1F24" w:rsidRDefault="00743CB8" w:rsidP="00B467D3">
            <w:pPr>
              <w:pStyle w:val="CommentText"/>
              <w:rPr>
                <w:rFonts w:cstheme="minorHAnsi"/>
                <w:sz w:val="22"/>
                <w:szCs w:val="22"/>
              </w:rPr>
            </w:pPr>
            <w:r w:rsidRPr="006E1F24">
              <w:rPr>
                <w:rFonts w:cstheme="minorHAnsi"/>
                <w:sz w:val="22"/>
                <w:szCs w:val="22"/>
              </w:rPr>
              <w:t>Recommendation to be amended</w:t>
            </w:r>
            <w:r w:rsidRPr="006E1F24">
              <w:rPr>
                <w:rFonts w:cstheme="minorHAnsi"/>
                <w:sz w:val="22"/>
                <w:szCs w:val="22"/>
              </w:rPr>
              <w:br/>
            </w:r>
          </w:p>
        </w:tc>
      </w:tr>
      <w:tr w:rsidR="00743CB8" w:rsidRPr="006E1F24" w14:paraId="3A7EA02B" w14:textId="77777777" w:rsidTr="00B467D3">
        <w:trPr>
          <w:trHeight w:val="1154"/>
        </w:trPr>
        <w:tc>
          <w:tcPr>
            <w:tcW w:w="10240" w:type="dxa"/>
            <w:tcBorders>
              <w:top w:val="nil"/>
              <w:bottom w:val="nil"/>
            </w:tcBorders>
            <w:shd w:val="clear" w:color="auto" w:fill="F9F9FB"/>
          </w:tcPr>
          <w:p w14:paraId="3E11D1B5"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 xml:space="preserve">Recommendation 27: There is no literature that supports the need for hyaluronidase when administrating subcutaneous hydration in adults on the indication of mild to moderate dehydration or in patients at risk of dehydration. Therefore, I don’t think it should be considered to use hyaluronidase. For infusion of medicine, there is some literature supporting enhanced absorption, why it could be considered. </w:t>
            </w:r>
          </w:p>
        </w:tc>
        <w:tc>
          <w:tcPr>
            <w:tcW w:w="3505" w:type="dxa"/>
            <w:tcBorders>
              <w:top w:val="nil"/>
              <w:bottom w:val="nil"/>
            </w:tcBorders>
            <w:shd w:val="clear" w:color="auto" w:fill="auto"/>
          </w:tcPr>
          <w:p w14:paraId="4CA6EA7D" w14:textId="77777777" w:rsidR="00743CB8" w:rsidRPr="006E1F24" w:rsidRDefault="00743CB8" w:rsidP="00B467D3">
            <w:pPr>
              <w:rPr>
                <w:rFonts w:eastAsia="Times New Roman" w:cstheme="minorHAnsi"/>
                <w:sz w:val="22"/>
                <w:szCs w:val="22"/>
                <w:lang w:eastAsia="en-AU"/>
              </w:rPr>
            </w:pPr>
            <w:r w:rsidRPr="006E1F24">
              <w:rPr>
                <w:rFonts w:cstheme="minorHAnsi"/>
                <w:sz w:val="22"/>
                <w:szCs w:val="22"/>
              </w:rPr>
              <w:t>No change to recommendation as consensus threshold met (limited supporting evidence</w:t>
            </w:r>
            <w:r w:rsidRPr="006E1F24">
              <w:rPr>
                <w:rFonts w:cstheme="minorHAnsi"/>
                <w:sz w:val="22"/>
                <w:szCs w:val="22"/>
                <w:vertAlign w:val="superscript"/>
              </w:rPr>
              <w:t>23</w:t>
            </w:r>
            <w:r w:rsidRPr="006E1F24">
              <w:rPr>
                <w:rFonts w:cstheme="minorHAnsi"/>
                <w:sz w:val="22"/>
                <w:szCs w:val="22"/>
              </w:rPr>
              <w:t xml:space="preserve"> available for use with hypodermoclysis in adults (weak recommendation is acknowledged through the use of “consider” and specific situations suggested)</w:t>
            </w:r>
          </w:p>
        </w:tc>
      </w:tr>
      <w:tr w:rsidR="00743CB8" w:rsidRPr="006E1F24" w14:paraId="130977FB" w14:textId="77777777" w:rsidTr="00B467D3">
        <w:trPr>
          <w:trHeight w:val="609"/>
        </w:trPr>
        <w:tc>
          <w:tcPr>
            <w:tcW w:w="10240" w:type="dxa"/>
            <w:tcBorders>
              <w:top w:val="nil"/>
              <w:bottom w:val="nil"/>
            </w:tcBorders>
            <w:shd w:val="clear" w:color="auto" w:fill="F9F9FB"/>
          </w:tcPr>
          <w:p w14:paraId="26D35489" w14:textId="77777777" w:rsidR="00743CB8" w:rsidRPr="006E1F24" w:rsidRDefault="00743CB8" w:rsidP="00B467D3">
            <w:pPr>
              <w:pStyle w:val="ListParagraph"/>
              <w:autoSpaceDE w:val="0"/>
              <w:autoSpaceDN w:val="0"/>
              <w:adjustRightInd w:val="0"/>
              <w:ind w:left="0"/>
              <w:rPr>
                <w:rFonts w:cstheme="minorHAnsi"/>
                <w:sz w:val="22"/>
                <w:szCs w:val="22"/>
              </w:rPr>
            </w:pPr>
            <w:r w:rsidRPr="006E1F24">
              <w:rPr>
                <w:rFonts w:cstheme="minorHAnsi"/>
                <w:sz w:val="22"/>
                <w:szCs w:val="22"/>
              </w:rPr>
              <w:t xml:space="preserve">Recommendation 28: As with 27, I disagree with the statement that there is a need for hyaluronidase when infusing fluid. </w:t>
            </w:r>
          </w:p>
        </w:tc>
        <w:tc>
          <w:tcPr>
            <w:tcW w:w="3505" w:type="dxa"/>
            <w:tcBorders>
              <w:top w:val="nil"/>
              <w:bottom w:val="nil"/>
            </w:tcBorders>
            <w:shd w:val="clear" w:color="auto" w:fill="auto"/>
          </w:tcPr>
          <w:p w14:paraId="145EC71E" w14:textId="77777777" w:rsidR="00743CB8" w:rsidRPr="006E1F24" w:rsidRDefault="00743CB8" w:rsidP="00B467D3">
            <w:pPr>
              <w:rPr>
                <w:rFonts w:eastAsia="Times New Roman" w:cstheme="minorHAnsi"/>
                <w:sz w:val="22"/>
                <w:szCs w:val="22"/>
                <w:lang w:eastAsia="en-AU"/>
              </w:rPr>
            </w:pPr>
            <w:r w:rsidRPr="006E1F24">
              <w:rPr>
                <w:rFonts w:cstheme="minorHAnsi"/>
                <w:sz w:val="22"/>
                <w:szCs w:val="22"/>
              </w:rPr>
              <w:t>No change to recommendation (as per previous comment)</w:t>
            </w:r>
          </w:p>
        </w:tc>
      </w:tr>
      <w:tr w:rsidR="00743CB8" w:rsidRPr="006E1F24" w14:paraId="07F91FF4" w14:textId="77777777" w:rsidTr="00B467D3">
        <w:trPr>
          <w:trHeight w:val="298"/>
        </w:trPr>
        <w:tc>
          <w:tcPr>
            <w:tcW w:w="10240" w:type="dxa"/>
            <w:tcBorders>
              <w:top w:val="nil"/>
              <w:bottom w:val="nil"/>
            </w:tcBorders>
            <w:shd w:val="clear" w:color="auto" w:fill="F9F9FB"/>
          </w:tcPr>
          <w:p w14:paraId="6D4CA6DB" w14:textId="77777777" w:rsidR="00743CB8" w:rsidRPr="006E1F24" w:rsidRDefault="00743CB8" w:rsidP="00B467D3">
            <w:pPr>
              <w:pStyle w:val="ListParagraph"/>
              <w:autoSpaceDE w:val="0"/>
              <w:autoSpaceDN w:val="0"/>
              <w:adjustRightInd w:val="0"/>
              <w:ind w:left="0"/>
              <w:rPr>
                <w:rFonts w:cstheme="minorHAnsi"/>
                <w:sz w:val="22"/>
                <w:szCs w:val="22"/>
              </w:rPr>
            </w:pPr>
            <w:r w:rsidRPr="006E1F24">
              <w:rPr>
                <w:rFonts w:cstheme="minorHAnsi"/>
                <w:sz w:val="22"/>
                <w:szCs w:val="22"/>
              </w:rPr>
              <w:t>There is little evidence for using Hyaluronidase to prevent development of site reactions in CSCI via syringe pumps.</w:t>
            </w:r>
          </w:p>
        </w:tc>
        <w:tc>
          <w:tcPr>
            <w:tcW w:w="3505" w:type="dxa"/>
            <w:tcBorders>
              <w:top w:val="nil"/>
              <w:bottom w:val="nil"/>
            </w:tcBorders>
            <w:shd w:val="clear" w:color="auto" w:fill="auto"/>
          </w:tcPr>
          <w:p w14:paraId="30AA151F" w14:textId="77777777" w:rsidR="00743CB8" w:rsidRPr="006E1F24" w:rsidRDefault="00743CB8" w:rsidP="00B467D3">
            <w:pPr>
              <w:rPr>
                <w:rFonts w:eastAsia="Times New Roman" w:cstheme="minorHAnsi"/>
                <w:sz w:val="22"/>
                <w:szCs w:val="22"/>
                <w:lang w:eastAsia="en-AU"/>
              </w:rPr>
            </w:pPr>
            <w:r w:rsidRPr="006E1F24">
              <w:rPr>
                <w:rFonts w:cstheme="minorHAnsi"/>
                <w:sz w:val="22"/>
                <w:szCs w:val="22"/>
              </w:rPr>
              <w:t>No change to recommendation (Recommendation does not address specific devices and uses the term “consider”)</w:t>
            </w:r>
          </w:p>
        </w:tc>
      </w:tr>
      <w:tr w:rsidR="00743CB8" w:rsidRPr="006E1F24" w14:paraId="45F48BC7" w14:textId="77777777" w:rsidTr="00B467D3">
        <w:trPr>
          <w:trHeight w:val="563"/>
        </w:trPr>
        <w:tc>
          <w:tcPr>
            <w:tcW w:w="10240" w:type="dxa"/>
            <w:tcBorders>
              <w:top w:val="nil"/>
              <w:bottom w:val="nil"/>
            </w:tcBorders>
            <w:shd w:val="clear" w:color="auto" w:fill="F9F9FB"/>
          </w:tcPr>
          <w:p w14:paraId="7B4B975F"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 xml:space="preserve">Recommendations 27-30: There is little evidence for using Hyaluronidase to prevent development of site reactions in CSCI via syringe pumps. </w:t>
            </w:r>
          </w:p>
        </w:tc>
        <w:tc>
          <w:tcPr>
            <w:tcW w:w="3505" w:type="dxa"/>
            <w:tcBorders>
              <w:top w:val="nil"/>
              <w:bottom w:val="nil"/>
            </w:tcBorders>
            <w:shd w:val="clear" w:color="auto" w:fill="auto"/>
          </w:tcPr>
          <w:p w14:paraId="1DFB1F82" w14:textId="77777777" w:rsidR="00743CB8" w:rsidRPr="006E1F24" w:rsidRDefault="00743CB8" w:rsidP="00B467D3">
            <w:pPr>
              <w:pStyle w:val="CommentText"/>
              <w:rPr>
                <w:rFonts w:cstheme="minorHAnsi"/>
                <w:sz w:val="22"/>
                <w:szCs w:val="22"/>
              </w:rPr>
            </w:pPr>
            <w:r w:rsidRPr="006E1F24">
              <w:rPr>
                <w:rFonts w:cstheme="minorHAnsi"/>
                <w:sz w:val="22"/>
                <w:szCs w:val="22"/>
              </w:rPr>
              <w:t>No change to recommendation (as per previous comment)</w:t>
            </w:r>
          </w:p>
        </w:tc>
      </w:tr>
      <w:tr w:rsidR="00743CB8" w:rsidRPr="006E1F24" w14:paraId="4FE11AAE" w14:textId="77777777" w:rsidTr="00B467D3">
        <w:trPr>
          <w:trHeight w:val="855"/>
        </w:trPr>
        <w:tc>
          <w:tcPr>
            <w:tcW w:w="10240" w:type="dxa"/>
            <w:tcBorders>
              <w:top w:val="nil"/>
              <w:bottom w:val="nil"/>
            </w:tcBorders>
            <w:shd w:val="clear" w:color="auto" w:fill="F9F9FB"/>
          </w:tcPr>
          <w:p w14:paraId="51A32B0E" w14:textId="16379B9A"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 xml:space="preserve">Recommendation 32: If a medication is administered via a stand-alone subcutaneous cannula </w:t>
            </w:r>
            <w:proofErr w:type="spellStart"/>
            <w:r w:rsidRPr="006E1F24">
              <w:rPr>
                <w:rFonts w:cstheme="minorHAnsi"/>
                <w:sz w:val="22"/>
                <w:szCs w:val="22"/>
              </w:rPr>
              <w:t>e</w:t>
            </w:r>
            <w:r w:rsidR="006E1F24" w:rsidRPr="006E1F24">
              <w:rPr>
                <w:rFonts w:cstheme="minorHAnsi"/>
                <w:sz w:val="22"/>
                <w:szCs w:val="22"/>
              </w:rPr>
              <w:t>g</w:t>
            </w:r>
            <w:proofErr w:type="spellEnd"/>
            <w:r w:rsidRPr="006E1F24">
              <w:rPr>
                <w:rFonts w:cstheme="minorHAnsi"/>
                <w:sz w:val="22"/>
                <w:szCs w:val="22"/>
              </w:rPr>
              <w:t>, for PRN medication if there is no flush after each dose this would mean that the complete dose of the medication wasn't given.</w:t>
            </w:r>
          </w:p>
        </w:tc>
        <w:tc>
          <w:tcPr>
            <w:tcW w:w="3505" w:type="dxa"/>
            <w:tcBorders>
              <w:top w:val="nil"/>
              <w:bottom w:val="nil"/>
            </w:tcBorders>
            <w:shd w:val="clear" w:color="auto" w:fill="auto"/>
          </w:tcPr>
          <w:p w14:paraId="7BB7A926" w14:textId="77777777" w:rsidR="00743CB8" w:rsidRPr="006E1F24" w:rsidRDefault="00743CB8" w:rsidP="00B467D3">
            <w:pPr>
              <w:rPr>
                <w:rFonts w:eastAsia="Times New Roman" w:cstheme="minorHAnsi"/>
                <w:sz w:val="22"/>
                <w:szCs w:val="22"/>
                <w:lang w:eastAsia="en-AU"/>
              </w:rPr>
            </w:pPr>
            <w:r w:rsidRPr="006E1F24">
              <w:rPr>
                <w:rFonts w:cstheme="minorHAnsi"/>
                <w:sz w:val="22"/>
                <w:szCs w:val="22"/>
              </w:rPr>
              <w:t>No change to recommendation (Recommendation does not refer to bolus)</w:t>
            </w:r>
          </w:p>
        </w:tc>
      </w:tr>
      <w:tr w:rsidR="00743CB8" w:rsidRPr="006E1F24" w14:paraId="6FCD9892" w14:textId="77777777" w:rsidTr="00B467D3">
        <w:trPr>
          <w:trHeight w:val="569"/>
        </w:trPr>
        <w:tc>
          <w:tcPr>
            <w:tcW w:w="10240" w:type="dxa"/>
            <w:tcBorders>
              <w:top w:val="nil"/>
              <w:bottom w:val="nil"/>
            </w:tcBorders>
            <w:shd w:val="clear" w:color="auto" w:fill="F9F9FB"/>
          </w:tcPr>
          <w:p w14:paraId="09C95311" w14:textId="77777777" w:rsidR="00743CB8" w:rsidRPr="006E1F24" w:rsidRDefault="00743CB8" w:rsidP="00B467D3">
            <w:pPr>
              <w:pStyle w:val="ListParagraph"/>
              <w:autoSpaceDE w:val="0"/>
              <w:autoSpaceDN w:val="0"/>
              <w:adjustRightInd w:val="0"/>
              <w:ind w:left="0"/>
              <w:rPr>
                <w:rFonts w:cstheme="minorHAnsi"/>
                <w:sz w:val="22"/>
                <w:szCs w:val="22"/>
              </w:rPr>
            </w:pPr>
            <w:r w:rsidRPr="006E1F24">
              <w:rPr>
                <w:rFonts w:cstheme="minorHAnsi"/>
                <w:sz w:val="22"/>
                <w:szCs w:val="22"/>
              </w:rPr>
              <w:t>Recommendation 33: I agree if it is only statement iii that is kept. I have no knowledge if any research that recommends that the access device need to be changed after 1.5-2 l of fluid has been infused.</w:t>
            </w:r>
          </w:p>
        </w:tc>
        <w:tc>
          <w:tcPr>
            <w:tcW w:w="3505" w:type="dxa"/>
            <w:tcBorders>
              <w:top w:val="nil"/>
              <w:bottom w:val="nil"/>
            </w:tcBorders>
            <w:shd w:val="clear" w:color="auto" w:fill="auto"/>
          </w:tcPr>
          <w:p w14:paraId="0B845C17"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Recommendation to be amended </w:t>
            </w:r>
          </w:p>
        </w:tc>
      </w:tr>
      <w:tr w:rsidR="00743CB8" w:rsidRPr="006E1F24" w14:paraId="7682AF02" w14:textId="77777777" w:rsidTr="00B467D3">
        <w:trPr>
          <w:trHeight w:val="705"/>
        </w:trPr>
        <w:tc>
          <w:tcPr>
            <w:tcW w:w="10240" w:type="dxa"/>
            <w:tcBorders>
              <w:top w:val="nil"/>
              <w:bottom w:val="nil"/>
            </w:tcBorders>
            <w:shd w:val="clear" w:color="auto" w:fill="F9F9FB"/>
          </w:tcPr>
          <w:p w14:paraId="3D631E69" w14:textId="77777777" w:rsidR="00743CB8" w:rsidRPr="006E1F24" w:rsidRDefault="00743CB8" w:rsidP="00B467D3">
            <w:pPr>
              <w:autoSpaceDE w:val="0"/>
              <w:autoSpaceDN w:val="0"/>
              <w:adjustRightInd w:val="0"/>
              <w:rPr>
                <w:rFonts w:cstheme="minorHAnsi"/>
                <w:sz w:val="22"/>
                <w:szCs w:val="22"/>
              </w:rPr>
            </w:pPr>
            <w:r w:rsidRPr="006E1F24">
              <w:rPr>
                <w:rFonts w:cstheme="minorHAnsi"/>
                <w:sz w:val="22"/>
                <w:szCs w:val="22"/>
              </w:rPr>
              <w:t>Recommendation 33: I think access device should be replaced every 48 h-72 h at latest for continuous medication infusions.</w:t>
            </w:r>
          </w:p>
        </w:tc>
        <w:tc>
          <w:tcPr>
            <w:tcW w:w="3505" w:type="dxa"/>
            <w:tcBorders>
              <w:top w:val="nil"/>
              <w:bottom w:val="nil"/>
            </w:tcBorders>
            <w:shd w:val="clear" w:color="auto" w:fill="auto"/>
          </w:tcPr>
          <w:p w14:paraId="1E928846" w14:textId="77777777" w:rsidR="00743CB8" w:rsidRPr="006E1F24" w:rsidRDefault="00743CB8" w:rsidP="00B467D3">
            <w:pPr>
              <w:rPr>
                <w:rFonts w:eastAsia="Times New Roman" w:cstheme="minorHAnsi"/>
                <w:sz w:val="22"/>
                <w:szCs w:val="22"/>
                <w:lang w:eastAsia="en-AU"/>
              </w:rPr>
            </w:pPr>
            <w:r w:rsidRPr="006E1F24">
              <w:rPr>
                <w:rFonts w:cstheme="minorHAnsi"/>
                <w:sz w:val="22"/>
                <w:szCs w:val="22"/>
              </w:rPr>
              <w:t>Recommendation to be amended</w:t>
            </w:r>
          </w:p>
        </w:tc>
      </w:tr>
      <w:tr w:rsidR="00743CB8" w:rsidRPr="006E1F24" w14:paraId="625AC3D1" w14:textId="77777777" w:rsidTr="00B467D3">
        <w:trPr>
          <w:trHeight w:val="313"/>
        </w:trPr>
        <w:tc>
          <w:tcPr>
            <w:tcW w:w="10240" w:type="dxa"/>
            <w:tcBorders>
              <w:top w:val="nil"/>
              <w:bottom w:val="nil"/>
            </w:tcBorders>
            <w:shd w:val="clear" w:color="auto" w:fill="F9F9FB"/>
          </w:tcPr>
          <w:p w14:paraId="0E80C7CE" w14:textId="77777777" w:rsidR="00743CB8" w:rsidRPr="006E1F24" w:rsidRDefault="00743CB8" w:rsidP="00B467D3">
            <w:pPr>
              <w:spacing w:after="160" w:line="259" w:lineRule="auto"/>
              <w:rPr>
                <w:rFonts w:cstheme="minorHAnsi"/>
                <w:sz w:val="22"/>
                <w:szCs w:val="22"/>
              </w:rPr>
            </w:pPr>
            <w:r w:rsidRPr="006E1F24">
              <w:rPr>
                <w:rFonts w:cstheme="minorHAnsi"/>
                <w:sz w:val="22"/>
                <w:szCs w:val="22"/>
              </w:rPr>
              <w:t xml:space="preserve">Recommendation 33: The access device should last more than 48 hours before replacement. </w:t>
            </w:r>
          </w:p>
        </w:tc>
        <w:tc>
          <w:tcPr>
            <w:tcW w:w="3505" w:type="dxa"/>
            <w:tcBorders>
              <w:top w:val="nil"/>
              <w:bottom w:val="nil"/>
            </w:tcBorders>
            <w:shd w:val="clear" w:color="auto" w:fill="auto"/>
          </w:tcPr>
          <w:p w14:paraId="7D7DE8D9" w14:textId="77777777" w:rsidR="00743CB8" w:rsidRPr="006E1F24" w:rsidRDefault="00743CB8" w:rsidP="00B467D3">
            <w:pPr>
              <w:pStyle w:val="CommentText"/>
              <w:rPr>
                <w:rFonts w:cstheme="minorHAnsi"/>
                <w:sz w:val="22"/>
                <w:szCs w:val="22"/>
              </w:rPr>
            </w:pPr>
            <w:r w:rsidRPr="006E1F24">
              <w:rPr>
                <w:rFonts w:cstheme="minorHAnsi"/>
                <w:sz w:val="22"/>
                <w:szCs w:val="22"/>
              </w:rPr>
              <w:t>Recommendation to be amended</w:t>
            </w:r>
          </w:p>
        </w:tc>
      </w:tr>
      <w:tr w:rsidR="00743CB8" w:rsidRPr="006E1F24" w14:paraId="06E2BBD7" w14:textId="77777777" w:rsidTr="00B467D3">
        <w:trPr>
          <w:trHeight w:val="298"/>
        </w:trPr>
        <w:tc>
          <w:tcPr>
            <w:tcW w:w="10240" w:type="dxa"/>
            <w:tcBorders>
              <w:top w:val="nil"/>
            </w:tcBorders>
            <w:shd w:val="clear" w:color="auto" w:fill="F9F9FB"/>
          </w:tcPr>
          <w:p w14:paraId="4F1713D9" w14:textId="77777777" w:rsidR="00743CB8" w:rsidRPr="00A162FD" w:rsidRDefault="00743CB8" w:rsidP="00B467D3">
            <w:pPr>
              <w:autoSpaceDE w:val="0"/>
              <w:autoSpaceDN w:val="0"/>
              <w:adjustRightInd w:val="0"/>
              <w:rPr>
                <w:rFonts w:cstheme="minorHAnsi"/>
                <w:sz w:val="22"/>
                <w:szCs w:val="22"/>
              </w:rPr>
            </w:pPr>
            <w:r w:rsidRPr="006E1F24">
              <w:rPr>
                <w:rFonts w:cstheme="minorHAnsi"/>
                <w:sz w:val="22"/>
                <w:szCs w:val="22"/>
              </w:rPr>
              <w:t>Recommendation 37: Include diluent also for meds delivered via CSCI.</w:t>
            </w:r>
          </w:p>
        </w:tc>
        <w:tc>
          <w:tcPr>
            <w:tcW w:w="3505" w:type="dxa"/>
            <w:tcBorders>
              <w:top w:val="nil"/>
            </w:tcBorders>
            <w:shd w:val="clear" w:color="auto" w:fill="auto"/>
          </w:tcPr>
          <w:p w14:paraId="43614D64" w14:textId="77777777" w:rsidR="00743CB8" w:rsidRPr="006E1F24" w:rsidRDefault="00743CB8" w:rsidP="00B467D3">
            <w:pPr>
              <w:pStyle w:val="CommentText"/>
              <w:rPr>
                <w:rFonts w:cstheme="minorHAnsi"/>
                <w:sz w:val="22"/>
                <w:szCs w:val="22"/>
              </w:rPr>
            </w:pPr>
            <w:r w:rsidRPr="006E1F24">
              <w:rPr>
                <w:rFonts w:cstheme="minorHAnsi"/>
                <w:sz w:val="22"/>
                <w:szCs w:val="22"/>
              </w:rPr>
              <w:t>Recommendation to be amended</w:t>
            </w:r>
          </w:p>
        </w:tc>
      </w:tr>
    </w:tbl>
    <w:p w14:paraId="75FA3CD7" w14:textId="5E5753FF" w:rsidR="00743CB8" w:rsidRPr="00A162FD" w:rsidRDefault="00743CB8" w:rsidP="00743CB8">
      <w:pPr>
        <w:rPr>
          <w:rFonts w:cstheme="minorHAnsi"/>
        </w:rPr>
      </w:pPr>
    </w:p>
    <w:p w14:paraId="1BFD0B21" w14:textId="6F9D0D25" w:rsidR="00743CB8" w:rsidRPr="00A162FD" w:rsidRDefault="00743CB8" w:rsidP="00743CB8">
      <w:pPr>
        <w:pStyle w:val="Heading2"/>
        <w:numPr>
          <w:ilvl w:val="1"/>
          <w:numId w:val="2"/>
        </w:numPr>
        <w:rPr>
          <w:rFonts w:asciiTheme="minorHAnsi" w:hAnsiTheme="minorHAnsi" w:cstheme="minorHAnsi"/>
          <w:b/>
          <w:bCs/>
        </w:rPr>
      </w:pPr>
      <w:bookmarkStart w:id="3" w:name="_Toc61445816"/>
      <w:r w:rsidRPr="00A162FD">
        <w:rPr>
          <w:rFonts w:asciiTheme="minorHAnsi" w:hAnsiTheme="minorHAnsi" w:cstheme="minorHAnsi"/>
          <w:b/>
          <w:bCs/>
        </w:rPr>
        <w:t>Recommendations for Competency and Quality in Subcutaneous Infusion Therapy</w:t>
      </w:r>
      <w:bookmarkEnd w:id="3"/>
      <w:r w:rsidRPr="00A162FD">
        <w:rPr>
          <w:rFonts w:asciiTheme="minorHAnsi" w:hAnsiTheme="minorHAnsi" w:cstheme="minorHAnsi"/>
          <w:b/>
          <w:bCs/>
        </w:rPr>
        <w:t xml:space="preserve"> </w:t>
      </w:r>
    </w:p>
    <w:tbl>
      <w:tblPr>
        <w:tblW w:w="13887" w:type="dxa"/>
        <w:tblBorders>
          <w:top w:val="single" w:sz="4" w:space="0" w:color="auto"/>
          <w:bottom w:val="single" w:sz="4" w:space="0" w:color="auto"/>
          <w:insideH w:val="single" w:sz="4" w:space="0" w:color="auto"/>
        </w:tblBorders>
        <w:tblLook w:val="04A0" w:firstRow="1" w:lastRow="0" w:firstColumn="1" w:lastColumn="0" w:noHBand="0" w:noVBand="1"/>
      </w:tblPr>
      <w:tblGrid>
        <w:gridCol w:w="10293"/>
        <w:gridCol w:w="709"/>
        <w:gridCol w:w="1117"/>
        <w:gridCol w:w="918"/>
        <w:gridCol w:w="850"/>
      </w:tblGrid>
      <w:tr w:rsidR="00743CB8" w:rsidRPr="006E1F24" w14:paraId="7D4077D3" w14:textId="77777777" w:rsidTr="00B467D3">
        <w:trPr>
          <w:cantSplit/>
          <w:trHeight w:val="304"/>
        </w:trPr>
        <w:tc>
          <w:tcPr>
            <w:tcW w:w="10310" w:type="dxa"/>
            <w:vMerge w:val="restart"/>
            <w:shd w:val="clear" w:color="auto" w:fill="D9D9D9" w:themeFill="background1" w:themeFillShade="D9"/>
            <w:vAlign w:val="center"/>
            <w:hideMark/>
          </w:tcPr>
          <w:p w14:paraId="55A0B0C0"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Recommendation</w:t>
            </w:r>
          </w:p>
        </w:tc>
        <w:tc>
          <w:tcPr>
            <w:tcW w:w="1826" w:type="dxa"/>
            <w:gridSpan w:val="2"/>
            <w:shd w:val="clear" w:color="auto" w:fill="D9D9D9" w:themeFill="background1" w:themeFillShade="D9"/>
            <w:hideMark/>
          </w:tcPr>
          <w:p w14:paraId="10A9A5B2"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N</w:t>
            </w:r>
          </w:p>
        </w:tc>
        <w:tc>
          <w:tcPr>
            <w:tcW w:w="901" w:type="dxa"/>
            <w:vMerge w:val="restart"/>
            <w:shd w:val="clear" w:color="auto" w:fill="D9D9D9" w:themeFill="background1" w:themeFillShade="D9"/>
            <w:hideMark/>
          </w:tcPr>
          <w:p w14:paraId="57465F60"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Median</w:t>
            </w:r>
          </w:p>
          <w:p w14:paraId="41C5CB2E"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(IQR)</w:t>
            </w:r>
          </w:p>
        </w:tc>
        <w:tc>
          <w:tcPr>
            <w:tcW w:w="850" w:type="dxa"/>
            <w:vMerge w:val="restart"/>
            <w:shd w:val="clear" w:color="auto" w:fill="D9D9D9" w:themeFill="background1" w:themeFillShade="D9"/>
            <w:hideMark/>
          </w:tcPr>
          <w:p w14:paraId="5C106D5D"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Range</w:t>
            </w:r>
          </w:p>
        </w:tc>
      </w:tr>
      <w:tr w:rsidR="00743CB8" w:rsidRPr="006E1F24" w14:paraId="0AEFECF4" w14:textId="77777777" w:rsidTr="00B467D3">
        <w:trPr>
          <w:trHeight w:val="116"/>
        </w:trPr>
        <w:tc>
          <w:tcPr>
            <w:tcW w:w="10310" w:type="dxa"/>
            <w:vMerge/>
            <w:tcBorders>
              <w:bottom w:val="single" w:sz="4" w:space="0" w:color="auto"/>
            </w:tcBorders>
            <w:hideMark/>
          </w:tcPr>
          <w:p w14:paraId="2D41E133" w14:textId="77777777" w:rsidR="00743CB8" w:rsidRPr="006E1F24" w:rsidRDefault="00743CB8" w:rsidP="00B467D3">
            <w:pPr>
              <w:rPr>
                <w:rFonts w:eastAsia="Times New Roman" w:cstheme="minorHAnsi"/>
                <w:sz w:val="22"/>
                <w:szCs w:val="22"/>
                <w:lang w:eastAsia="en-AU"/>
              </w:rPr>
            </w:pPr>
          </w:p>
        </w:tc>
        <w:tc>
          <w:tcPr>
            <w:tcW w:w="709" w:type="dxa"/>
            <w:tcBorders>
              <w:bottom w:val="single" w:sz="4" w:space="0" w:color="auto"/>
            </w:tcBorders>
            <w:shd w:val="clear" w:color="000000" w:fill="E0E0E0"/>
            <w:hideMark/>
          </w:tcPr>
          <w:p w14:paraId="53692BA1"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Valid</w:t>
            </w:r>
          </w:p>
        </w:tc>
        <w:tc>
          <w:tcPr>
            <w:tcW w:w="1117" w:type="dxa"/>
            <w:tcBorders>
              <w:bottom w:val="single" w:sz="4" w:space="0" w:color="auto"/>
            </w:tcBorders>
            <w:shd w:val="clear" w:color="000000" w:fill="E0E0E0"/>
            <w:hideMark/>
          </w:tcPr>
          <w:p w14:paraId="04BBB1FC" w14:textId="77777777" w:rsidR="00743CB8" w:rsidRPr="006E1F24" w:rsidRDefault="00743CB8" w:rsidP="00B467D3">
            <w:pPr>
              <w:rPr>
                <w:rFonts w:eastAsia="Times New Roman" w:cstheme="minorHAnsi"/>
                <w:b/>
                <w:bCs/>
                <w:sz w:val="22"/>
                <w:szCs w:val="22"/>
                <w:lang w:eastAsia="en-AU"/>
              </w:rPr>
            </w:pPr>
            <w:r w:rsidRPr="006E1F24">
              <w:rPr>
                <w:rFonts w:eastAsia="Times New Roman" w:cstheme="minorHAnsi"/>
                <w:b/>
                <w:bCs/>
                <w:sz w:val="22"/>
                <w:szCs w:val="22"/>
                <w:lang w:eastAsia="en-AU"/>
              </w:rPr>
              <w:t>Missing</w:t>
            </w:r>
          </w:p>
        </w:tc>
        <w:tc>
          <w:tcPr>
            <w:tcW w:w="901" w:type="dxa"/>
            <w:vMerge/>
            <w:tcBorders>
              <w:bottom w:val="single" w:sz="4" w:space="0" w:color="auto"/>
            </w:tcBorders>
            <w:hideMark/>
          </w:tcPr>
          <w:p w14:paraId="2FA7B2A4" w14:textId="77777777" w:rsidR="00743CB8" w:rsidRPr="006E1F24" w:rsidRDefault="00743CB8" w:rsidP="00B467D3">
            <w:pPr>
              <w:rPr>
                <w:rFonts w:eastAsia="Times New Roman" w:cstheme="minorHAnsi"/>
                <w:sz w:val="22"/>
                <w:szCs w:val="22"/>
                <w:lang w:eastAsia="en-AU"/>
              </w:rPr>
            </w:pPr>
          </w:p>
        </w:tc>
        <w:tc>
          <w:tcPr>
            <w:tcW w:w="850" w:type="dxa"/>
            <w:vMerge/>
            <w:tcBorders>
              <w:bottom w:val="single" w:sz="4" w:space="0" w:color="auto"/>
            </w:tcBorders>
            <w:hideMark/>
          </w:tcPr>
          <w:p w14:paraId="4F7D09DB" w14:textId="77777777" w:rsidR="00743CB8" w:rsidRPr="006E1F24" w:rsidRDefault="00743CB8" w:rsidP="00B467D3">
            <w:pPr>
              <w:rPr>
                <w:rFonts w:eastAsia="Times New Roman" w:cstheme="minorHAnsi"/>
                <w:sz w:val="22"/>
                <w:szCs w:val="22"/>
                <w:lang w:eastAsia="en-AU"/>
              </w:rPr>
            </w:pPr>
          </w:p>
        </w:tc>
      </w:tr>
      <w:tr w:rsidR="00743CB8" w:rsidRPr="006E1F24" w14:paraId="3FD7DB1A" w14:textId="77777777" w:rsidTr="00B467D3">
        <w:trPr>
          <w:trHeight w:val="541"/>
        </w:trPr>
        <w:tc>
          <w:tcPr>
            <w:tcW w:w="10310" w:type="dxa"/>
            <w:tcBorders>
              <w:bottom w:val="single" w:sz="4" w:space="0" w:color="F2F2F2" w:themeColor="background1" w:themeShade="F2"/>
            </w:tcBorders>
            <w:shd w:val="clear" w:color="000000" w:fill="FFFFFF"/>
            <w:hideMark/>
          </w:tcPr>
          <w:p w14:paraId="316210AD" w14:textId="09079F0D"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38. Organizations should establish systems to ensure that all health</w:t>
            </w:r>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care professionals involved in prescribing and/or administering subcutaneous infusions are trained on the principles covered in these recommendations and are then formally assessed and reassessed at regular intervals to demonstrate competence (knowledge, skills and judgment).</w:t>
            </w:r>
            <w:r w:rsidRPr="006E1F24">
              <w:rPr>
                <w:rFonts w:eastAsia="Times" w:cstheme="minorHAnsi"/>
                <w:color w:val="231F20"/>
                <w:sz w:val="22"/>
              </w:rPr>
              <w:fldChar w:fldCharType="begin" w:fldLock="1"/>
            </w:r>
            <w:r w:rsidRPr="006E1F24">
              <w:rPr>
                <w:rFonts w:eastAsia="Times" w:cstheme="minorHAnsi"/>
                <w:color w:val="231F20"/>
                <w:sz w:val="22"/>
              </w:rPr>
              <w:instrText>ADDIN CSL_CITATION {"citationItems":[{"id":"ITEM-1","itemData":{"DOI":"http://dx.doi.org/10.1590/0034-7167-2016-0424","author":[{"dropping-particle":"","family":"Gomes","given":"N. S.","non-dropping-particle":"","parse-names":false,"suffix":""},{"dropping-particle":"","family":"Silva","given":"A.M.B.","non-dropping-particle":"","parse-names":false,"suffix":""},{"dropping-particle":"","family":"Zago","given":"L. B.","non-dropping-particle":"","parse-names":false,"suffix":""},{"dropping-particle":"","family":"Lima e Silva","given":"Érica C.","non-dropping-particle":"","parse-names":false,"suffix":""},{"dropping-particle":"","family":"Barichello","given":"E","non-dropping-particle":"","parse-names":false,"suffix":""}],"container-title":"Rav Bras Enferm [Internet]","id":"ITEM-1","issue":"5","issued":{"date-parts":[["2017"]]},"page":"1096-1106","title":"Nursing knowledge and practices regarding subcutaneous fluid administration","type":"article-journal","volume":"70"},"uris":["http://www.mendeley.com/documents/?uuid=04c8cf6a-58c8-499a-b86c-0600652d0de6"]},{"id":"ITEM-2","itemData":{"DOI":"10.1016/j.jpainsymman.2016.04.009","ISSN":"0885-3924","author":[{"dropping-particle":"","family":"Vidal","given":"Marieberta","non-dropping-particle":"","parse-names":false,"suffix":""},{"dropping-particle":"","family":"Hui","given":"David","non-dropping-particle":"","parse-names":false,"suffix":""},{"dropping-particle":"","family":"Williams","given":"Janet","non-dropping-particle":"","parse-names":false,"suffix":""},{"dropping-particle":"","family":"Bruera","given":"Eduardo","non-dropping-particle":"","parse-names":false,"suffix":""}],"container-title":"Journal of Pain and Symptom Management","id":"ITEM-2","issue":"4","issued":{"date-parts":[["2016"]]},"page":"570-574","publisher":"Elsevier Inc","title":"A prospective ptudy of hypodermoclysis performed by caregivers in the home setting","type":"article-journal","volume":"52"},"uris":["http://www.mendeley.com/documents/?uuid=ef6eecf9-88ba-4122-ab2c-ee4a0497b33c"]},{"id":"ITEM-3","itemData":{"author":[{"dropping-particle":"","family":"National Institute for Health and Care Excellence","given":"","non-dropping-particle":"","parse-names":false,"suffix":""}],"container-title":"Nice clinical guideline","id":"ITEM-3","issued":{"date-parts":[["2013"]]},"page":"1-26","title":"Intravenous fluid therapy in adults in hospital","type":"article-journal","volume":"174"},"uris":["http://www.mendeley.com/documents/?uuid=7d7efb7b-7c11-45bc-8efb-61212f563ae5"]}],"mendeley":{"formattedCitation":"&lt;sup&gt;6,9,15&lt;/sup&gt;","manualFormatting":"6,9,13,15","plainTextFormattedCitation":"6,9,15","previouslyFormattedCitation":"&lt;sup&gt;6,9,15&lt;/sup&gt;"},"properties":{"noteIndex":0},"schema":"https://github.com/citation-style-language/schema/raw/master/csl-citation.json"}</w:instrText>
            </w:r>
            <w:r w:rsidRPr="006E1F24">
              <w:rPr>
                <w:rFonts w:eastAsia="Times" w:cstheme="minorHAnsi"/>
                <w:color w:val="231F20"/>
                <w:sz w:val="22"/>
              </w:rPr>
              <w:fldChar w:fldCharType="separate"/>
            </w:r>
            <w:r w:rsidRPr="006E1F24">
              <w:rPr>
                <w:rFonts w:eastAsia="Times" w:cstheme="minorHAnsi"/>
                <w:noProof/>
                <w:color w:val="231F20"/>
                <w:sz w:val="22"/>
                <w:vertAlign w:val="superscript"/>
              </w:rPr>
              <w:t>6,9,13,15</w:t>
            </w:r>
            <w:r w:rsidRPr="006E1F24">
              <w:rPr>
                <w:rFonts w:eastAsia="Times" w:cstheme="minorHAnsi"/>
                <w:color w:val="231F20"/>
                <w:sz w:val="22"/>
              </w:rPr>
              <w:fldChar w:fldCharType="end"/>
            </w:r>
            <w:r w:rsidRPr="006E1F24">
              <w:rPr>
                <w:rFonts w:eastAsia="Times" w:cstheme="minorHAnsi"/>
                <w:color w:val="231F20"/>
                <w:sz w:val="22"/>
              </w:rPr>
              <w:t xml:space="preserve"> </w:t>
            </w:r>
          </w:p>
        </w:tc>
        <w:tc>
          <w:tcPr>
            <w:tcW w:w="709" w:type="dxa"/>
            <w:tcBorders>
              <w:bottom w:val="single" w:sz="4" w:space="0" w:color="F2F2F2" w:themeColor="background1" w:themeShade="F2"/>
            </w:tcBorders>
            <w:shd w:val="clear" w:color="000000" w:fill="F9F9FB"/>
            <w:hideMark/>
          </w:tcPr>
          <w:p w14:paraId="1A2693FE"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1117" w:type="dxa"/>
            <w:tcBorders>
              <w:bottom w:val="single" w:sz="4" w:space="0" w:color="F2F2F2" w:themeColor="background1" w:themeShade="F2"/>
            </w:tcBorders>
            <w:shd w:val="clear" w:color="000000" w:fill="F9F9FB"/>
            <w:hideMark/>
          </w:tcPr>
          <w:p w14:paraId="55083444"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01" w:type="dxa"/>
            <w:tcBorders>
              <w:bottom w:val="single" w:sz="4" w:space="0" w:color="F2F2F2" w:themeColor="background1" w:themeShade="F2"/>
            </w:tcBorders>
            <w:shd w:val="clear" w:color="000000" w:fill="F9F9FB"/>
            <w:hideMark/>
          </w:tcPr>
          <w:p w14:paraId="36C9E900"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(9-9)</w:t>
            </w:r>
          </w:p>
        </w:tc>
        <w:tc>
          <w:tcPr>
            <w:tcW w:w="850" w:type="dxa"/>
            <w:tcBorders>
              <w:bottom w:val="single" w:sz="4" w:space="0" w:color="F2F2F2" w:themeColor="background1" w:themeShade="F2"/>
            </w:tcBorders>
            <w:shd w:val="clear" w:color="000000" w:fill="F9F9FB"/>
            <w:hideMark/>
          </w:tcPr>
          <w:p w14:paraId="7AFC65BC"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452DE7B6" w14:textId="77777777" w:rsidTr="00B467D3">
        <w:trPr>
          <w:trHeight w:val="444"/>
        </w:trPr>
        <w:tc>
          <w:tcPr>
            <w:tcW w:w="10310" w:type="dxa"/>
            <w:tcBorders>
              <w:top w:val="single" w:sz="4" w:space="0" w:color="F2F2F2" w:themeColor="background1" w:themeShade="F2"/>
              <w:bottom w:val="single" w:sz="4" w:space="0" w:color="F2F2F2" w:themeColor="background1" w:themeShade="F2"/>
            </w:tcBorders>
            <w:shd w:val="clear" w:color="000000" w:fill="FFFFFF"/>
            <w:hideMark/>
          </w:tcPr>
          <w:p w14:paraId="56FD4D62"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39. Organizations should have a designated clinical lead for infusion therapy, responsible for training, clinical governance, audit and review of subcutaneous fluid prescribing and patient outcomes.</w:t>
            </w:r>
            <w:r w:rsidRPr="006E1F24">
              <w:rPr>
                <w:rFonts w:eastAsia="Times" w:cstheme="minorHAnsi"/>
                <w:noProof/>
                <w:color w:val="231F20"/>
                <w:sz w:val="22"/>
                <w:vertAlign w:val="superscript"/>
              </w:rPr>
              <w:t>10</w:t>
            </w:r>
            <w:r w:rsidRPr="006E1F24">
              <w:rPr>
                <w:rFonts w:eastAsia="Times" w:cstheme="minorHAnsi"/>
                <w:color w:val="231F20"/>
                <w:sz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hideMark/>
          </w:tcPr>
          <w:p w14:paraId="4E8E99BE"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1117" w:type="dxa"/>
            <w:tcBorders>
              <w:top w:val="single" w:sz="4" w:space="0" w:color="F2F2F2" w:themeColor="background1" w:themeShade="F2"/>
              <w:bottom w:val="single" w:sz="4" w:space="0" w:color="F2F2F2" w:themeColor="background1" w:themeShade="F2"/>
            </w:tcBorders>
            <w:shd w:val="clear" w:color="000000" w:fill="F9F9FB"/>
            <w:hideMark/>
          </w:tcPr>
          <w:p w14:paraId="4FACF280"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01" w:type="dxa"/>
            <w:tcBorders>
              <w:top w:val="single" w:sz="4" w:space="0" w:color="F2F2F2" w:themeColor="background1" w:themeShade="F2"/>
              <w:bottom w:val="single" w:sz="4" w:space="0" w:color="F2F2F2" w:themeColor="background1" w:themeShade="F2"/>
            </w:tcBorders>
            <w:shd w:val="clear" w:color="000000" w:fill="F9F9FB"/>
            <w:hideMark/>
          </w:tcPr>
          <w:p w14:paraId="38E00898"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(6-9)</w:t>
            </w:r>
          </w:p>
        </w:tc>
        <w:tc>
          <w:tcPr>
            <w:tcW w:w="850" w:type="dxa"/>
            <w:tcBorders>
              <w:top w:val="single" w:sz="4" w:space="0" w:color="F2F2F2" w:themeColor="background1" w:themeShade="F2"/>
              <w:bottom w:val="single" w:sz="4" w:space="0" w:color="F2F2F2" w:themeColor="background1" w:themeShade="F2"/>
            </w:tcBorders>
            <w:shd w:val="clear" w:color="000000" w:fill="F9F9FB"/>
            <w:hideMark/>
          </w:tcPr>
          <w:p w14:paraId="05B67EDF"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1-9</w:t>
            </w:r>
          </w:p>
        </w:tc>
      </w:tr>
      <w:tr w:rsidR="00743CB8" w:rsidRPr="006E1F24" w14:paraId="22A798FD" w14:textId="77777777" w:rsidTr="00B467D3">
        <w:trPr>
          <w:trHeight w:val="287"/>
        </w:trPr>
        <w:tc>
          <w:tcPr>
            <w:tcW w:w="10310" w:type="dxa"/>
            <w:tcBorders>
              <w:top w:val="single" w:sz="4" w:space="0" w:color="F2F2F2" w:themeColor="background1" w:themeShade="F2"/>
              <w:bottom w:val="single" w:sz="4" w:space="0" w:color="F2F2F2" w:themeColor="background1" w:themeShade="F2"/>
            </w:tcBorders>
            <w:shd w:val="clear" w:color="000000" w:fill="FFFFFF"/>
            <w:hideMark/>
          </w:tcPr>
          <w:p w14:paraId="0D1EFB86"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40. Organizations should monitor quality outcomes related to subcutaneous infusion therapy.</w:t>
            </w:r>
            <w:r w:rsidRPr="006E1F24">
              <w:rPr>
                <w:rFonts w:eastAsia="Times" w:cstheme="minorHAnsi"/>
                <w:color w:val="231F20"/>
                <w:sz w:val="22"/>
              </w:rPr>
              <w:t xml:space="preserve"> [C]</w:t>
            </w:r>
          </w:p>
        </w:tc>
        <w:tc>
          <w:tcPr>
            <w:tcW w:w="709" w:type="dxa"/>
            <w:tcBorders>
              <w:top w:val="single" w:sz="4" w:space="0" w:color="F2F2F2" w:themeColor="background1" w:themeShade="F2"/>
              <w:bottom w:val="single" w:sz="4" w:space="0" w:color="F2F2F2" w:themeColor="background1" w:themeShade="F2"/>
            </w:tcBorders>
            <w:shd w:val="clear" w:color="000000" w:fill="F9F9FB"/>
            <w:hideMark/>
          </w:tcPr>
          <w:p w14:paraId="78A40550"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1117" w:type="dxa"/>
            <w:tcBorders>
              <w:top w:val="single" w:sz="4" w:space="0" w:color="F2F2F2" w:themeColor="background1" w:themeShade="F2"/>
              <w:bottom w:val="single" w:sz="4" w:space="0" w:color="F2F2F2" w:themeColor="background1" w:themeShade="F2"/>
            </w:tcBorders>
            <w:shd w:val="clear" w:color="000000" w:fill="F9F9FB"/>
            <w:hideMark/>
          </w:tcPr>
          <w:p w14:paraId="476CD2C3"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01" w:type="dxa"/>
            <w:tcBorders>
              <w:top w:val="single" w:sz="4" w:space="0" w:color="F2F2F2" w:themeColor="background1" w:themeShade="F2"/>
              <w:bottom w:val="single" w:sz="4" w:space="0" w:color="F2F2F2" w:themeColor="background1" w:themeShade="F2"/>
            </w:tcBorders>
            <w:shd w:val="clear" w:color="000000" w:fill="F9F9FB"/>
            <w:hideMark/>
          </w:tcPr>
          <w:p w14:paraId="34DE50B1"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hideMark/>
          </w:tcPr>
          <w:p w14:paraId="4FCA6593"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7-9</w:t>
            </w:r>
          </w:p>
        </w:tc>
      </w:tr>
      <w:tr w:rsidR="00743CB8" w:rsidRPr="006E1F24" w14:paraId="5C843E33" w14:textId="77777777" w:rsidTr="00B467D3">
        <w:trPr>
          <w:trHeight w:val="750"/>
        </w:trPr>
        <w:tc>
          <w:tcPr>
            <w:tcW w:w="10310" w:type="dxa"/>
            <w:tcBorders>
              <w:top w:val="single" w:sz="4" w:space="0" w:color="F2F2F2" w:themeColor="background1" w:themeShade="F2"/>
              <w:bottom w:val="single" w:sz="4" w:space="0" w:color="F2F2F2" w:themeColor="background1" w:themeShade="F2"/>
            </w:tcBorders>
            <w:shd w:val="clear" w:color="000000" w:fill="FFFFFF"/>
            <w:hideMark/>
          </w:tcPr>
          <w:p w14:paraId="12A4DA8F" w14:textId="14972EB5"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 xml:space="preserve">41. Consider quality standards such as: </w:t>
            </w:r>
            <w:proofErr w:type="spellStart"/>
            <w:r w:rsidRPr="006E1F24">
              <w:rPr>
                <w:rFonts w:eastAsia="Times New Roman" w:cstheme="minorHAnsi"/>
                <w:sz w:val="22"/>
                <w:szCs w:val="22"/>
                <w:lang w:eastAsia="en-AU"/>
              </w:rPr>
              <w:t>i</w:t>
            </w:r>
            <w:proofErr w:type="spellEnd"/>
            <w:r w:rsidRPr="006E1F24">
              <w:rPr>
                <w:rFonts w:eastAsia="Times New Roman" w:cstheme="minorHAnsi"/>
                <w:sz w:val="22"/>
                <w:szCs w:val="22"/>
                <w:lang w:eastAsia="en-AU"/>
              </w:rPr>
              <w:t>) infusion fluids clinical lead; ii) health</w:t>
            </w:r>
            <w:r w:rsidR="006E1F24" w:rsidRPr="006E1F24">
              <w:rPr>
                <w:rFonts w:eastAsia="Times New Roman" w:cstheme="minorHAnsi"/>
                <w:sz w:val="22"/>
                <w:szCs w:val="22"/>
                <w:lang w:eastAsia="en-AU"/>
              </w:rPr>
              <w:t xml:space="preserve"> </w:t>
            </w:r>
            <w:r w:rsidRPr="006E1F24">
              <w:rPr>
                <w:rFonts w:eastAsia="Times New Roman" w:cstheme="minorHAnsi"/>
                <w:sz w:val="22"/>
                <w:szCs w:val="22"/>
                <w:lang w:eastAsia="en-AU"/>
              </w:rPr>
              <w:t>care professionals’ competencies in hospitals; and iii) identifying and reporting consequences of fluid mismanagement (</w:t>
            </w:r>
            <w:proofErr w:type="spellStart"/>
            <w:r w:rsidRPr="006E1F24">
              <w:rPr>
                <w:rFonts w:eastAsia="Times New Roman" w:cstheme="minorHAnsi"/>
                <w:sz w:val="22"/>
                <w:szCs w:val="22"/>
                <w:lang w:eastAsia="en-AU"/>
              </w:rPr>
              <w:t>e</w:t>
            </w:r>
            <w:r w:rsidR="006E1F24" w:rsidRPr="006E1F24">
              <w:rPr>
                <w:rFonts w:eastAsia="Times New Roman" w:cstheme="minorHAnsi"/>
                <w:sz w:val="22"/>
                <w:szCs w:val="22"/>
                <w:lang w:eastAsia="en-AU"/>
              </w:rPr>
              <w:t>g</w:t>
            </w:r>
            <w:proofErr w:type="spellEnd"/>
            <w:r w:rsidRPr="006E1F24">
              <w:rPr>
                <w:rFonts w:eastAsia="Times New Roman" w:cstheme="minorHAnsi"/>
                <w:sz w:val="22"/>
                <w:szCs w:val="22"/>
                <w:lang w:eastAsia="en-AU"/>
              </w:rPr>
              <w:t>, pulmonary edema, hypovolemia, etc.)</w:t>
            </w:r>
            <w:r w:rsidRPr="006E1F24">
              <w:rPr>
                <w:rFonts w:eastAsia="Times" w:cstheme="minorHAnsi"/>
                <w:noProof/>
                <w:color w:val="231F20"/>
                <w:sz w:val="22"/>
                <w:vertAlign w:val="superscript"/>
              </w:rPr>
              <w:t>10</w:t>
            </w:r>
            <w:r w:rsidRPr="006E1F24">
              <w:rPr>
                <w:rFonts w:cstheme="minorHAnsi"/>
                <w:sz w:val="22"/>
              </w:rPr>
              <w:t xml:space="preserve"> </w:t>
            </w:r>
          </w:p>
        </w:tc>
        <w:tc>
          <w:tcPr>
            <w:tcW w:w="709" w:type="dxa"/>
            <w:tcBorders>
              <w:top w:val="single" w:sz="4" w:space="0" w:color="F2F2F2" w:themeColor="background1" w:themeShade="F2"/>
              <w:bottom w:val="single" w:sz="4" w:space="0" w:color="F2F2F2" w:themeColor="background1" w:themeShade="F2"/>
            </w:tcBorders>
            <w:shd w:val="clear" w:color="000000" w:fill="F9F9FB"/>
            <w:hideMark/>
          </w:tcPr>
          <w:p w14:paraId="59615FB6"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1117" w:type="dxa"/>
            <w:tcBorders>
              <w:top w:val="single" w:sz="4" w:space="0" w:color="F2F2F2" w:themeColor="background1" w:themeShade="F2"/>
              <w:bottom w:val="single" w:sz="4" w:space="0" w:color="F2F2F2" w:themeColor="background1" w:themeShade="F2"/>
            </w:tcBorders>
            <w:shd w:val="clear" w:color="000000" w:fill="F9F9FB"/>
            <w:hideMark/>
          </w:tcPr>
          <w:p w14:paraId="07A1B910"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01" w:type="dxa"/>
            <w:tcBorders>
              <w:top w:val="single" w:sz="4" w:space="0" w:color="F2F2F2" w:themeColor="background1" w:themeShade="F2"/>
              <w:bottom w:val="single" w:sz="4" w:space="0" w:color="F2F2F2" w:themeColor="background1" w:themeShade="F2"/>
            </w:tcBorders>
            <w:shd w:val="clear" w:color="000000" w:fill="F9F9FB"/>
            <w:hideMark/>
          </w:tcPr>
          <w:p w14:paraId="62455C86"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(8-9)</w:t>
            </w:r>
          </w:p>
        </w:tc>
        <w:tc>
          <w:tcPr>
            <w:tcW w:w="850" w:type="dxa"/>
            <w:tcBorders>
              <w:top w:val="single" w:sz="4" w:space="0" w:color="F2F2F2" w:themeColor="background1" w:themeShade="F2"/>
              <w:bottom w:val="single" w:sz="4" w:space="0" w:color="F2F2F2" w:themeColor="background1" w:themeShade="F2"/>
            </w:tcBorders>
            <w:shd w:val="clear" w:color="000000" w:fill="F9F9FB"/>
            <w:hideMark/>
          </w:tcPr>
          <w:p w14:paraId="19FB65FC"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5-9</w:t>
            </w:r>
          </w:p>
        </w:tc>
      </w:tr>
      <w:tr w:rsidR="00743CB8" w:rsidRPr="006E1F24" w14:paraId="785EDE6B" w14:textId="77777777" w:rsidTr="00B467D3">
        <w:trPr>
          <w:trHeight w:val="506"/>
        </w:trPr>
        <w:tc>
          <w:tcPr>
            <w:tcW w:w="10310" w:type="dxa"/>
            <w:tcBorders>
              <w:top w:val="single" w:sz="4" w:space="0" w:color="F2F2F2" w:themeColor="background1" w:themeShade="F2"/>
            </w:tcBorders>
            <w:shd w:val="clear" w:color="000000" w:fill="FFFFFF"/>
            <w:hideMark/>
          </w:tcPr>
          <w:p w14:paraId="58531992"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42.Encourage and participate in research to promote evidence-based decision-making and clinical practice in the administration of subcutaneous infusions of hydration and medications.</w:t>
            </w:r>
            <w:r w:rsidRPr="006E1F24">
              <w:rPr>
                <w:rFonts w:eastAsia="Times" w:cstheme="minorHAnsi"/>
                <w:color w:val="231F20"/>
                <w:sz w:val="22"/>
              </w:rPr>
              <w:fldChar w:fldCharType="begin" w:fldLock="1"/>
            </w:r>
            <w:r w:rsidRPr="006E1F24">
              <w:rPr>
                <w:rFonts w:eastAsia="Times" w:cstheme="minorHAnsi"/>
                <w:color w:val="231F20"/>
                <w:sz w:val="22"/>
              </w:rPr>
              <w:instrText>ADDIN CSL_CITATION {"citationItems":[{"id":"ITEM-1","itemData":{"DOI":"http://dx.doi.org/10.1590/0034-7167-2016-0424","author":[{"dropping-particle":"","family":"Gomes","given":"N. S.","non-dropping-particle":"","parse-names":false,"suffix":""},{"dropping-particle":"","family":"Silva","given":"A.M.B.","non-dropping-particle":"","parse-names":false,"suffix":""},{"dropping-particle":"","family":"Zago","given":"L. B.","non-dropping-particle":"","parse-names":false,"suffix":""},{"dropping-particle":"","family":"Lima e Silva","given":"Érica C.","non-dropping-particle":"","parse-names":false,"suffix":""},{"dropping-particle":"","family":"Barichello","given":"E","non-dropping-particle":"","parse-names":false,"suffix":""}],"container-title":"Rav Bras Enferm [Internet]","id":"ITEM-1","issue":"5","issued":{"date-parts":[["2017"]]},"page":"1096-1106","title":"Nursing knowledge and practices regarding subcutaneous fluid administration","type":"article-journal","volume":"70"},"uris":["http://www.mendeley.com/documents/?uuid=04c8cf6a-58c8-499a-b86c-0600652d0de6"]}],"mendeley":{"formattedCitation":"&lt;sup&gt;15&lt;/sup&gt;","plainTextFormattedCitation":"15","previouslyFormattedCitation":"&lt;sup&gt;15&lt;/sup&gt;"},"properties":{"noteIndex":0},"schema":"https://github.com/citation-style-language/schema/raw/master/csl-citation.json"}</w:instrText>
            </w:r>
            <w:r w:rsidRPr="006E1F24">
              <w:rPr>
                <w:rFonts w:eastAsia="Times" w:cstheme="minorHAnsi"/>
                <w:color w:val="231F20"/>
                <w:sz w:val="22"/>
              </w:rPr>
              <w:fldChar w:fldCharType="separate"/>
            </w:r>
            <w:r w:rsidRPr="006E1F24">
              <w:rPr>
                <w:rFonts w:eastAsia="Times" w:cstheme="minorHAnsi"/>
                <w:noProof/>
                <w:color w:val="231F20"/>
                <w:sz w:val="22"/>
                <w:vertAlign w:val="superscript"/>
              </w:rPr>
              <w:t>15</w:t>
            </w:r>
            <w:r w:rsidRPr="006E1F24">
              <w:rPr>
                <w:rFonts w:eastAsia="Times" w:cstheme="minorHAnsi"/>
                <w:color w:val="231F20"/>
                <w:sz w:val="22"/>
              </w:rPr>
              <w:fldChar w:fldCharType="end"/>
            </w:r>
            <w:r w:rsidRPr="006E1F24">
              <w:rPr>
                <w:rFonts w:eastAsia="Times" w:cstheme="minorHAnsi"/>
                <w:color w:val="231F20"/>
                <w:sz w:val="22"/>
              </w:rPr>
              <w:t xml:space="preserve"> </w:t>
            </w:r>
          </w:p>
        </w:tc>
        <w:tc>
          <w:tcPr>
            <w:tcW w:w="709" w:type="dxa"/>
            <w:tcBorders>
              <w:top w:val="single" w:sz="4" w:space="0" w:color="F2F2F2" w:themeColor="background1" w:themeShade="F2"/>
            </w:tcBorders>
            <w:shd w:val="clear" w:color="000000" w:fill="F9F9FB"/>
            <w:hideMark/>
          </w:tcPr>
          <w:p w14:paraId="0708D73A"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10</w:t>
            </w:r>
          </w:p>
        </w:tc>
        <w:tc>
          <w:tcPr>
            <w:tcW w:w="1117" w:type="dxa"/>
            <w:tcBorders>
              <w:top w:val="single" w:sz="4" w:space="0" w:color="F2F2F2" w:themeColor="background1" w:themeShade="F2"/>
            </w:tcBorders>
            <w:shd w:val="clear" w:color="000000" w:fill="F9F9FB"/>
            <w:hideMark/>
          </w:tcPr>
          <w:p w14:paraId="79356FBC"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0</w:t>
            </w:r>
          </w:p>
        </w:tc>
        <w:tc>
          <w:tcPr>
            <w:tcW w:w="901" w:type="dxa"/>
            <w:tcBorders>
              <w:top w:val="single" w:sz="4" w:space="0" w:color="F2F2F2" w:themeColor="background1" w:themeShade="F2"/>
            </w:tcBorders>
            <w:shd w:val="clear" w:color="000000" w:fill="F9F9FB"/>
            <w:hideMark/>
          </w:tcPr>
          <w:p w14:paraId="120C6AD2"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9 (9-9)</w:t>
            </w:r>
          </w:p>
        </w:tc>
        <w:tc>
          <w:tcPr>
            <w:tcW w:w="850" w:type="dxa"/>
            <w:tcBorders>
              <w:top w:val="single" w:sz="4" w:space="0" w:color="F2F2F2" w:themeColor="background1" w:themeShade="F2"/>
            </w:tcBorders>
            <w:shd w:val="clear" w:color="000000" w:fill="F9F9FB"/>
            <w:hideMark/>
          </w:tcPr>
          <w:p w14:paraId="016AC6F2" w14:textId="77777777" w:rsidR="00743CB8" w:rsidRPr="006E1F24" w:rsidRDefault="00743CB8" w:rsidP="00B467D3">
            <w:pPr>
              <w:jc w:val="both"/>
              <w:rPr>
                <w:rFonts w:eastAsia="Times New Roman" w:cstheme="minorHAnsi"/>
                <w:sz w:val="22"/>
                <w:szCs w:val="22"/>
                <w:lang w:eastAsia="en-AU"/>
              </w:rPr>
            </w:pPr>
            <w:r w:rsidRPr="006E1F24">
              <w:rPr>
                <w:rFonts w:eastAsia="Times New Roman" w:cstheme="minorHAnsi"/>
                <w:sz w:val="22"/>
                <w:szCs w:val="22"/>
                <w:lang w:eastAsia="en-AU"/>
              </w:rPr>
              <w:t>8-9</w:t>
            </w:r>
          </w:p>
        </w:tc>
      </w:tr>
      <w:tr w:rsidR="00743CB8" w:rsidRPr="006E1F24" w14:paraId="63AE3FA6" w14:textId="77777777" w:rsidTr="00B467D3">
        <w:trPr>
          <w:trHeight w:val="275"/>
        </w:trPr>
        <w:tc>
          <w:tcPr>
            <w:tcW w:w="10310" w:type="dxa"/>
            <w:tcBorders>
              <w:bottom w:val="single" w:sz="4" w:space="0" w:color="auto"/>
            </w:tcBorders>
            <w:shd w:val="clear" w:color="auto" w:fill="F9F9FB"/>
          </w:tcPr>
          <w:p w14:paraId="6A87AB07" w14:textId="77777777" w:rsidR="00743CB8" w:rsidRPr="006E1F24" w:rsidRDefault="00743CB8" w:rsidP="00B467D3">
            <w:pPr>
              <w:spacing w:after="160" w:line="259" w:lineRule="auto"/>
              <w:rPr>
                <w:rFonts w:eastAsia="Times New Roman" w:cstheme="minorHAnsi"/>
                <w:color w:val="000000"/>
                <w:sz w:val="22"/>
                <w:szCs w:val="22"/>
                <w:lang w:eastAsia="en-AU"/>
              </w:rPr>
            </w:pPr>
            <w:r w:rsidRPr="006E1F24">
              <w:rPr>
                <w:rFonts w:eastAsia="Times New Roman" w:cstheme="minorHAnsi"/>
                <w:b/>
                <w:bCs/>
                <w:sz w:val="22"/>
                <w:szCs w:val="22"/>
                <w:lang w:eastAsia="en-AU"/>
              </w:rPr>
              <w:t xml:space="preserve">Qualitative Data </w:t>
            </w:r>
            <w:r w:rsidRPr="006E1F24">
              <w:rPr>
                <w:rFonts w:eastAsia="Times New Roman" w:cstheme="minorHAnsi"/>
                <w:sz w:val="22"/>
                <w:szCs w:val="22"/>
                <w:lang w:eastAsia="en-AU"/>
              </w:rPr>
              <w:t>(Participants’ Comments)</w:t>
            </w:r>
          </w:p>
        </w:tc>
        <w:tc>
          <w:tcPr>
            <w:tcW w:w="3577" w:type="dxa"/>
            <w:gridSpan w:val="4"/>
            <w:tcBorders>
              <w:bottom w:val="single" w:sz="4" w:space="0" w:color="auto"/>
            </w:tcBorders>
            <w:shd w:val="clear" w:color="auto" w:fill="auto"/>
          </w:tcPr>
          <w:p w14:paraId="71B9102B" w14:textId="324BC79E" w:rsidR="00743CB8" w:rsidRPr="006E1F24" w:rsidRDefault="00C14C27" w:rsidP="00B467D3">
            <w:pPr>
              <w:jc w:val="both"/>
              <w:rPr>
                <w:rFonts w:eastAsia="Times New Roman" w:cstheme="minorHAnsi"/>
                <w:b/>
                <w:bCs/>
                <w:sz w:val="22"/>
                <w:szCs w:val="22"/>
                <w:lang w:eastAsia="en-AU"/>
              </w:rPr>
            </w:pPr>
            <w:r w:rsidRPr="006E1F24">
              <w:rPr>
                <w:rFonts w:eastAsia="Times New Roman" w:cstheme="minorHAnsi"/>
                <w:b/>
                <w:bCs/>
                <w:sz w:val="22"/>
                <w:szCs w:val="22"/>
                <w:lang w:eastAsia="en-AU"/>
              </w:rPr>
              <w:t xml:space="preserve">Research </w:t>
            </w:r>
            <w:r w:rsidR="00743CB8" w:rsidRPr="006E1F24">
              <w:rPr>
                <w:rFonts w:eastAsia="Times New Roman" w:cstheme="minorHAnsi"/>
                <w:b/>
                <w:bCs/>
                <w:sz w:val="22"/>
                <w:szCs w:val="22"/>
                <w:lang w:eastAsia="en-AU"/>
              </w:rPr>
              <w:t>Committee Response</w:t>
            </w:r>
          </w:p>
        </w:tc>
      </w:tr>
      <w:tr w:rsidR="00743CB8" w:rsidRPr="006E1F24" w14:paraId="50542BBD" w14:textId="77777777" w:rsidTr="00B467D3">
        <w:trPr>
          <w:trHeight w:val="665"/>
        </w:trPr>
        <w:tc>
          <w:tcPr>
            <w:tcW w:w="10310" w:type="dxa"/>
            <w:tcBorders>
              <w:bottom w:val="nil"/>
            </w:tcBorders>
            <w:shd w:val="clear" w:color="auto" w:fill="F9F9FB"/>
          </w:tcPr>
          <w:p w14:paraId="2ECCB13A" w14:textId="77777777" w:rsidR="00743CB8" w:rsidRPr="00A162FD" w:rsidRDefault="00743CB8" w:rsidP="00B467D3">
            <w:pPr>
              <w:rPr>
                <w:rFonts w:cstheme="minorHAnsi"/>
                <w:sz w:val="22"/>
                <w:szCs w:val="22"/>
              </w:rPr>
            </w:pPr>
            <w:r w:rsidRPr="006E1F24">
              <w:rPr>
                <w:rFonts w:cstheme="minorHAnsi"/>
                <w:sz w:val="22"/>
                <w:szCs w:val="22"/>
              </w:rPr>
              <w:t xml:space="preserve">Recommendation </w:t>
            </w:r>
            <w:r w:rsidRPr="00A162FD">
              <w:rPr>
                <w:rFonts w:cstheme="minorHAnsi"/>
                <w:sz w:val="22"/>
                <w:szCs w:val="22"/>
              </w:rPr>
              <w:t>39: While I generally agree with statement, having a clinical lead in small organizations is not always possible - may have to narrow to adequacy of resources for education, training, and follow-up for questions/concerns and adequacy of policies and procedures -may be a resource outside of the organization such as an infusion pharmacy for a nursing facility.</w:t>
            </w:r>
          </w:p>
          <w:p w14:paraId="7DB7C373" w14:textId="77777777" w:rsidR="00743CB8" w:rsidRPr="006E1F24" w:rsidRDefault="00743CB8" w:rsidP="00B467D3">
            <w:pPr>
              <w:autoSpaceDE w:val="0"/>
              <w:autoSpaceDN w:val="0"/>
              <w:adjustRightInd w:val="0"/>
              <w:rPr>
                <w:rFonts w:cstheme="minorHAnsi"/>
                <w:b/>
                <w:bCs/>
                <w:sz w:val="22"/>
                <w:szCs w:val="22"/>
              </w:rPr>
            </w:pPr>
          </w:p>
        </w:tc>
        <w:tc>
          <w:tcPr>
            <w:tcW w:w="3577" w:type="dxa"/>
            <w:gridSpan w:val="4"/>
            <w:tcBorders>
              <w:bottom w:val="nil"/>
            </w:tcBorders>
            <w:shd w:val="clear" w:color="auto" w:fill="auto"/>
          </w:tcPr>
          <w:p w14:paraId="0DD21AA0"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Recommendation to be amended</w:t>
            </w:r>
          </w:p>
        </w:tc>
      </w:tr>
      <w:tr w:rsidR="00743CB8" w:rsidRPr="006E1F24" w14:paraId="7ABAEA74" w14:textId="77777777" w:rsidTr="00B467D3">
        <w:trPr>
          <w:trHeight w:val="831"/>
        </w:trPr>
        <w:tc>
          <w:tcPr>
            <w:tcW w:w="10310" w:type="dxa"/>
            <w:tcBorders>
              <w:top w:val="nil"/>
              <w:bottom w:val="nil"/>
            </w:tcBorders>
            <w:shd w:val="clear" w:color="auto" w:fill="F9F9FB"/>
          </w:tcPr>
          <w:p w14:paraId="481ED3AB" w14:textId="77777777" w:rsidR="00743CB8" w:rsidRPr="006E1F24" w:rsidRDefault="00743CB8" w:rsidP="00B467D3">
            <w:pPr>
              <w:autoSpaceDE w:val="0"/>
              <w:autoSpaceDN w:val="0"/>
              <w:adjustRightInd w:val="0"/>
              <w:rPr>
                <w:rFonts w:cstheme="minorHAnsi"/>
                <w:sz w:val="22"/>
                <w:szCs w:val="22"/>
              </w:rPr>
            </w:pPr>
            <w:r w:rsidRPr="00A162FD">
              <w:rPr>
                <w:rFonts w:cstheme="minorHAnsi"/>
                <w:sz w:val="22"/>
                <w:szCs w:val="22"/>
              </w:rPr>
              <w:t>Recommendation 41: What about health care provider competency in home health and skilled nursing facilities? Rated as 5 because too narrow.</w:t>
            </w:r>
          </w:p>
        </w:tc>
        <w:tc>
          <w:tcPr>
            <w:tcW w:w="3577" w:type="dxa"/>
            <w:gridSpan w:val="4"/>
            <w:tcBorders>
              <w:top w:val="nil"/>
              <w:bottom w:val="nil"/>
            </w:tcBorders>
            <w:shd w:val="clear" w:color="auto" w:fill="auto"/>
          </w:tcPr>
          <w:p w14:paraId="61AB1113"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Recommendation to be amended</w:t>
            </w:r>
            <w:r w:rsidRPr="006E1F24">
              <w:rPr>
                <w:rFonts w:cstheme="minorHAnsi"/>
                <w:sz w:val="22"/>
                <w:szCs w:val="22"/>
              </w:rPr>
              <w:t xml:space="preserve"> </w:t>
            </w:r>
          </w:p>
        </w:tc>
      </w:tr>
      <w:tr w:rsidR="00743CB8" w:rsidRPr="006E1F24" w14:paraId="63DDB740" w14:textId="77777777" w:rsidTr="00B467D3">
        <w:trPr>
          <w:trHeight w:val="570"/>
        </w:trPr>
        <w:tc>
          <w:tcPr>
            <w:tcW w:w="10310" w:type="dxa"/>
            <w:tcBorders>
              <w:top w:val="nil"/>
            </w:tcBorders>
            <w:shd w:val="clear" w:color="auto" w:fill="F9F9FB"/>
          </w:tcPr>
          <w:p w14:paraId="6FC15B33" w14:textId="77777777" w:rsidR="00743CB8" w:rsidRPr="006E1F24" w:rsidRDefault="00743CB8" w:rsidP="00B467D3">
            <w:pPr>
              <w:autoSpaceDE w:val="0"/>
              <w:autoSpaceDN w:val="0"/>
              <w:adjustRightInd w:val="0"/>
              <w:rPr>
                <w:rFonts w:cstheme="minorHAnsi"/>
                <w:sz w:val="22"/>
                <w:szCs w:val="22"/>
              </w:rPr>
            </w:pPr>
            <w:r w:rsidRPr="00A162FD">
              <w:rPr>
                <w:rFonts w:cstheme="minorHAnsi"/>
                <w:sz w:val="22"/>
                <w:szCs w:val="22"/>
              </w:rPr>
              <w:t>I would caution dictating roles and responsibilities but be more open and state what should be monitored and how an organization should competency staff. Allow the organization the ability to assign responsibility and oversight as needed to meet those goals.</w:t>
            </w:r>
          </w:p>
        </w:tc>
        <w:tc>
          <w:tcPr>
            <w:tcW w:w="3577" w:type="dxa"/>
            <w:gridSpan w:val="4"/>
            <w:tcBorders>
              <w:top w:val="nil"/>
            </w:tcBorders>
            <w:shd w:val="clear" w:color="auto" w:fill="auto"/>
          </w:tcPr>
          <w:p w14:paraId="67D4A57E" w14:textId="77777777" w:rsidR="00743CB8" w:rsidRPr="006E1F24" w:rsidRDefault="00743CB8" w:rsidP="00B467D3">
            <w:pPr>
              <w:rPr>
                <w:rFonts w:eastAsia="Times New Roman" w:cstheme="minorHAnsi"/>
                <w:sz w:val="22"/>
                <w:szCs w:val="22"/>
                <w:lang w:eastAsia="en-AU"/>
              </w:rPr>
            </w:pPr>
            <w:r w:rsidRPr="006E1F24">
              <w:rPr>
                <w:rFonts w:eastAsia="Times New Roman" w:cstheme="minorHAnsi"/>
                <w:sz w:val="22"/>
                <w:szCs w:val="22"/>
                <w:lang w:eastAsia="en-AU"/>
              </w:rPr>
              <w:t>Recommendation to be amended</w:t>
            </w:r>
          </w:p>
        </w:tc>
      </w:tr>
    </w:tbl>
    <w:p w14:paraId="23F69168" w14:textId="77777777" w:rsidR="00711871" w:rsidRPr="006E1F24" w:rsidRDefault="00711871">
      <w:pPr>
        <w:rPr>
          <w:rFonts w:cstheme="minorHAnsi"/>
        </w:rPr>
      </w:pPr>
    </w:p>
    <w:sectPr w:rsidR="00711871" w:rsidRPr="006E1F24" w:rsidSect="00743CB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775"/>
    <w:multiLevelType w:val="multilevel"/>
    <w:tmpl w:val="2E1EB770"/>
    <w:lvl w:ilvl="0">
      <w:start w:val="1"/>
      <w:numFmt w:val="decimal"/>
      <w:pStyle w:val="Heading1"/>
      <w:lvlText w:val="%1"/>
      <w:lvlJc w:val="left"/>
      <w:pPr>
        <w:ind w:left="570" w:hanging="570"/>
      </w:pPr>
      <w:rPr>
        <w:rFonts w:hint="default"/>
        <w:color w:val="auto"/>
      </w:rPr>
    </w:lvl>
    <w:lvl w:ilvl="1">
      <w:start w:val="1"/>
      <w:numFmt w:val="decimal"/>
      <w:pStyle w:val="Heading2"/>
      <w:lvlText w:val="%1.%2"/>
      <w:lvlJc w:val="left"/>
      <w:pPr>
        <w:ind w:left="570" w:hanging="570"/>
      </w:pPr>
      <w:rPr>
        <w:rFonts w:hint="default"/>
        <w:color w:val="auto"/>
      </w:rPr>
    </w:lvl>
    <w:lvl w:ilvl="2">
      <w:start w:val="1"/>
      <w:numFmt w:val="decimal"/>
      <w:pStyle w:val="Heading3"/>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753300E5"/>
    <w:multiLevelType w:val="multilevel"/>
    <w:tmpl w:val="ED3467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0421654">
    <w:abstractNumId w:val="0"/>
  </w:num>
  <w:num w:numId="2" w16cid:durableId="1341277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8"/>
    <w:rsid w:val="000018EE"/>
    <w:rsid w:val="0001023A"/>
    <w:rsid w:val="0002763D"/>
    <w:rsid w:val="000323CC"/>
    <w:rsid w:val="00053788"/>
    <w:rsid w:val="000743D0"/>
    <w:rsid w:val="0009553F"/>
    <w:rsid w:val="000A6779"/>
    <w:rsid w:val="000D5856"/>
    <w:rsid w:val="000E1B01"/>
    <w:rsid w:val="000F3FF4"/>
    <w:rsid w:val="000F7922"/>
    <w:rsid w:val="0011219C"/>
    <w:rsid w:val="001234C9"/>
    <w:rsid w:val="001315D4"/>
    <w:rsid w:val="00131C2D"/>
    <w:rsid w:val="00136BE5"/>
    <w:rsid w:val="00146C93"/>
    <w:rsid w:val="00174D07"/>
    <w:rsid w:val="00187C0C"/>
    <w:rsid w:val="001B5DDD"/>
    <w:rsid w:val="001E2268"/>
    <w:rsid w:val="00217DBF"/>
    <w:rsid w:val="00233EEF"/>
    <w:rsid w:val="00235F7A"/>
    <w:rsid w:val="00247A92"/>
    <w:rsid w:val="00257F2A"/>
    <w:rsid w:val="00267A22"/>
    <w:rsid w:val="00273A59"/>
    <w:rsid w:val="0027493E"/>
    <w:rsid w:val="002A3E29"/>
    <w:rsid w:val="002C2506"/>
    <w:rsid w:val="002C6A6C"/>
    <w:rsid w:val="002D3234"/>
    <w:rsid w:val="002E572E"/>
    <w:rsid w:val="002F3F91"/>
    <w:rsid w:val="002F7108"/>
    <w:rsid w:val="00315C17"/>
    <w:rsid w:val="003174C6"/>
    <w:rsid w:val="00322DBF"/>
    <w:rsid w:val="0032659A"/>
    <w:rsid w:val="0033393B"/>
    <w:rsid w:val="003429DE"/>
    <w:rsid w:val="00345BD4"/>
    <w:rsid w:val="003513D6"/>
    <w:rsid w:val="00354C48"/>
    <w:rsid w:val="00383E72"/>
    <w:rsid w:val="00385890"/>
    <w:rsid w:val="0039074D"/>
    <w:rsid w:val="00395D39"/>
    <w:rsid w:val="003A61EE"/>
    <w:rsid w:val="003C7A09"/>
    <w:rsid w:val="003D1766"/>
    <w:rsid w:val="003D3A64"/>
    <w:rsid w:val="00426920"/>
    <w:rsid w:val="004473DB"/>
    <w:rsid w:val="00462BC1"/>
    <w:rsid w:val="00475EEF"/>
    <w:rsid w:val="0048209B"/>
    <w:rsid w:val="004A6256"/>
    <w:rsid w:val="004B2A96"/>
    <w:rsid w:val="004B54EB"/>
    <w:rsid w:val="004C016E"/>
    <w:rsid w:val="004C6CD6"/>
    <w:rsid w:val="004D53A6"/>
    <w:rsid w:val="004D5DB4"/>
    <w:rsid w:val="005027D3"/>
    <w:rsid w:val="00506ABC"/>
    <w:rsid w:val="005167C3"/>
    <w:rsid w:val="00531C95"/>
    <w:rsid w:val="00536191"/>
    <w:rsid w:val="00567A10"/>
    <w:rsid w:val="00577860"/>
    <w:rsid w:val="00577A61"/>
    <w:rsid w:val="005921E7"/>
    <w:rsid w:val="005B24AE"/>
    <w:rsid w:val="005C18E7"/>
    <w:rsid w:val="005D2F97"/>
    <w:rsid w:val="005D7EB0"/>
    <w:rsid w:val="005E1CA7"/>
    <w:rsid w:val="005E4FB4"/>
    <w:rsid w:val="005F63AB"/>
    <w:rsid w:val="00604CF3"/>
    <w:rsid w:val="0061450A"/>
    <w:rsid w:val="00626B3F"/>
    <w:rsid w:val="00635391"/>
    <w:rsid w:val="00637F7D"/>
    <w:rsid w:val="006909D6"/>
    <w:rsid w:val="006975D0"/>
    <w:rsid w:val="006A1318"/>
    <w:rsid w:val="006A601E"/>
    <w:rsid w:val="006A7D0B"/>
    <w:rsid w:val="006C498A"/>
    <w:rsid w:val="006C53DE"/>
    <w:rsid w:val="006D343B"/>
    <w:rsid w:val="006D3971"/>
    <w:rsid w:val="006E1F24"/>
    <w:rsid w:val="006E23C8"/>
    <w:rsid w:val="006E3931"/>
    <w:rsid w:val="006F06FE"/>
    <w:rsid w:val="006F2986"/>
    <w:rsid w:val="00702CB7"/>
    <w:rsid w:val="00705962"/>
    <w:rsid w:val="00711871"/>
    <w:rsid w:val="00721B65"/>
    <w:rsid w:val="0073212A"/>
    <w:rsid w:val="00735E88"/>
    <w:rsid w:val="00743CB8"/>
    <w:rsid w:val="00763D50"/>
    <w:rsid w:val="00766A4D"/>
    <w:rsid w:val="00774011"/>
    <w:rsid w:val="00783E7A"/>
    <w:rsid w:val="00786D61"/>
    <w:rsid w:val="00787795"/>
    <w:rsid w:val="00790778"/>
    <w:rsid w:val="00791C4B"/>
    <w:rsid w:val="007A05D1"/>
    <w:rsid w:val="007A6306"/>
    <w:rsid w:val="008079A8"/>
    <w:rsid w:val="00820E44"/>
    <w:rsid w:val="00822650"/>
    <w:rsid w:val="00823D9F"/>
    <w:rsid w:val="008470BA"/>
    <w:rsid w:val="00872BB5"/>
    <w:rsid w:val="00890664"/>
    <w:rsid w:val="008E1E6C"/>
    <w:rsid w:val="009145F9"/>
    <w:rsid w:val="00921A57"/>
    <w:rsid w:val="00923AC8"/>
    <w:rsid w:val="00925B90"/>
    <w:rsid w:val="00934F15"/>
    <w:rsid w:val="00945303"/>
    <w:rsid w:val="00963282"/>
    <w:rsid w:val="009674A4"/>
    <w:rsid w:val="00987C74"/>
    <w:rsid w:val="00992E7D"/>
    <w:rsid w:val="00994F10"/>
    <w:rsid w:val="009974EB"/>
    <w:rsid w:val="009A5AC5"/>
    <w:rsid w:val="009C144E"/>
    <w:rsid w:val="009C4452"/>
    <w:rsid w:val="009D0825"/>
    <w:rsid w:val="009D73D5"/>
    <w:rsid w:val="009F376F"/>
    <w:rsid w:val="00A162FD"/>
    <w:rsid w:val="00A16332"/>
    <w:rsid w:val="00A32D5F"/>
    <w:rsid w:val="00A36986"/>
    <w:rsid w:val="00A4394A"/>
    <w:rsid w:val="00A53E81"/>
    <w:rsid w:val="00A73682"/>
    <w:rsid w:val="00A75B88"/>
    <w:rsid w:val="00A93AD3"/>
    <w:rsid w:val="00A94CEC"/>
    <w:rsid w:val="00A9717E"/>
    <w:rsid w:val="00AB41FE"/>
    <w:rsid w:val="00AC14D7"/>
    <w:rsid w:val="00AC5226"/>
    <w:rsid w:val="00AD490D"/>
    <w:rsid w:val="00AD7AF8"/>
    <w:rsid w:val="00AE4114"/>
    <w:rsid w:val="00AE7409"/>
    <w:rsid w:val="00B04731"/>
    <w:rsid w:val="00B047B8"/>
    <w:rsid w:val="00B131B9"/>
    <w:rsid w:val="00B14AE5"/>
    <w:rsid w:val="00B2249A"/>
    <w:rsid w:val="00B350EB"/>
    <w:rsid w:val="00B35122"/>
    <w:rsid w:val="00B36F3F"/>
    <w:rsid w:val="00B40967"/>
    <w:rsid w:val="00B642F0"/>
    <w:rsid w:val="00B6565A"/>
    <w:rsid w:val="00B93BDC"/>
    <w:rsid w:val="00BC6063"/>
    <w:rsid w:val="00BF4151"/>
    <w:rsid w:val="00C12F88"/>
    <w:rsid w:val="00C1419C"/>
    <w:rsid w:val="00C14C27"/>
    <w:rsid w:val="00C20D01"/>
    <w:rsid w:val="00C26DCD"/>
    <w:rsid w:val="00C34394"/>
    <w:rsid w:val="00C4600E"/>
    <w:rsid w:val="00C5776A"/>
    <w:rsid w:val="00C70201"/>
    <w:rsid w:val="00C73AAE"/>
    <w:rsid w:val="00C8252F"/>
    <w:rsid w:val="00C82DD8"/>
    <w:rsid w:val="00CB7810"/>
    <w:rsid w:val="00CE59ED"/>
    <w:rsid w:val="00CF515B"/>
    <w:rsid w:val="00D04A64"/>
    <w:rsid w:val="00D43442"/>
    <w:rsid w:val="00D4354D"/>
    <w:rsid w:val="00D60A91"/>
    <w:rsid w:val="00DA0929"/>
    <w:rsid w:val="00DA735A"/>
    <w:rsid w:val="00DA7B7E"/>
    <w:rsid w:val="00DD38FF"/>
    <w:rsid w:val="00DD3B0A"/>
    <w:rsid w:val="00E07D11"/>
    <w:rsid w:val="00E26437"/>
    <w:rsid w:val="00E5050F"/>
    <w:rsid w:val="00E524A9"/>
    <w:rsid w:val="00E57C84"/>
    <w:rsid w:val="00E82994"/>
    <w:rsid w:val="00EB22E9"/>
    <w:rsid w:val="00EB3A98"/>
    <w:rsid w:val="00EE221D"/>
    <w:rsid w:val="00F01060"/>
    <w:rsid w:val="00F07555"/>
    <w:rsid w:val="00F17BFC"/>
    <w:rsid w:val="00F23C78"/>
    <w:rsid w:val="00F37D54"/>
    <w:rsid w:val="00F538EE"/>
    <w:rsid w:val="00F838E6"/>
    <w:rsid w:val="00F87425"/>
    <w:rsid w:val="00FB31D2"/>
    <w:rsid w:val="00FD1A72"/>
    <w:rsid w:val="00FE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CA1"/>
  <w15:chartTrackingRefBased/>
  <w15:docId w15:val="{A0648D77-2138-D943-A1FA-167815AD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B8"/>
    <w:rPr>
      <w:lang w:val="en-CA"/>
    </w:rPr>
  </w:style>
  <w:style w:type="paragraph" w:styleId="Heading1">
    <w:name w:val="heading 1"/>
    <w:basedOn w:val="ListParagraph"/>
    <w:next w:val="Normal"/>
    <w:link w:val="Heading1Char"/>
    <w:uiPriority w:val="9"/>
    <w:qFormat/>
    <w:rsid w:val="00743CB8"/>
    <w:pPr>
      <w:numPr>
        <w:numId w:val="1"/>
      </w:numPr>
      <w:outlineLvl w:val="0"/>
    </w:pPr>
    <w:rPr>
      <w:rFonts w:ascii="Arial" w:eastAsia="SimSun" w:hAnsi="Arial" w:cs="Arial"/>
      <w:b/>
      <w:szCs w:val="20"/>
      <w:lang w:val="en-AU" w:eastAsia="zh-CN"/>
    </w:rPr>
  </w:style>
  <w:style w:type="paragraph" w:styleId="Heading2">
    <w:name w:val="heading 2"/>
    <w:basedOn w:val="ListParagraph"/>
    <w:next w:val="Normal"/>
    <w:link w:val="Heading2Char"/>
    <w:uiPriority w:val="9"/>
    <w:unhideWhenUsed/>
    <w:qFormat/>
    <w:rsid w:val="00743CB8"/>
    <w:pPr>
      <w:numPr>
        <w:ilvl w:val="1"/>
        <w:numId w:val="1"/>
      </w:numPr>
      <w:outlineLvl w:val="1"/>
    </w:pPr>
    <w:rPr>
      <w:rFonts w:ascii="Arial" w:eastAsia="SimSun" w:hAnsi="Arial" w:cs="Arial"/>
      <w:sz w:val="20"/>
      <w:szCs w:val="20"/>
      <w:lang w:val="en-AU" w:eastAsia="zh-CN"/>
    </w:rPr>
  </w:style>
  <w:style w:type="paragraph" w:styleId="Heading3">
    <w:name w:val="heading 3"/>
    <w:basedOn w:val="ListParagraph"/>
    <w:next w:val="Normal"/>
    <w:link w:val="Heading3Char"/>
    <w:uiPriority w:val="9"/>
    <w:unhideWhenUsed/>
    <w:qFormat/>
    <w:rsid w:val="00743CB8"/>
    <w:pPr>
      <w:numPr>
        <w:ilvl w:val="2"/>
        <w:numId w:val="1"/>
      </w:numPr>
      <w:outlineLvl w:val="2"/>
    </w:pPr>
    <w:rPr>
      <w:rFonts w:ascii="Arial" w:eastAsia="SimSun" w:hAnsi="Arial" w:cs="Arial"/>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CB8"/>
    <w:rPr>
      <w:rFonts w:ascii="Arial" w:eastAsia="SimSun" w:hAnsi="Arial" w:cs="Arial"/>
      <w:b/>
      <w:szCs w:val="20"/>
      <w:lang w:eastAsia="zh-CN"/>
    </w:rPr>
  </w:style>
  <w:style w:type="character" w:customStyle="1" w:styleId="Heading2Char">
    <w:name w:val="Heading 2 Char"/>
    <w:basedOn w:val="DefaultParagraphFont"/>
    <w:link w:val="Heading2"/>
    <w:uiPriority w:val="9"/>
    <w:rsid w:val="00743CB8"/>
    <w:rPr>
      <w:rFonts w:ascii="Arial" w:eastAsia="SimSun" w:hAnsi="Arial" w:cs="Arial"/>
      <w:sz w:val="20"/>
      <w:szCs w:val="20"/>
      <w:lang w:eastAsia="zh-CN"/>
    </w:rPr>
  </w:style>
  <w:style w:type="character" w:customStyle="1" w:styleId="Heading3Char">
    <w:name w:val="Heading 3 Char"/>
    <w:basedOn w:val="DefaultParagraphFont"/>
    <w:link w:val="Heading3"/>
    <w:uiPriority w:val="9"/>
    <w:rsid w:val="00743CB8"/>
    <w:rPr>
      <w:rFonts w:ascii="Arial" w:eastAsia="SimSun" w:hAnsi="Arial" w:cs="Arial"/>
      <w:sz w:val="20"/>
      <w:szCs w:val="20"/>
      <w:lang w:eastAsia="zh-CN"/>
    </w:rPr>
  </w:style>
  <w:style w:type="paragraph" w:styleId="ListParagraph">
    <w:name w:val="List Paragraph"/>
    <w:basedOn w:val="Normal"/>
    <w:uiPriority w:val="34"/>
    <w:qFormat/>
    <w:rsid w:val="00743CB8"/>
    <w:pPr>
      <w:ind w:left="720"/>
      <w:contextualSpacing/>
    </w:pPr>
  </w:style>
  <w:style w:type="paragraph" w:styleId="CommentText">
    <w:name w:val="annotation text"/>
    <w:basedOn w:val="Normal"/>
    <w:link w:val="CommentTextChar"/>
    <w:uiPriority w:val="99"/>
    <w:unhideWhenUsed/>
    <w:rsid w:val="00743CB8"/>
    <w:rPr>
      <w:sz w:val="20"/>
      <w:szCs w:val="20"/>
    </w:rPr>
  </w:style>
  <w:style w:type="character" w:customStyle="1" w:styleId="CommentTextChar">
    <w:name w:val="Comment Text Char"/>
    <w:basedOn w:val="DefaultParagraphFont"/>
    <w:link w:val="CommentText"/>
    <w:uiPriority w:val="99"/>
    <w:rsid w:val="00743CB8"/>
    <w:rPr>
      <w:sz w:val="20"/>
      <w:szCs w:val="20"/>
      <w:lang w:val="en-CA"/>
    </w:rPr>
  </w:style>
  <w:style w:type="paragraph" w:styleId="Revision">
    <w:name w:val="Revision"/>
    <w:hidden/>
    <w:uiPriority w:val="99"/>
    <w:semiHidden/>
    <w:rsid w:val="006E1F2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21850</Words>
  <Characters>124547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Cooke</dc:creator>
  <cp:keywords/>
  <dc:description/>
  <cp:lastModifiedBy>Maureen</cp:lastModifiedBy>
  <cp:revision>2</cp:revision>
  <dcterms:created xsi:type="dcterms:W3CDTF">2023-04-11T19:39:00Z</dcterms:created>
  <dcterms:modified xsi:type="dcterms:W3CDTF">2023-04-11T19:39:00Z</dcterms:modified>
</cp:coreProperties>
</file>