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79098" w14:textId="462A0A12" w:rsidR="00CF7395" w:rsidRPr="00CF7395" w:rsidRDefault="00CF7395" w:rsidP="00CF7395">
      <w:pPr>
        <w:spacing w:line="480" w:lineRule="auto"/>
        <w:rPr>
          <w:b/>
        </w:rPr>
      </w:pPr>
      <w:r w:rsidRPr="001531BD">
        <w:rPr>
          <w:b/>
          <w:color w:val="222222"/>
          <w:shd w:val="clear" w:color="auto" w:fill="FFFFFF"/>
        </w:rPr>
        <w:t xml:space="preserve">SUPPLEMENTAL DIGITAL CONTENT </w:t>
      </w:r>
      <w:r>
        <w:rPr>
          <w:b/>
          <w:color w:val="222222"/>
          <w:shd w:val="clear" w:color="auto" w:fill="FFFFFF"/>
        </w:rPr>
        <w:t>1</w:t>
      </w:r>
      <w:bookmarkStart w:id="0" w:name="_GoBack"/>
      <w:bookmarkEnd w:id="0"/>
    </w:p>
    <w:p w14:paraId="05C24C3B" w14:textId="77777777" w:rsidR="00CF7395" w:rsidRPr="00CF7395" w:rsidRDefault="00CF7395" w:rsidP="001833DE">
      <w:pPr>
        <w:spacing w:line="480" w:lineRule="auto"/>
        <w:jc w:val="center"/>
        <w:rPr>
          <w:b/>
          <w:bCs/>
          <w:color w:val="000000" w:themeColor="text1"/>
          <w:szCs w:val="28"/>
          <w:u w:val="single"/>
        </w:rPr>
      </w:pPr>
    </w:p>
    <w:p w14:paraId="5D29C204" w14:textId="22F7569B" w:rsidR="001A3283" w:rsidRPr="00CF7395" w:rsidRDefault="001A3283" w:rsidP="001833DE">
      <w:pPr>
        <w:spacing w:line="480" w:lineRule="auto"/>
        <w:jc w:val="center"/>
        <w:rPr>
          <w:b/>
          <w:bCs/>
          <w:color w:val="000000" w:themeColor="text1"/>
          <w:szCs w:val="28"/>
          <w:u w:val="single"/>
        </w:rPr>
      </w:pPr>
      <w:r w:rsidRPr="00CF7395">
        <w:rPr>
          <w:b/>
          <w:bCs/>
          <w:color w:val="000000" w:themeColor="text1"/>
          <w:szCs w:val="28"/>
          <w:u w:val="single"/>
        </w:rPr>
        <w:t xml:space="preserve">SPINE PROTOCOL FOR PATIENTS UNDERGOING HIGH-RISK SPINE SURGERY </w:t>
      </w:r>
    </w:p>
    <w:p w14:paraId="2604F83C" w14:textId="77777777" w:rsidR="001A3283" w:rsidRPr="00EB62D1" w:rsidRDefault="001A3283" w:rsidP="001833DE">
      <w:pPr>
        <w:spacing w:line="480" w:lineRule="auto"/>
        <w:jc w:val="center"/>
        <w:rPr>
          <w:b/>
          <w:color w:val="000000" w:themeColor="text1"/>
        </w:rPr>
      </w:pPr>
    </w:p>
    <w:p w14:paraId="27B3D50A" w14:textId="77777777" w:rsidR="001A3283" w:rsidRPr="00EB62D1" w:rsidRDefault="001A3283" w:rsidP="001833DE">
      <w:pPr>
        <w:spacing w:line="480" w:lineRule="auto"/>
        <w:rPr>
          <w:b/>
          <w:bCs/>
          <w:color w:val="000000" w:themeColor="text1"/>
        </w:rPr>
      </w:pPr>
      <w:r w:rsidRPr="00EB62D1">
        <w:rPr>
          <w:b/>
          <w:bCs/>
          <w:color w:val="000000" w:themeColor="text1"/>
        </w:rPr>
        <w:t>PREOPERATIVE MANAGEMENT</w:t>
      </w:r>
    </w:p>
    <w:p w14:paraId="39009FCC" w14:textId="77777777" w:rsidR="001A3283" w:rsidRPr="00EB62D1" w:rsidRDefault="001A3283" w:rsidP="001833DE">
      <w:pPr>
        <w:spacing w:line="480" w:lineRule="auto"/>
        <w:rPr>
          <w:color w:val="000000" w:themeColor="text1"/>
        </w:rPr>
      </w:pPr>
      <w:r w:rsidRPr="00EB62D1">
        <w:rPr>
          <w:b/>
          <w:bCs/>
          <w:color w:val="000000" w:themeColor="text1"/>
        </w:rPr>
        <w:t>Before the day of Surgery</w:t>
      </w:r>
      <w:r w:rsidRPr="00EB62D1">
        <w:rPr>
          <w:color w:val="000000" w:themeColor="text1"/>
        </w:rPr>
        <w:t>:</w:t>
      </w:r>
    </w:p>
    <w:p w14:paraId="67FF33AB" w14:textId="51428C9C" w:rsidR="001A3283" w:rsidRPr="00EB62D1" w:rsidRDefault="001A3283" w:rsidP="001833DE">
      <w:pPr>
        <w:numPr>
          <w:ilvl w:val="0"/>
          <w:numId w:val="1"/>
        </w:numPr>
        <w:spacing w:line="480" w:lineRule="auto"/>
        <w:contextualSpacing/>
        <w:rPr>
          <w:color w:val="000000" w:themeColor="text1"/>
        </w:rPr>
      </w:pPr>
      <w:r w:rsidRPr="00EB62D1">
        <w:rPr>
          <w:color w:val="000000" w:themeColor="text1"/>
        </w:rPr>
        <w:t>Identification of Spine Protocol patients prior to surgery</w:t>
      </w:r>
      <w:r w:rsidRPr="00EB62D1">
        <w:rPr>
          <w:color w:val="000000" w:themeColor="text1"/>
          <w:vertAlign w:val="superscript"/>
        </w:rPr>
        <w:t>1</w:t>
      </w:r>
      <w:r w:rsidRPr="00EB62D1">
        <w:rPr>
          <w:color w:val="000000" w:themeColor="text1"/>
        </w:rPr>
        <w:t>:</w:t>
      </w:r>
    </w:p>
    <w:p w14:paraId="446E09CD" w14:textId="77777777" w:rsidR="001A3283" w:rsidRPr="00EB62D1" w:rsidRDefault="001A3283" w:rsidP="001833DE">
      <w:pPr>
        <w:pStyle w:val="ListParagraph"/>
        <w:numPr>
          <w:ilvl w:val="1"/>
          <w:numId w:val="1"/>
        </w:numPr>
        <w:spacing w:line="480" w:lineRule="auto"/>
        <w:rPr>
          <w:color w:val="000000" w:themeColor="text1"/>
        </w:rPr>
      </w:pPr>
      <w:r w:rsidRPr="00EB62D1">
        <w:rPr>
          <w:color w:val="000000" w:themeColor="text1"/>
        </w:rPr>
        <w:t>Surgery involving &gt; 6 spine levels</w:t>
      </w:r>
    </w:p>
    <w:p w14:paraId="4C7ADFC7" w14:textId="77777777" w:rsidR="001A3283" w:rsidRPr="00EB62D1" w:rsidRDefault="001A3283" w:rsidP="001833DE">
      <w:pPr>
        <w:pStyle w:val="ListParagraph"/>
        <w:numPr>
          <w:ilvl w:val="1"/>
          <w:numId w:val="1"/>
        </w:numPr>
        <w:spacing w:line="480" w:lineRule="auto"/>
        <w:rPr>
          <w:color w:val="000000" w:themeColor="text1"/>
        </w:rPr>
      </w:pPr>
      <w:r w:rsidRPr="00EB62D1">
        <w:rPr>
          <w:color w:val="000000" w:themeColor="text1"/>
        </w:rPr>
        <w:t>Surgical timeline &gt; 6 hours</w:t>
      </w:r>
    </w:p>
    <w:p w14:paraId="20E7BB1F" w14:textId="77777777" w:rsidR="001A3283" w:rsidRPr="00EB62D1" w:rsidRDefault="001A3283" w:rsidP="001833DE">
      <w:pPr>
        <w:pStyle w:val="ListParagraph"/>
        <w:numPr>
          <w:ilvl w:val="1"/>
          <w:numId w:val="1"/>
        </w:numPr>
        <w:spacing w:line="480" w:lineRule="auto"/>
        <w:rPr>
          <w:color w:val="000000" w:themeColor="text1"/>
        </w:rPr>
      </w:pPr>
      <w:r w:rsidRPr="00EB62D1">
        <w:rPr>
          <w:color w:val="000000" w:themeColor="text1"/>
        </w:rPr>
        <w:t>Predicted blood loss &gt; 2 liters, or</w:t>
      </w:r>
    </w:p>
    <w:p w14:paraId="75026854" w14:textId="1F987B07"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 xml:space="preserve">1 or more </w:t>
      </w:r>
      <w:r w:rsidR="00062EB9" w:rsidRPr="00EB62D1">
        <w:rPr>
          <w:color w:val="000000" w:themeColor="text1"/>
        </w:rPr>
        <w:t>v</w:t>
      </w:r>
      <w:r w:rsidRPr="00EB62D1">
        <w:rPr>
          <w:color w:val="000000" w:themeColor="text1"/>
        </w:rPr>
        <w:t>ertebral column resection</w:t>
      </w:r>
    </w:p>
    <w:p w14:paraId="78695712" w14:textId="77777777"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2 or more pedicle subtraction osteotomy</w:t>
      </w:r>
    </w:p>
    <w:p w14:paraId="7C3E57C7" w14:textId="77777777"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3 or more Smith-Petersen osteotomy</w:t>
      </w:r>
    </w:p>
    <w:p w14:paraId="7EBA7270" w14:textId="77777777" w:rsidR="001A3283" w:rsidRPr="00EB62D1" w:rsidRDefault="001A3283" w:rsidP="001833DE">
      <w:pPr>
        <w:pStyle w:val="ListParagraph"/>
        <w:numPr>
          <w:ilvl w:val="1"/>
          <w:numId w:val="1"/>
        </w:numPr>
        <w:spacing w:line="480" w:lineRule="auto"/>
        <w:rPr>
          <w:color w:val="000000" w:themeColor="text1"/>
        </w:rPr>
      </w:pPr>
      <w:r w:rsidRPr="00EB62D1">
        <w:rPr>
          <w:color w:val="000000" w:themeColor="text1"/>
        </w:rPr>
        <w:t>Combined anterior and posterior approach</w:t>
      </w:r>
    </w:p>
    <w:p w14:paraId="51C52A59" w14:textId="1AA0B6ED" w:rsidR="001A3283" w:rsidRPr="00EB62D1" w:rsidRDefault="001A3283" w:rsidP="001833DE">
      <w:pPr>
        <w:pStyle w:val="ListParagraph"/>
        <w:numPr>
          <w:ilvl w:val="1"/>
          <w:numId w:val="1"/>
        </w:numPr>
        <w:spacing w:line="480" w:lineRule="auto"/>
        <w:rPr>
          <w:color w:val="000000" w:themeColor="text1"/>
        </w:rPr>
      </w:pPr>
      <w:r w:rsidRPr="00EB62D1">
        <w:rPr>
          <w:color w:val="000000" w:themeColor="text1"/>
        </w:rPr>
        <w:t>Staged procedure</w:t>
      </w:r>
      <w:r w:rsidR="00F44773" w:rsidRPr="00EB62D1">
        <w:rPr>
          <w:color w:val="000000" w:themeColor="text1"/>
        </w:rPr>
        <w:t xml:space="preserve"> </w:t>
      </w:r>
      <w:r w:rsidR="00EB57E5" w:rsidRPr="00EB62D1">
        <w:rPr>
          <w:color w:val="000000" w:themeColor="text1"/>
        </w:rPr>
        <w:t>(not minimally invasive and/or one-two-level fusion procedures)</w:t>
      </w:r>
    </w:p>
    <w:p w14:paraId="13F67552" w14:textId="61A4B335" w:rsidR="001A3283" w:rsidRPr="00EB62D1" w:rsidRDefault="001A3283" w:rsidP="001833DE">
      <w:pPr>
        <w:pStyle w:val="ListParagraph"/>
        <w:numPr>
          <w:ilvl w:val="1"/>
          <w:numId w:val="1"/>
        </w:numPr>
        <w:spacing w:line="480" w:lineRule="auto"/>
        <w:rPr>
          <w:color w:val="000000" w:themeColor="text1"/>
        </w:rPr>
      </w:pPr>
      <w:r w:rsidRPr="00EB62D1">
        <w:rPr>
          <w:color w:val="000000" w:themeColor="text1"/>
        </w:rPr>
        <w:t>Classified as high risk by the spine surgeon</w:t>
      </w:r>
    </w:p>
    <w:p w14:paraId="70FF8E39" w14:textId="047C991C" w:rsidR="001A3283" w:rsidRPr="00EB62D1" w:rsidRDefault="001A3283" w:rsidP="001833DE">
      <w:pPr>
        <w:pStyle w:val="ListParagraph"/>
        <w:numPr>
          <w:ilvl w:val="1"/>
          <w:numId w:val="1"/>
        </w:numPr>
        <w:spacing w:line="480" w:lineRule="auto"/>
        <w:rPr>
          <w:color w:val="000000" w:themeColor="text1"/>
        </w:rPr>
      </w:pPr>
      <w:r w:rsidRPr="00EB62D1">
        <w:rPr>
          <w:color w:val="000000" w:themeColor="text1"/>
        </w:rPr>
        <w:t>Patients who have significant co-morbidities and are of advanced age (coronary artery disease, pulmonary</w:t>
      </w:r>
      <w:r w:rsidR="00EB57E5" w:rsidRPr="00EB62D1">
        <w:rPr>
          <w:color w:val="000000" w:themeColor="text1"/>
        </w:rPr>
        <w:t xml:space="preserve"> (</w:t>
      </w:r>
      <w:r w:rsidR="00EB57E5" w:rsidRPr="00EB62D1">
        <w:rPr>
          <w:color w:val="000000" w:themeColor="text1"/>
          <w:shd w:val="clear" w:color="auto" w:fill="FFFFFF"/>
        </w:rPr>
        <w:t>disease causing functional impairment: severe COPD, Pulmonary fibrosis, impaired diffusion capacity)</w:t>
      </w:r>
      <w:r w:rsidRPr="00EB62D1">
        <w:rPr>
          <w:color w:val="000000" w:themeColor="text1"/>
        </w:rPr>
        <w:t>, liver, end stage renal diseases, existing coagulopathy, age &gt; 70)</w:t>
      </w:r>
    </w:p>
    <w:p w14:paraId="17000CD5" w14:textId="77777777" w:rsidR="001833DE" w:rsidRPr="00EB62D1" w:rsidRDefault="001833DE" w:rsidP="001833DE">
      <w:pPr>
        <w:pStyle w:val="ListParagraph"/>
        <w:spacing w:line="480" w:lineRule="auto"/>
        <w:ind w:left="1440"/>
        <w:rPr>
          <w:color w:val="000000" w:themeColor="text1"/>
        </w:rPr>
      </w:pPr>
    </w:p>
    <w:p w14:paraId="77F8FF0C" w14:textId="77777777" w:rsidR="001A3283" w:rsidRPr="00EB62D1" w:rsidRDefault="001A3283" w:rsidP="001833DE">
      <w:pPr>
        <w:pStyle w:val="ListParagraph"/>
        <w:spacing w:line="480" w:lineRule="auto"/>
        <w:ind w:left="1440"/>
        <w:rPr>
          <w:color w:val="000000" w:themeColor="text1"/>
        </w:rPr>
      </w:pPr>
    </w:p>
    <w:tbl>
      <w:tblPr>
        <w:tblStyle w:val="TableGrid"/>
        <w:tblW w:w="0" w:type="auto"/>
        <w:tblInd w:w="1440" w:type="dxa"/>
        <w:tblLook w:val="04A0" w:firstRow="1" w:lastRow="0" w:firstColumn="1" w:lastColumn="0" w:noHBand="0" w:noVBand="1"/>
      </w:tblPr>
      <w:tblGrid>
        <w:gridCol w:w="7910"/>
      </w:tblGrid>
      <w:tr w:rsidR="001A3283" w:rsidRPr="00EB62D1" w14:paraId="69515BD9" w14:textId="77777777" w:rsidTr="004D4A9C">
        <w:tc>
          <w:tcPr>
            <w:tcW w:w="9864" w:type="dxa"/>
            <w:shd w:val="clear" w:color="auto" w:fill="E0E0E0"/>
          </w:tcPr>
          <w:p w14:paraId="265D6DFD" w14:textId="77777777" w:rsidR="001A3283" w:rsidRPr="00EB62D1" w:rsidRDefault="001A3283" w:rsidP="001833DE">
            <w:pPr>
              <w:pStyle w:val="ListParagraph"/>
              <w:spacing w:line="480" w:lineRule="auto"/>
              <w:ind w:left="0"/>
              <w:jc w:val="center"/>
              <w:rPr>
                <w:bCs/>
                <w:color w:val="000000" w:themeColor="text1"/>
              </w:rPr>
            </w:pPr>
            <w:r w:rsidRPr="00EB62D1">
              <w:rPr>
                <w:bCs/>
                <w:color w:val="000000" w:themeColor="text1"/>
              </w:rPr>
              <w:lastRenderedPageBreak/>
              <w:t>PREOPERATIVE CHECK LIST</w:t>
            </w:r>
          </w:p>
        </w:tc>
      </w:tr>
      <w:tr w:rsidR="001A3283" w:rsidRPr="00EB62D1" w14:paraId="3B20D0FD" w14:textId="77777777" w:rsidTr="004D4A9C">
        <w:tc>
          <w:tcPr>
            <w:tcW w:w="9864" w:type="dxa"/>
          </w:tcPr>
          <w:p w14:paraId="713D84F9" w14:textId="77777777" w:rsidR="001A3283" w:rsidRPr="00EB62D1" w:rsidRDefault="001A3283" w:rsidP="001833DE">
            <w:pPr>
              <w:pStyle w:val="ListParagraph"/>
              <w:numPr>
                <w:ilvl w:val="0"/>
                <w:numId w:val="2"/>
              </w:numPr>
              <w:spacing w:line="480" w:lineRule="auto"/>
              <w:rPr>
                <w:color w:val="000000" w:themeColor="text1"/>
              </w:rPr>
            </w:pPr>
            <w:r w:rsidRPr="00EB62D1">
              <w:rPr>
                <w:color w:val="000000" w:themeColor="text1"/>
              </w:rPr>
              <w:t>Initial visit to surgeon’s office</w:t>
            </w:r>
          </w:p>
          <w:p w14:paraId="602328EF" w14:textId="77777777" w:rsidR="001A3283" w:rsidRPr="00EB62D1" w:rsidRDefault="001A3283" w:rsidP="001833DE">
            <w:pPr>
              <w:pStyle w:val="ListParagraph"/>
              <w:numPr>
                <w:ilvl w:val="0"/>
                <w:numId w:val="2"/>
              </w:numPr>
              <w:spacing w:line="480" w:lineRule="auto"/>
              <w:rPr>
                <w:color w:val="000000" w:themeColor="text1"/>
              </w:rPr>
            </w:pPr>
            <w:r w:rsidRPr="00EB62D1">
              <w:rPr>
                <w:color w:val="000000" w:themeColor="text1"/>
              </w:rPr>
              <w:t>Consult with clinical specialists</w:t>
            </w:r>
          </w:p>
          <w:p w14:paraId="3FE648FE" w14:textId="548E994D" w:rsidR="001A3283" w:rsidRPr="00EB62D1" w:rsidRDefault="001A3283" w:rsidP="001833DE">
            <w:pPr>
              <w:pStyle w:val="ListParagraph"/>
              <w:numPr>
                <w:ilvl w:val="0"/>
                <w:numId w:val="2"/>
              </w:numPr>
              <w:spacing w:line="480" w:lineRule="auto"/>
              <w:rPr>
                <w:color w:val="000000" w:themeColor="text1"/>
              </w:rPr>
            </w:pPr>
            <w:r w:rsidRPr="00EB62D1">
              <w:rPr>
                <w:color w:val="000000" w:themeColor="text1"/>
              </w:rPr>
              <w:t>Consult with Preop</w:t>
            </w:r>
            <w:r w:rsidR="00357E90" w:rsidRPr="00EB62D1">
              <w:rPr>
                <w:color w:val="000000" w:themeColor="text1"/>
              </w:rPr>
              <w:t>erative</w:t>
            </w:r>
            <w:r w:rsidRPr="00EB62D1">
              <w:rPr>
                <w:color w:val="000000" w:themeColor="text1"/>
              </w:rPr>
              <w:t xml:space="preserve"> Clinic with anesthesiologist</w:t>
            </w:r>
          </w:p>
          <w:p w14:paraId="008B0EE5" w14:textId="7D9BF4FD" w:rsidR="001A3283" w:rsidRPr="00EB62D1" w:rsidRDefault="001A3283" w:rsidP="001833DE">
            <w:pPr>
              <w:pStyle w:val="ListParagraph"/>
              <w:numPr>
                <w:ilvl w:val="0"/>
                <w:numId w:val="2"/>
              </w:numPr>
              <w:spacing w:line="480" w:lineRule="auto"/>
              <w:rPr>
                <w:color w:val="000000" w:themeColor="text1"/>
              </w:rPr>
            </w:pPr>
            <w:r w:rsidRPr="00EB62D1">
              <w:rPr>
                <w:color w:val="000000" w:themeColor="text1"/>
              </w:rPr>
              <w:t>Additional consultation</w:t>
            </w:r>
            <w:r w:rsidR="00357E90" w:rsidRPr="00EB62D1">
              <w:rPr>
                <w:color w:val="000000" w:themeColor="text1"/>
              </w:rPr>
              <w:t>,</w:t>
            </w:r>
            <w:r w:rsidRPr="00EB62D1">
              <w:rPr>
                <w:color w:val="000000" w:themeColor="text1"/>
              </w:rPr>
              <w:t xml:space="preserve"> if warranted</w:t>
            </w:r>
          </w:p>
          <w:p w14:paraId="71C719C4" w14:textId="77777777" w:rsidR="001A3283" w:rsidRPr="00EB62D1" w:rsidRDefault="001A3283" w:rsidP="001833DE">
            <w:pPr>
              <w:pStyle w:val="ListParagraph"/>
              <w:numPr>
                <w:ilvl w:val="0"/>
                <w:numId w:val="2"/>
              </w:numPr>
              <w:spacing w:line="480" w:lineRule="auto"/>
              <w:rPr>
                <w:color w:val="000000" w:themeColor="text1"/>
              </w:rPr>
            </w:pPr>
            <w:r w:rsidRPr="00EB62D1">
              <w:rPr>
                <w:color w:val="000000" w:themeColor="text1"/>
              </w:rPr>
              <w:t>Discuss at multidisciplinary high-risk spine conference</w:t>
            </w:r>
          </w:p>
          <w:p w14:paraId="7E346558" w14:textId="77777777" w:rsidR="001A3283" w:rsidRPr="00EB62D1" w:rsidRDefault="001A3283" w:rsidP="001833DE">
            <w:pPr>
              <w:pStyle w:val="ListParagraph"/>
              <w:numPr>
                <w:ilvl w:val="0"/>
                <w:numId w:val="2"/>
              </w:numPr>
              <w:spacing w:line="480" w:lineRule="auto"/>
              <w:rPr>
                <w:color w:val="000000" w:themeColor="text1"/>
              </w:rPr>
            </w:pPr>
            <w:r w:rsidRPr="00EB62D1">
              <w:rPr>
                <w:color w:val="000000" w:themeColor="text1"/>
              </w:rPr>
              <w:t>Patient to the operating room</w:t>
            </w:r>
          </w:p>
        </w:tc>
      </w:tr>
    </w:tbl>
    <w:p w14:paraId="74FE42AA" w14:textId="77777777" w:rsidR="001A3283" w:rsidRPr="00EB62D1" w:rsidRDefault="001A3283" w:rsidP="001833DE">
      <w:pPr>
        <w:spacing w:line="480" w:lineRule="auto"/>
        <w:ind w:left="720"/>
        <w:contextualSpacing/>
        <w:rPr>
          <w:color w:val="000000" w:themeColor="text1"/>
        </w:rPr>
      </w:pPr>
    </w:p>
    <w:p w14:paraId="59505BE8" w14:textId="77777777" w:rsidR="001A3283" w:rsidRPr="00EB62D1" w:rsidRDefault="001A3283" w:rsidP="001833DE">
      <w:pPr>
        <w:numPr>
          <w:ilvl w:val="0"/>
          <w:numId w:val="1"/>
        </w:numPr>
        <w:spacing w:line="480" w:lineRule="auto"/>
        <w:contextualSpacing/>
        <w:rPr>
          <w:color w:val="000000" w:themeColor="text1"/>
        </w:rPr>
      </w:pPr>
      <w:r w:rsidRPr="00EB62D1">
        <w:rPr>
          <w:color w:val="000000" w:themeColor="text1"/>
        </w:rPr>
        <w:t>Initial visit to surgeon’s office - the decision to proceed with surgery is made during this visit</w:t>
      </w:r>
    </w:p>
    <w:p w14:paraId="7AE2BFB3" w14:textId="337B19D1" w:rsidR="001A3283" w:rsidRPr="00EB62D1" w:rsidRDefault="001A3283" w:rsidP="001833DE">
      <w:pPr>
        <w:pStyle w:val="ListParagraph"/>
        <w:spacing w:line="480" w:lineRule="auto"/>
        <w:rPr>
          <w:color w:val="000000" w:themeColor="text1"/>
        </w:rPr>
      </w:pPr>
      <w:r w:rsidRPr="00EB62D1">
        <w:rPr>
          <w:color w:val="000000" w:themeColor="text1"/>
        </w:rPr>
        <w:t>Consult with clinical specialist(s) - the patient is sent to clinical specialists for an evaluation of co-morbidities</w:t>
      </w:r>
      <w:r w:rsidR="00357E90" w:rsidRPr="00EB62D1">
        <w:rPr>
          <w:color w:val="000000" w:themeColor="text1"/>
        </w:rPr>
        <w:t>,</w:t>
      </w:r>
      <w:r w:rsidRPr="00EB62D1">
        <w:rPr>
          <w:color w:val="000000" w:themeColor="text1"/>
        </w:rPr>
        <w:t xml:space="preserve"> if necessary </w:t>
      </w:r>
    </w:p>
    <w:p w14:paraId="2B0AAC92" w14:textId="4553ABC0" w:rsidR="001853E6" w:rsidRPr="00EB62D1" w:rsidRDefault="001853E6" w:rsidP="001833DE">
      <w:pPr>
        <w:pStyle w:val="ListParagraph"/>
        <w:spacing w:line="480" w:lineRule="auto"/>
        <w:rPr>
          <w:color w:val="000000" w:themeColor="text1"/>
          <w:vertAlign w:val="superscript"/>
        </w:rPr>
      </w:pPr>
      <w:r w:rsidRPr="00EB62D1">
        <w:rPr>
          <w:color w:val="000000" w:themeColor="text1"/>
        </w:rPr>
        <w:t>Consult chronic pain specialist for opioid tapering in chronic pain patients</w:t>
      </w:r>
      <w:r w:rsidR="004D6EC0" w:rsidRPr="00EB62D1">
        <w:rPr>
          <w:color w:val="000000" w:themeColor="text1"/>
          <w:vertAlign w:val="superscript"/>
        </w:rPr>
        <w:t>2</w:t>
      </w:r>
      <w:r w:rsidRPr="00EB62D1">
        <w:rPr>
          <w:color w:val="000000" w:themeColor="text1"/>
          <w:vertAlign w:val="superscript"/>
        </w:rPr>
        <w:t>,</w:t>
      </w:r>
      <w:r w:rsidR="004D6EC0" w:rsidRPr="00EB62D1">
        <w:rPr>
          <w:color w:val="000000" w:themeColor="text1"/>
          <w:vertAlign w:val="superscript"/>
        </w:rPr>
        <w:t>3</w:t>
      </w:r>
    </w:p>
    <w:p w14:paraId="67E12FDC" w14:textId="7FBB3752" w:rsidR="001A3283" w:rsidRPr="00EB62D1" w:rsidRDefault="001A3283" w:rsidP="001833DE">
      <w:pPr>
        <w:numPr>
          <w:ilvl w:val="0"/>
          <w:numId w:val="1"/>
        </w:numPr>
        <w:spacing w:line="480" w:lineRule="auto"/>
        <w:contextualSpacing/>
        <w:rPr>
          <w:color w:val="000000" w:themeColor="text1"/>
        </w:rPr>
      </w:pPr>
      <w:r w:rsidRPr="00EB62D1">
        <w:rPr>
          <w:color w:val="000000" w:themeColor="text1"/>
        </w:rPr>
        <w:t>Visit to Preop</w:t>
      </w:r>
      <w:r w:rsidR="002D0682" w:rsidRPr="00EB62D1">
        <w:rPr>
          <w:color w:val="000000" w:themeColor="text1"/>
        </w:rPr>
        <w:t>erative</w:t>
      </w:r>
      <w:r w:rsidRPr="00EB62D1">
        <w:rPr>
          <w:color w:val="000000" w:themeColor="text1"/>
        </w:rPr>
        <w:t xml:space="preserve"> Clinic – </w:t>
      </w:r>
      <w:r w:rsidR="002D0682" w:rsidRPr="00EB62D1">
        <w:rPr>
          <w:color w:val="000000" w:themeColor="text1"/>
        </w:rPr>
        <w:t>s</w:t>
      </w:r>
      <w:r w:rsidRPr="00EB62D1">
        <w:rPr>
          <w:color w:val="000000" w:themeColor="text1"/>
        </w:rPr>
        <w:t>hould be scheduled three weeks prior to the scheduled operation</w:t>
      </w:r>
    </w:p>
    <w:p w14:paraId="44F5F23F" w14:textId="3793126B" w:rsidR="001A3283" w:rsidRPr="00EB62D1" w:rsidRDefault="001A3283" w:rsidP="001833DE">
      <w:pPr>
        <w:numPr>
          <w:ilvl w:val="1"/>
          <w:numId w:val="1"/>
        </w:numPr>
        <w:spacing w:line="480" w:lineRule="auto"/>
        <w:contextualSpacing/>
        <w:rPr>
          <w:color w:val="000000" w:themeColor="text1"/>
        </w:rPr>
      </w:pPr>
      <w:r w:rsidRPr="00EB62D1">
        <w:rPr>
          <w:color w:val="000000" w:themeColor="text1"/>
        </w:rPr>
        <w:t>H</w:t>
      </w:r>
      <w:r w:rsidR="002D0682" w:rsidRPr="00EB62D1">
        <w:rPr>
          <w:color w:val="000000" w:themeColor="text1"/>
        </w:rPr>
        <w:t>istory and Physical examination</w:t>
      </w:r>
      <w:r w:rsidRPr="00EB62D1">
        <w:rPr>
          <w:color w:val="000000" w:themeColor="text1"/>
        </w:rPr>
        <w:t xml:space="preserve">, laboratory orders – </w:t>
      </w:r>
    </w:p>
    <w:p w14:paraId="2A5B473C" w14:textId="6252E928"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C</w:t>
      </w:r>
      <w:r w:rsidR="00393844" w:rsidRPr="00EB62D1">
        <w:rPr>
          <w:color w:val="000000" w:themeColor="text1"/>
        </w:rPr>
        <w:t xml:space="preserve">omplete </w:t>
      </w:r>
      <w:r w:rsidRPr="00EB62D1">
        <w:rPr>
          <w:color w:val="000000" w:themeColor="text1"/>
        </w:rPr>
        <w:t>B</w:t>
      </w:r>
      <w:r w:rsidR="00393844" w:rsidRPr="00EB62D1">
        <w:rPr>
          <w:color w:val="000000" w:themeColor="text1"/>
        </w:rPr>
        <w:t xml:space="preserve">lood </w:t>
      </w:r>
      <w:r w:rsidRPr="00EB62D1">
        <w:rPr>
          <w:color w:val="000000" w:themeColor="text1"/>
        </w:rPr>
        <w:t>C</w:t>
      </w:r>
      <w:r w:rsidR="00393844" w:rsidRPr="00EB62D1">
        <w:rPr>
          <w:color w:val="000000" w:themeColor="text1"/>
        </w:rPr>
        <w:t>ount</w:t>
      </w:r>
      <w:r w:rsidRPr="00EB62D1">
        <w:rPr>
          <w:color w:val="000000" w:themeColor="text1"/>
        </w:rPr>
        <w:t>, Chemistry, Coagulation panel, T</w:t>
      </w:r>
      <w:r w:rsidR="002D0682" w:rsidRPr="00EB62D1">
        <w:rPr>
          <w:color w:val="000000" w:themeColor="text1"/>
        </w:rPr>
        <w:t xml:space="preserve">ype and </w:t>
      </w:r>
      <w:r w:rsidRPr="00EB62D1">
        <w:rPr>
          <w:color w:val="000000" w:themeColor="text1"/>
        </w:rPr>
        <w:t>S</w:t>
      </w:r>
      <w:r w:rsidR="002D0682" w:rsidRPr="00EB62D1">
        <w:rPr>
          <w:color w:val="000000" w:themeColor="text1"/>
        </w:rPr>
        <w:t>creen</w:t>
      </w:r>
      <w:r w:rsidRPr="00EB62D1">
        <w:rPr>
          <w:color w:val="000000" w:themeColor="text1"/>
        </w:rPr>
        <w:t>/T</w:t>
      </w:r>
      <w:r w:rsidR="002D0682" w:rsidRPr="00EB62D1">
        <w:rPr>
          <w:color w:val="000000" w:themeColor="text1"/>
        </w:rPr>
        <w:t>ype and Cross</w:t>
      </w:r>
      <w:r w:rsidRPr="00EB62D1">
        <w:rPr>
          <w:color w:val="000000" w:themeColor="text1"/>
        </w:rPr>
        <w:t xml:space="preserve"> (depending on anticipated blood loss)</w:t>
      </w:r>
      <w:r w:rsidR="00393844" w:rsidRPr="00EB62D1">
        <w:rPr>
          <w:color w:val="000000" w:themeColor="text1"/>
        </w:rPr>
        <w:t>,</w:t>
      </w:r>
      <w:r w:rsidRPr="00EB62D1">
        <w:rPr>
          <w:color w:val="000000" w:themeColor="text1"/>
        </w:rPr>
        <w:t xml:space="preserve"> and additional tests per patient’s co-morbidities</w:t>
      </w:r>
    </w:p>
    <w:p w14:paraId="0AC8954D" w14:textId="79E96BEA"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If patient is deemed to be in poor nutritional status, Prealbumin level should be checked. If less than 15 mg/dL, consider delaying surgery and getting a nutrition consult (</w:t>
      </w:r>
      <w:r w:rsidR="002D0682" w:rsidRPr="00EB62D1">
        <w:rPr>
          <w:color w:val="000000" w:themeColor="text1"/>
        </w:rPr>
        <w:t xml:space="preserve">will be related to the </w:t>
      </w:r>
      <w:r w:rsidR="002D0682" w:rsidRPr="00EB62D1">
        <w:rPr>
          <w:color w:val="212121"/>
          <w:shd w:val="clear" w:color="auto" w:fill="FFFFFF"/>
        </w:rPr>
        <w:t>s</w:t>
      </w:r>
      <w:r w:rsidR="00AC4641" w:rsidRPr="00EB62D1">
        <w:rPr>
          <w:color w:val="212121"/>
          <w:shd w:val="clear" w:color="auto" w:fill="FFFFFF"/>
        </w:rPr>
        <w:t>urgeon</w:t>
      </w:r>
      <w:r w:rsidRPr="00EB62D1">
        <w:rPr>
          <w:color w:val="000000" w:themeColor="text1"/>
        </w:rPr>
        <w:t>)</w:t>
      </w:r>
    </w:p>
    <w:p w14:paraId="4C146FE8" w14:textId="4357228A"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 xml:space="preserve">The following </w:t>
      </w:r>
      <w:r w:rsidRPr="00EB62D1">
        <w:rPr>
          <w:color w:val="000000" w:themeColor="text1"/>
          <w:u w:val="single"/>
        </w:rPr>
        <w:t>preoperative</w:t>
      </w:r>
      <w:r w:rsidRPr="00EB62D1">
        <w:rPr>
          <w:color w:val="000000" w:themeColor="text1"/>
        </w:rPr>
        <w:t xml:space="preserve"> </w:t>
      </w:r>
      <w:r w:rsidR="002D0682" w:rsidRPr="00EB62D1">
        <w:rPr>
          <w:color w:val="000000" w:themeColor="text1"/>
        </w:rPr>
        <w:t>Hemoglobin (Hgb)</w:t>
      </w:r>
      <w:r w:rsidRPr="00EB62D1">
        <w:rPr>
          <w:color w:val="000000" w:themeColor="text1"/>
        </w:rPr>
        <w:t xml:space="preserve"> goals </w:t>
      </w:r>
    </w:p>
    <w:p w14:paraId="4715F551" w14:textId="56D7557A" w:rsidR="001A3283" w:rsidRPr="00EB62D1" w:rsidRDefault="001A3283" w:rsidP="001833DE">
      <w:pPr>
        <w:pStyle w:val="ListParagraph"/>
        <w:numPr>
          <w:ilvl w:val="3"/>
          <w:numId w:val="1"/>
        </w:numPr>
        <w:spacing w:line="480" w:lineRule="auto"/>
        <w:rPr>
          <w:color w:val="000000" w:themeColor="text1"/>
        </w:rPr>
      </w:pPr>
      <w:r w:rsidRPr="00EB62D1">
        <w:rPr>
          <w:color w:val="000000" w:themeColor="text1"/>
        </w:rPr>
        <w:lastRenderedPageBreak/>
        <w:t>&lt;</w:t>
      </w:r>
      <w:r w:rsidR="00393844" w:rsidRPr="00EB62D1">
        <w:rPr>
          <w:color w:val="000000" w:themeColor="text1"/>
        </w:rPr>
        <w:t>75-year-old</w:t>
      </w:r>
      <w:r w:rsidRPr="00EB62D1">
        <w:rPr>
          <w:color w:val="000000" w:themeColor="text1"/>
        </w:rPr>
        <w:t xml:space="preserve">, no cardiac </w:t>
      </w:r>
      <w:r w:rsidR="002D0682" w:rsidRPr="00EB62D1">
        <w:rPr>
          <w:color w:val="000000" w:themeColor="text1"/>
        </w:rPr>
        <w:t>history</w:t>
      </w:r>
      <w:r w:rsidRPr="00EB62D1">
        <w:rPr>
          <w:color w:val="000000" w:themeColor="text1"/>
        </w:rPr>
        <w:t>: Hgb &gt; 11</w:t>
      </w:r>
    </w:p>
    <w:p w14:paraId="3070FCB1" w14:textId="122C107D" w:rsidR="001A3283" w:rsidRPr="00EB62D1" w:rsidRDefault="001A3283" w:rsidP="001833DE">
      <w:pPr>
        <w:pStyle w:val="ListParagraph"/>
        <w:numPr>
          <w:ilvl w:val="3"/>
          <w:numId w:val="1"/>
        </w:numPr>
        <w:spacing w:line="480" w:lineRule="auto"/>
        <w:rPr>
          <w:color w:val="000000" w:themeColor="text1"/>
        </w:rPr>
      </w:pPr>
      <w:r w:rsidRPr="00EB62D1">
        <w:rPr>
          <w:color w:val="000000" w:themeColor="text1"/>
        </w:rPr>
        <w:t>&gt;</w:t>
      </w:r>
      <w:r w:rsidR="00393844" w:rsidRPr="00EB62D1">
        <w:rPr>
          <w:color w:val="000000" w:themeColor="text1"/>
        </w:rPr>
        <w:t>75-year-old</w:t>
      </w:r>
      <w:r w:rsidRPr="00EB62D1">
        <w:rPr>
          <w:color w:val="000000" w:themeColor="text1"/>
        </w:rPr>
        <w:t xml:space="preserve"> or </w:t>
      </w:r>
      <w:r w:rsidR="002D0682" w:rsidRPr="00EB62D1">
        <w:rPr>
          <w:color w:val="000000" w:themeColor="text1"/>
        </w:rPr>
        <w:t>history</w:t>
      </w:r>
      <w:r w:rsidRPr="00EB62D1">
        <w:rPr>
          <w:color w:val="000000" w:themeColor="text1"/>
        </w:rPr>
        <w:t xml:space="preserve"> of </w:t>
      </w:r>
      <w:r w:rsidR="002D0682" w:rsidRPr="00EB62D1">
        <w:rPr>
          <w:color w:val="000000" w:themeColor="text1"/>
        </w:rPr>
        <w:t>cardiac disease</w:t>
      </w:r>
      <w:r w:rsidRPr="00EB62D1">
        <w:rPr>
          <w:color w:val="000000" w:themeColor="text1"/>
        </w:rPr>
        <w:t>: Hgb &gt; 12</w:t>
      </w:r>
    </w:p>
    <w:p w14:paraId="799AEB16" w14:textId="77777777" w:rsidR="001A3283" w:rsidRPr="00EB62D1" w:rsidRDefault="001A3283" w:rsidP="001833DE">
      <w:pPr>
        <w:pStyle w:val="ListParagraph"/>
        <w:numPr>
          <w:ilvl w:val="3"/>
          <w:numId w:val="1"/>
        </w:numPr>
        <w:spacing w:line="480" w:lineRule="auto"/>
        <w:rPr>
          <w:color w:val="000000" w:themeColor="text1"/>
        </w:rPr>
      </w:pPr>
      <w:r w:rsidRPr="00EB62D1">
        <w:rPr>
          <w:color w:val="000000" w:themeColor="text1"/>
        </w:rPr>
        <w:t xml:space="preserve">If the Hgb is less than the goals, then </w:t>
      </w:r>
    </w:p>
    <w:p w14:paraId="4739B48F" w14:textId="536533B0" w:rsidR="001A3283" w:rsidRPr="00EB62D1" w:rsidRDefault="001A3283" w:rsidP="001833DE">
      <w:pPr>
        <w:pStyle w:val="ListParagraph"/>
        <w:numPr>
          <w:ilvl w:val="4"/>
          <w:numId w:val="1"/>
        </w:numPr>
        <w:spacing w:line="480" w:lineRule="auto"/>
        <w:rPr>
          <w:color w:val="000000" w:themeColor="text1"/>
        </w:rPr>
      </w:pPr>
      <w:r w:rsidRPr="00EB62D1">
        <w:rPr>
          <w:color w:val="000000" w:themeColor="text1"/>
        </w:rPr>
        <w:t xml:space="preserve">A discussion by </w:t>
      </w:r>
      <w:r w:rsidR="001853E6" w:rsidRPr="00EB62D1">
        <w:rPr>
          <w:color w:val="000000" w:themeColor="text1"/>
        </w:rPr>
        <w:t>preoperative clinic</w:t>
      </w:r>
      <w:r w:rsidRPr="00EB62D1">
        <w:rPr>
          <w:color w:val="000000" w:themeColor="text1"/>
        </w:rPr>
        <w:t xml:space="preserve"> with the surgical team will occur weighing the benefits/risks of delay</w:t>
      </w:r>
    </w:p>
    <w:p w14:paraId="0BD0BEAC" w14:textId="36A8AB84" w:rsidR="001A3283" w:rsidRPr="00EB62D1" w:rsidRDefault="001A3283" w:rsidP="001833DE">
      <w:pPr>
        <w:pStyle w:val="ListParagraph"/>
        <w:numPr>
          <w:ilvl w:val="4"/>
          <w:numId w:val="1"/>
        </w:numPr>
        <w:spacing w:line="480" w:lineRule="auto"/>
        <w:rPr>
          <w:color w:val="000000" w:themeColor="text1"/>
        </w:rPr>
      </w:pPr>
      <w:r w:rsidRPr="00EB62D1">
        <w:rPr>
          <w:color w:val="000000" w:themeColor="text1"/>
        </w:rPr>
        <w:t>Iron and</w:t>
      </w:r>
      <w:r w:rsidR="00681CF5" w:rsidRPr="00EB62D1">
        <w:rPr>
          <w:color w:val="000000" w:themeColor="text1"/>
        </w:rPr>
        <w:t>/or</w:t>
      </w:r>
      <w:r w:rsidRPr="00EB62D1">
        <w:rPr>
          <w:color w:val="000000" w:themeColor="text1"/>
        </w:rPr>
        <w:t xml:space="preserve"> Erythropoietin </w:t>
      </w:r>
      <w:r w:rsidR="009A64E7" w:rsidRPr="00EB62D1">
        <w:t>when indicated</w:t>
      </w:r>
      <w:r w:rsidR="009A64E7" w:rsidRPr="00EB62D1" w:rsidDel="009A64E7">
        <w:rPr>
          <w:color w:val="000000" w:themeColor="text1"/>
        </w:rPr>
        <w:t xml:space="preserve"> </w:t>
      </w:r>
      <w:r w:rsidR="00681CF5" w:rsidRPr="00EB62D1">
        <w:rPr>
          <w:color w:val="000000" w:themeColor="text1"/>
        </w:rPr>
        <w:t xml:space="preserve"> </w:t>
      </w:r>
    </w:p>
    <w:p w14:paraId="622F9576" w14:textId="77777777" w:rsidR="001A3283" w:rsidRPr="00EB62D1" w:rsidRDefault="001A3283" w:rsidP="001833DE">
      <w:pPr>
        <w:numPr>
          <w:ilvl w:val="1"/>
          <w:numId w:val="1"/>
        </w:numPr>
        <w:spacing w:line="480" w:lineRule="auto"/>
        <w:contextualSpacing/>
        <w:rPr>
          <w:color w:val="000000" w:themeColor="text1"/>
        </w:rPr>
      </w:pPr>
      <w:r w:rsidRPr="00EB62D1">
        <w:rPr>
          <w:color w:val="000000" w:themeColor="text1"/>
        </w:rPr>
        <w:t>Additional anesthesiologist assessment – intubation (special attention should be made to cervical spine pathology), line placement, positioning challenges</w:t>
      </w:r>
    </w:p>
    <w:p w14:paraId="5685CCEC" w14:textId="77777777" w:rsidR="001A3283" w:rsidRPr="00EB62D1" w:rsidRDefault="001A3283" w:rsidP="001833DE">
      <w:pPr>
        <w:numPr>
          <w:ilvl w:val="1"/>
          <w:numId w:val="1"/>
        </w:numPr>
        <w:spacing w:line="480" w:lineRule="auto"/>
        <w:contextualSpacing/>
        <w:rPr>
          <w:color w:val="000000" w:themeColor="text1"/>
        </w:rPr>
      </w:pPr>
      <w:r w:rsidRPr="00EB62D1">
        <w:rPr>
          <w:color w:val="000000" w:themeColor="text1"/>
        </w:rPr>
        <w:t>Preoperative discussion with the patient</w:t>
      </w:r>
    </w:p>
    <w:p w14:paraId="661359A4" w14:textId="0E3A7240"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Prone positioned patients are informed of the increased risk for postoperative visual loss (associated with length of surgery and significant blood loss)</w:t>
      </w:r>
      <w:r w:rsidR="004D4AB6" w:rsidRPr="00EB62D1">
        <w:rPr>
          <w:color w:val="000000" w:themeColor="text1"/>
        </w:rPr>
        <w:t xml:space="preserve"> and pressure sores secondary to positioning</w:t>
      </w:r>
    </w:p>
    <w:p w14:paraId="0F62D59A" w14:textId="77777777"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Patients are informed of high likelihood of blood transfusion</w:t>
      </w:r>
    </w:p>
    <w:p w14:paraId="5DA9336F" w14:textId="77777777"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 xml:space="preserve">Patients are informed of the potential for remaining intubated post-operatively </w:t>
      </w:r>
    </w:p>
    <w:p w14:paraId="3F2715E5" w14:textId="77777777" w:rsidR="001A3283" w:rsidRPr="00EB62D1" w:rsidRDefault="001A3283" w:rsidP="001833DE">
      <w:pPr>
        <w:numPr>
          <w:ilvl w:val="1"/>
          <w:numId w:val="1"/>
        </w:numPr>
        <w:spacing w:line="480" w:lineRule="auto"/>
        <w:contextualSpacing/>
        <w:rPr>
          <w:color w:val="000000" w:themeColor="text1"/>
        </w:rPr>
      </w:pPr>
      <w:r w:rsidRPr="00EB62D1">
        <w:rPr>
          <w:color w:val="000000" w:themeColor="text1"/>
        </w:rPr>
        <w:t>Medication instructions to the patient</w:t>
      </w:r>
    </w:p>
    <w:p w14:paraId="597FD399" w14:textId="77777777" w:rsidR="001A3283" w:rsidRPr="00EB62D1" w:rsidRDefault="001A3283" w:rsidP="001833DE">
      <w:pPr>
        <w:pStyle w:val="ListParagraph"/>
        <w:numPr>
          <w:ilvl w:val="2"/>
          <w:numId w:val="1"/>
        </w:numPr>
        <w:spacing w:line="480" w:lineRule="auto"/>
        <w:rPr>
          <w:color w:val="000000" w:themeColor="text1"/>
        </w:rPr>
      </w:pPr>
      <w:bookmarkStart w:id="1" w:name="OLE_LINK1"/>
      <w:bookmarkStart w:id="2" w:name="OLE_LINK2"/>
      <w:r w:rsidRPr="00EB62D1">
        <w:rPr>
          <w:color w:val="000000" w:themeColor="text1"/>
        </w:rPr>
        <w:t>Continue essential medication regimen until the morning of surgery, especially statins and beta-blockers (if normally taken by the patient in the morning)</w:t>
      </w:r>
    </w:p>
    <w:bookmarkEnd w:id="1"/>
    <w:bookmarkEnd w:id="2"/>
    <w:p w14:paraId="17E57385" w14:textId="77777777"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Discontinue anti-hyperglycemic medications the morning of surgery</w:t>
      </w:r>
    </w:p>
    <w:p w14:paraId="588D6E1C" w14:textId="2882DF50"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Discontinue ACE-inhibitors and angiotensin receptor blockers 1 day prior to surgery</w:t>
      </w:r>
      <w:r w:rsidR="000F43BC" w:rsidRPr="00EB62D1">
        <w:rPr>
          <w:color w:val="000000" w:themeColor="text1"/>
          <w:vertAlign w:val="superscript"/>
        </w:rPr>
        <w:t>4</w:t>
      </w:r>
    </w:p>
    <w:p w14:paraId="44C61C3C" w14:textId="3F6D7B97"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lastRenderedPageBreak/>
        <w:t>Discontinue all medications that interfere with coagulation unless otherwise specified by a Clinical Specialists (ACCP Guidelines</w:t>
      </w:r>
      <w:r w:rsidR="000F43BC" w:rsidRPr="00EB62D1">
        <w:rPr>
          <w:color w:val="000000" w:themeColor="text1"/>
          <w:vertAlign w:val="superscript"/>
        </w:rPr>
        <w:t>5</w:t>
      </w:r>
      <w:r w:rsidRPr="00EB62D1">
        <w:rPr>
          <w:color w:val="000000" w:themeColor="text1"/>
        </w:rPr>
        <w:t xml:space="preserve">) </w:t>
      </w:r>
    </w:p>
    <w:p w14:paraId="7F36117E" w14:textId="31800798" w:rsidR="001A3283" w:rsidRPr="00EB62D1" w:rsidRDefault="001A3283" w:rsidP="001833DE">
      <w:pPr>
        <w:pStyle w:val="ListParagraph"/>
        <w:numPr>
          <w:ilvl w:val="2"/>
          <w:numId w:val="1"/>
        </w:numPr>
        <w:spacing w:line="480" w:lineRule="auto"/>
        <w:rPr>
          <w:color w:val="000000" w:themeColor="text1"/>
        </w:rPr>
      </w:pPr>
      <w:r w:rsidRPr="00EB62D1">
        <w:rPr>
          <w:color w:val="000000" w:themeColor="text1"/>
        </w:rPr>
        <w:t>The patient is advised to discontinue smoking for at least 8</w:t>
      </w:r>
      <w:r w:rsidR="00AC4641" w:rsidRPr="00EB62D1">
        <w:rPr>
          <w:color w:val="000000" w:themeColor="text1"/>
        </w:rPr>
        <w:t xml:space="preserve"> </w:t>
      </w:r>
      <w:r w:rsidRPr="00EB62D1">
        <w:rPr>
          <w:color w:val="000000" w:themeColor="text1"/>
        </w:rPr>
        <w:t xml:space="preserve">weeks </w:t>
      </w:r>
      <w:r w:rsidR="00AC4641" w:rsidRPr="00EB62D1">
        <w:rPr>
          <w:color w:val="000000" w:themeColor="text1"/>
        </w:rPr>
        <w:t xml:space="preserve">(as soon as he/she is initially seen by the surgeon) </w:t>
      </w:r>
      <w:r w:rsidRPr="00EB62D1">
        <w:rPr>
          <w:color w:val="000000" w:themeColor="text1"/>
        </w:rPr>
        <w:t>and is educated with the risks associated with continued tobacco use</w:t>
      </w:r>
    </w:p>
    <w:p w14:paraId="584A1DF6" w14:textId="77777777" w:rsidR="001A3283" w:rsidRPr="00EB62D1" w:rsidRDefault="001A3283" w:rsidP="001833DE">
      <w:pPr>
        <w:numPr>
          <w:ilvl w:val="1"/>
          <w:numId w:val="1"/>
        </w:numPr>
        <w:spacing w:line="480" w:lineRule="auto"/>
        <w:contextualSpacing/>
        <w:rPr>
          <w:color w:val="000000" w:themeColor="text1"/>
        </w:rPr>
      </w:pPr>
      <w:r w:rsidRPr="00EB62D1">
        <w:rPr>
          <w:color w:val="000000" w:themeColor="text1"/>
        </w:rPr>
        <w:t>Blood conserving strategies – preoperative embolization may be considered for hyper-vascularized lesions to reduce blood loss</w:t>
      </w:r>
    </w:p>
    <w:p w14:paraId="2E6C44B4" w14:textId="6F22A70C" w:rsidR="001A3283" w:rsidRPr="00EB62D1" w:rsidRDefault="001A3283" w:rsidP="001833DE">
      <w:pPr>
        <w:numPr>
          <w:ilvl w:val="0"/>
          <w:numId w:val="1"/>
        </w:numPr>
        <w:spacing w:line="480" w:lineRule="auto"/>
        <w:contextualSpacing/>
        <w:rPr>
          <w:color w:val="000000" w:themeColor="text1"/>
        </w:rPr>
      </w:pPr>
      <w:r w:rsidRPr="00EB62D1">
        <w:rPr>
          <w:color w:val="000000" w:themeColor="text1"/>
        </w:rPr>
        <w:t xml:space="preserve">Additional consultation if warranted - If the </w:t>
      </w:r>
      <w:r w:rsidR="004D4AB6" w:rsidRPr="00EB62D1">
        <w:rPr>
          <w:color w:val="000000" w:themeColor="text1"/>
        </w:rPr>
        <w:t>preoperative</w:t>
      </w:r>
      <w:r w:rsidRPr="00EB62D1">
        <w:rPr>
          <w:color w:val="000000" w:themeColor="text1"/>
        </w:rPr>
        <w:t xml:space="preserve"> clinic warrants additional assessment/tests regarding new onset disease or chronic disease, the patient will be referred back to a Clinical Specialist for further testing</w:t>
      </w:r>
    </w:p>
    <w:p w14:paraId="0A947B2B" w14:textId="32C4A054" w:rsidR="001A3283" w:rsidRPr="00EB62D1" w:rsidRDefault="001A3283" w:rsidP="001833DE">
      <w:pPr>
        <w:numPr>
          <w:ilvl w:val="0"/>
          <w:numId w:val="1"/>
        </w:numPr>
        <w:spacing w:line="480" w:lineRule="auto"/>
        <w:contextualSpacing/>
        <w:rPr>
          <w:color w:val="000000" w:themeColor="text1"/>
        </w:rPr>
      </w:pPr>
      <w:r w:rsidRPr="00EB62D1">
        <w:rPr>
          <w:b/>
          <w:bCs/>
          <w:color w:val="000000" w:themeColor="text1"/>
        </w:rPr>
        <w:t xml:space="preserve">Multidisciplinary High- Risk Spine Conference – </w:t>
      </w:r>
      <w:r w:rsidRPr="00EB62D1">
        <w:rPr>
          <w:color w:val="000000" w:themeColor="text1"/>
        </w:rPr>
        <w:t>the case will be discussed to finalize assessment, make additional recommendations prior to the procedure, and agree to proceed or cancel</w:t>
      </w:r>
    </w:p>
    <w:p w14:paraId="7D45E8EC" w14:textId="77777777" w:rsidR="001A3283" w:rsidRPr="00EB62D1" w:rsidRDefault="001A3283" w:rsidP="001833DE">
      <w:pPr>
        <w:spacing w:line="480" w:lineRule="auto"/>
        <w:rPr>
          <w:color w:val="000000" w:themeColor="text1"/>
        </w:rPr>
      </w:pPr>
      <w:r w:rsidRPr="00EB62D1">
        <w:rPr>
          <w:b/>
          <w:bCs/>
          <w:color w:val="000000" w:themeColor="text1"/>
        </w:rPr>
        <w:t>Day of Surgery</w:t>
      </w:r>
      <w:r w:rsidRPr="00EB62D1">
        <w:rPr>
          <w:color w:val="000000" w:themeColor="text1"/>
        </w:rPr>
        <w:t>:</w:t>
      </w:r>
    </w:p>
    <w:p w14:paraId="00203D6A" w14:textId="77777777" w:rsidR="000C6EE6" w:rsidRPr="00EB62D1" w:rsidRDefault="001A3283" w:rsidP="001833DE">
      <w:pPr>
        <w:numPr>
          <w:ilvl w:val="0"/>
          <w:numId w:val="3"/>
        </w:numPr>
        <w:spacing w:line="480" w:lineRule="auto"/>
        <w:contextualSpacing/>
        <w:rPr>
          <w:color w:val="000000" w:themeColor="text1"/>
        </w:rPr>
      </w:pPr>
      <w:r w:rsidRPr="00EB62D1">
        <w:rPr>
          <w:color w:val="000000" w:themeColor="text1"/>
        </w:rPr>
        <w:t>Patients will have a carbohydrate fluid up to two hours prior to surgery</w:t>
      </w:r>
    </w:p>
    <w:p w14:paraId="7E05B0CC" w14:textId="1BBD6D9B" w:rsidR="001A3283" w:rsidRPr="00EB62D1" w:rsidRDefault="00415587" w:rsidP="000C6EE6">
      <w:pPr>
        <w:numPr>
          <w:ilvl w:val="1"/>
          <w:numId w:val="3"/>
        </w:numPr>
        <w:spacing w:line="480" w:lineRule="auto"/>
        <w:contextualSpacing/>
        <w:rPr>
          <w:color w:val="000000" w:themeColor="text1"/>
        </w:rPr>
      </w:pPr>
      <w:r w:rsidRPr="00EB62D1">
        <w:rPr>
          <w:color w:val="000000" w:themeColor="text1"/>
        </w:rPr>
        <w:t xml:space="preserve">“Pre-surgery </w:t>
      </w:r>
      <w:r w:rsidR="001A3283" w:rsidRPr="00EB62D1">
        <w:rPr>
          <w:color w:val="000000" w:themeColor="text1"/>
        </w:rPr>
        <w:t>Ensure</w:t>
      </w:r>
      <w:r w:rsidRPr="00EB62D1">
        <w:rPr>
          <w:color w:val="000000" w:themeColor="text1"/>
        </w:rPr>
        <w:t>”</w:t>
      </w:r>
      <w:r w:rsidR="001A3283" w:rsidRPr="00EB62D1">
        <w:rPr>
          <w:color w:val="000000" w:themeColor="text1"/>
        </w:rPr>
        <w:t xml:space="preserve"> </w:t>
      </w:r>
      <w:r w:rsidR="000C6EE6" w:rsidRPr="00EB62D1">
        <w:rPr>
          <w:color w:val="000000" w:themeColor="text1"/>
        </w:rPr>
        <w:t xml:space="preserve">is given at the preoperative clinic </w:t>
      </w:r>
    </w:p>
    <w:p w14:paraId="3B5C871C" w14:textId="46BB80F1" w:rsidR="001A3283" w:rsidRPr="00EB62D1" w:rsidRDefault="001A3283" w:rsidP="001833DE">
      <w:pPr>
        <w:numPr>
          <w:ilvl w:val="0"/>
          <w:numId w:val="3"/>
        </w:numPr>
        <w:spacing w:line="480" w:lineRule="auto"/>
        <w:contextualSpacing/>
        <w:rPr>
          <w:color w:val="000000" w:themeColor="text1"/>
        </w:rPr>
      </w:pPr>
      <w:r w:rsidRPr="00EB62D1">
        <w:rPr>
          <w:color w:val="000000" w:themeColor="text1"/>
        </w:rPr>
        <w:t>Blood glucose levels should be &lt;180</w:t>
      </w:r>
      <w:r w:rsidR="000C6EE6" w:rsidRPr="00EB62D1">
        <w:rPr>
          <w:color w:val="000000" w:themeColor="text1"/>
        </w:rPr>
        <w:t xml:space="preserve"> mg/dL</w:t>
      </w:r>
      <w:r w:rsidRPr="00EB62D1">
        <w:rPr>
          <w:color w:val="000000" w:themeColor="text1"/>
        </w:rPr>
        <w:t xml:space="preserve"> the day of surgery</w:t>
      </w:r>
    </w:p>
    <w:p w14:paraId="67B80088" w14:textId="75CD8CF9" w:rsidR="001A3283" w:rsidRPr="00EB62D1" w:rsidRDefault="001A3283" w:rsidP="001833DE">
      <w:pPr>
        <w:numPr>
          <w:ilvl w:val="1"/>
          <w:numId w:val="3"/>
        </w:numPr>
        <w:spacing w:line="480" w:lineRule="auto"/>
        <w:contextualSpacing/>
        <w:rPr>
          <w:color w:val="000000" w:themeColor="text1"/>
        </w:rPr>
      </w:pPr>
      <w:r w:rsidRPr="00EB62D1">
        <w:rPr>
          <w:color w:val="000000" w:themeColor="text1"/>
        </w:rPr>
        <w:t>If preoperative blood glucose level is greater than 180</w:t>
      </w:r>
      <w:r w:rsidR="000C6EE6" w:rsidRPr="00EB62D1">
        <w:rPr>
          <w:color w:val="000000" w:themeColor="text1"/>
        </w:rPr>
        <w:t xml:space="preserve"> mg/dL</w:t>
      </w:r>
      <w:r w:rsidRPr="00EB62D1">
        <w:rPr>
          <w:color w:val="000000" w:themeColor="text1"/>
        </w:rPr>
        <w:t xml:space="preserve"> please treat with </w:t>
      </w:r>
      <w:r w:rsidR="000C6EE6" w:rsidRPr="00EB62D1">
        <w:rPr>
          <w:color w:val="000000" w:themeColor="text1"/>
        </w:rPr>
        <w:t>S</w:t>
      </w:r>
      <w:r w:rsidRPr="00EB62D1">
        <w:rPr>
          <w:color w:val="000000" w:themeColor="text1"/>
        </w:rPr>
        <w:t>ub-</w:t>
      </w:r>
      <w:r w:rsidR="000C6EE6" w:rsidRPr="00EB62D1">
        <w:rPr>
          <w:color w:val="000000" w:themeColor="text1"/>
        </w:rPr>
        <w:t>cutaneous (SQ)</w:t>
      </w:r>
      <w:r w:rsidRPr="00EB62D1">
        <w:rPr>
          <w:color w:val="000000" w:themeColor="text1"/>
        </w:rPr>
        <w:t xml:space="preserve"> </w:t>
      </w:r>
      <w:r w:rsidR="000C6EE6" w:rsidRPr="00EB62D1">
        <w:rPr>
          <w:color w:val="000000" w:themeColor="text1"/>
        </w:rPr>
        <w:t xml:space="preserve">injection of </w:t>
      </w:r>
      <w:r w:rsidRPr="00EB62D1">
        <w:rPr>
          <w:color w:val="000000" w:themeColor="text1"/>
        </w:rPr>
        <w:t>insulin</w:t>
      </w:r>
    </w:p>
    <w:p w14:paraId="18F94690" w14:textId="195AF456" w:rsidR="001A3283" w:rsidRPr="00EB62D1" w:rsidRDefault="001A3283" w:rsidP="001833DE">
      <w:pPr>
        <w:numPr>
          <w:ilvl w:val="1"/>
          <w:numId w:val="3"/>
        </w:numPr>
        <w:spacing w:line="480" w:lineRule="auto"/>
        <w:contextualSpacing/>
        <w:rPr>
          <w:color w:val="000000" w:themeColor="text1"/>
        </w:rPr>
      </w:pPr>
      <w:r w:rsidRPr="00EB62D1">
        <w:rPr>
          <w:color w:val="000000" w:themeColor="text1"/>
        </w:rPr>
        <w:t>If blood glucose level is greater than 300</w:t>
      </w:r>
      <w:r w:rsidR="000C6EE6" w:rsidRPr="00EB62D1">
        <w:rPr>
          <w:color w:val="000000" w:themeColor="text1"/>
        </w:rPr>
        <w:t xml:space="preserve"> mg/dL</w:t>
      </w:r>
      <w:r w:rsidRPr="00EB62D1">
        <w:rPr>
          <w:color w:val="000000" w:themeColor="text1"/>
        </w:rPr>
        <w:t xml:space="preserve"> </w:t>
      </w:r>
      <w:r w:rsidR="00357E90" w:rsidRPr="00EB62D1">
        <w:rPr>
          <w:color w:val="000000" w:themeColor="text1"/>
        </w:rPr>
        <w:t xml:space="preserve">discuss </w:t>
      </w:r>
      <w:r w:rsidRPr="00EB62D1">
        <w:rPr>
          <w:color w:val="000000" w:themeColor="text1"/>
        </w:rPr>
        <w:t>delaying surgery until sugar is better controlled</w:t>
      </w:r>
      <w:r w:rsidR="00357E90" w:rsidRPr="00EB62D1">
        <w:rPr>
          <w:color w:val="000000" w:themeColor="text1"/>
        </w:rPr>
        <w:t>,</w:t>
      </w:r>
      <w:r w:rsidRPr="00EB62D1">
        <w:rPr>
          <w:color w:val="000000" w:themeColor="text1"/>
        </w:rPr>
        <w:t xml:space="preserve"> </w:t>
      </w:r>
      <w:r w:rsidR="00357E90" w:rsidRPr="00EB62D1">
        <w:rPr>
          <w:color w:val="000000" w:themeColor="text1"/>
        </w:rPr>
        <w:t>with surgical team</w:t>
      </w:r>
    </w:p>
    <w:p w14:paraId="2E14BE08" w14:textId="77777777" w:rsidR="001A3283" w:rsidRPr="00EB62D1" w:rsidRDefault="001A3283" w:rsidP="001833DE">
      <w:pPr>
        <w:numPr>
          <w:ilvl w:val="0"/>
          <w:numId w:val="3"/>
        </w:numPr>
        <w:spacing w:line="480" w:lineRule="auto"/>
        <w:contextualSpacing/>
        <w:rPr>
          <w:color w:val="000000" w:themeColor="text1"/>
        </w:rPr>
      </w:pPr>
      <w:r w:rsidRPr="00EB62D1">
        <w:rPr>
          <w:color w:val="000000" w:themeColor="text1"/>
        </w:rPr>
        <w:t xml:space="preserve">If the patient is hemodynamically stable and surgery is urgent, then </w:t>
      </w:r>
      <w:r w:rsidRPr="00EB62D1">
        <w:rPr>
          <w:color w:val="000000" w:themeColor="text1"/>
          <w:u w:val="single"/>
        </w:rPr>
        <w:t>no delay</w:t>
      </w:r>
      <w:r w:rsidRPr="00EB62D1">
        <w:rPr>
          <w:color w:val="000000" w:themeColor="text1"/>
        </w:rPr>
        <w:t xml:space="preserve"> for optimization of Hgb, nutrition, or physical activity should be done</w:t>
      </w:r>
    </w:p>
    <w:p w14:paraId="6CCB09D4" w14:textId="77777777" w:rsidR="001A3283" w:rsidRPr="00EB62D1" w:rsidRDefault="001A3283" w:rsidP="001833DE">
      <w:pPr>
        <w:numPr>
          <w:ilvl w:val="0"/>
          <w:numId w:val="3"/>
        </w:numPr>
        <w:spacing w:line="480" w:lineRule="auto"/>
        <w:contextualSpacing/>
        <w:rPr>
          <w:color w:val="000000" w:themeColor="text1"/>
        </w:rPr>
      </w:pPr>
      <w:r w:rsidRPr="00EB62D1">
        <w:rPr>
          <w:color w:val="000000" w:themeColor="text1"/>
        </w:rPr>
        <w:lastRenderedPageBreak/>
        <w:t>The following medications may be administered to the patient in the preoperative holding area (</w:t>
      </w:r>
      <w:r w:rsidRPr="00EB62D1">
        <w:rPr>
          <w:color w:val="000000" w:themeColor="text1"/>
          <w:u w:val="single"/>
        </w:rPr>
        <w:t>at least one hour before induction</w:t>
      </w:r>
      <w:r w:rsidRPr="00EB62D1">
        <w:rPr>
          <w:color w:val="000000" w:themeColor="text1"/>
        </w:rPr>
        <w:t>):</w:t>
      </w:r>
    </w:p>
    <w:p w14:paraId="4444EA73" w14:textId="77777777" w:rsidR="001A3283" w:rsidRPr="00EB62D1" w:rsidRDefault="001A3283" w:rsidP="001833DE">
      <w:pPr>
        <w:numPr>
          <w:ilvl w:val="1"/>
          <w:numId w:val="3"/>
        </w:numPr>
        <w:spacing w:line="480" w:lineRule="auto"/>
        <w:contextualSpacing/>
        <w:rPr>
          <w:color w:val="000000" w:themeColor="text1"/>
        </w:rPr>
      </w:pPr>
      <w:r w:rsidRPr="00EB62D1">
        <w:rPr>
          <w:color w:val="000000" w:themeColor="text1"/>
        </w:rPr>
        <w:t>Acetaminophen 1 g PO (if no liver disease)</w:t>
      </w:r>
    </w:p>
    <w:p w14:paraId="22E30EED" w14:textId="77777777" w:rsidR="001A3283" w:rsidRPr="00EB62D1" w:rsidRDefault="001A3283" w:rsidP="001833DE">
      <w:pPr>
        <w:numPr>
          <w:ilvl w:val="1"/>
          <w:numId w:val="3"/>
        </w:numPr>
        <w:spacing w:line="480" w:lineRule="auto"/>
        <w:contextualSpacing/>
        <w:rPr>
          <w:color w:val="000000" w:themeColor="text1"/>
        </w:rPr>
      </w:pPr>
      <w:r w:rsidRPr="00EB62D1">
        <w:rPr>
          <w:color w:val="000000" w:themeColor="text1"/>
        </w:rPr>
        <w:t xml:space="preserve">Gabapentin 300-600mg PO depending on age, renal function, and patient naivety to the medication  </w:t>
      </w:r>
    </w:p>
    <w:p w14:paraId="7BC06912" w14:textId="53106A46" w:rsidR="001A3283" w:rsidRPr="00EB62D1" w:rsidRDefault="001A3283" w:rsidP="001833DE">
      <w:pPr>
        <w:numPr>
          <w:ilvl w:val="1"/>
          <w:numId w:val="3"/>
        </w:numPr>
        <w:spacing w:line="480" w:lineRule="auto"/>
        <w:contextualSpacing/>
        <w:rPr>
          <w:color w:val="000000" w:themeColor="text1"/>
        </w:rPr>
      </w:pPr>
      <w:r w:rsidRPr="00EB62D1">
        <w:rPr>
          <w:color w:val="000000" w:themeColor="text1"/>
        </w:rPr>
        <w:t xml:space="preserve">Celecoxib </w:t>
      </w:r>
      <w:r w:rsidR="000E05AF" w:rsidRPr="00EB62D1">
        <w:rPr>
          <w:color w:val="000000" w:themeColor="text1"/>
        </w:rPr>
        <w:t>2</w:t>
      </w:r>
      <w:r w:rsidRPr="00EB62D1">
        <w:rPr>
          <w:color w:val="000000" w:themeColor="text1"/>
        </w:rPr>
        <w:t xml:space="preserve">00 mg PO – contraindicated in patients with sulfa and </w:t>
      </w:r>
      <w:r w:rsidR="004D4A9C" w:rsidRPr="00EB62D1">
        <w:rPr>
          <w:color w:val="000000" w:themeColor="text1"/>
        </w:rPr>
        <w:t>aspirin</w:t>
      </w:r>
      <w:r w:rsidRPr="00EB62D1">
        <w:rPr>
          <w:color w:val="000000" w:themeColor="text1"/>
        </w:rPr>
        <w:t xml:space="preserve"> allergies (see drug insert) </w:t>
      </w:r>
    </w:p>
    <w:p w14:paraId="1F8BC29D" w14:textId="0C7DF6BE" w:rsidR="001A3283" w:rsidRPr="00EB62D1" w:rsidRDefault="001A3283" w:rsidP="001833DE">
      <w:pPr>
        <w:numPr>
          <w:ilvl w:val="1"/>
          <w:numId w:val="3"/>
        </w:numPr>
        <w:spacing w:line="480" w:lineRule="auto"/>
        <w:contextualSpacing/>
        <w:rPr>
          <w:color w:val="000000" w:themeColor="text1"/>
        </w:rPr>
      </w:pPr>
      <w:r w:rsidRPr="00EB62D1">
        <w:rPr>
          <w:color w:val="000000" w:themeColor="text1"/>
        </w:rPr>
        <w:t>Chronic Pain Patients</w:t>
      </w:r>
      <w:r w:rsidR="00EB57E5" w:rsidRPr="00EB62D1">
        <w:rPr>
          <w:color w:val="000000" w:themeColor="text1"/>
        </w:rPr>
        <w:t xml:space="preserve">, requiring </w:t>
      </w:r>
      <w:r w:rsidR="00EB57E5" w:rsidRPr="00EB62D1">
        <w:t xml:space="preserve">long-acting opioid pain management (including fentanyl patch, oxycontin, </w:t>
      </w:r>
      <w:proofErr w:type="spellStart"/>
      <w:r w:rsidR="00EB57E5" w:rsidRPr="00EB62D1">
        <w:t>etc</w:t>
      </w:r>
      <w:proofErr w:type="spellEnd"/>
      <w:r w:rsidR="00EB57E5" w:rsidRPr="00EB62D1">
        <w:t>) and having pain for over 3 months</w:t>
      </w:r>
      <w:r w:rsidR="000F43BC" w:rsidRPr="00EB62D1">
        <w:rPr>
          <w:vertAlign w:val="superscript"/>
        </w:rPr>
        <w:t>6</w:t>
      </w:r>
      <w:r w:rsidR="00EB57E5" w:rsidRPr="00EB62D1">
        <w:rPr>
          <w:b/>
        </w:rPr>
        <w:t xml:space="preserve">, </w:t>
      </w:r>
      <w:r w:rsidRPr="00EB62D1">
        <w:rPr>
          <w:color w:val="000000" w:themeColor="text1"/>
        </w:rPr>
        <w:t>should take their home pain medications the morning of surgery</w:t>
      </w:r>
      <w:r w:rsidR="00BF2100" w:rsidRPr="00EB62D1">
        <w:rPr>
          <w:color w:val="000000" w:themeColor="text1"/>
        </w:rPr>
        <w:t xml:space="preserve"> </w:t>
      </w:r>
    </w:p>
    <w:p w14:paraId="4FB5CA3D" w14:textId="77777777" w:rsidR="001A3283" w:rsidRPr="00EB62D1" w:rsidRDefault="001A3283" w:rsidP="001833DE">
      <w:pPr>
        <w:numPr>
          <w:ilvl w:val="1"/>
          <w:numId w:val="3"/>
        </w:numPr>
        <w:spacing w:line="480" w:lineRule="auto"/>
        <w:contextualSpacing/>
        <w:rPr>
          <w:color w:val="000000" w:themeColor="text1"/>
        </w:rPr>
      </w:pPr>
      <w:r w:rsidRPr="00EB62D1">
        <w:rPr>
          <w:color w:val="000000" w:themeColor="text1"/>
        </w:rPr>
        <w:t>Opioids are NOT indicated preoperatively for opioid-naïve patients</w:t>
      </w:r>
    </w:p>
    <w:p w14:paraId="0C1C71C3" w14:textId="77777777" w:rsidR="001A3283" w:rsidRPr="00EB62D1" w:rsidRDefault="001A3283" w:rsidP="001833DE">
      <w:pPr>
        <w:spacing w:line="480" w:lineRule="auto"/>
        <w:rPr>
          <w:color w:val="000000" w:themeColor="text1"/>
        </w:rPr>
      </w:pPr>
    </w:p>
    <w:p w14:paraId="3A44F306" w14:textId="14B8B32D" w:rsidR="001A3283" w:rsidRPr="00EB62D1" w:rsidRDefault="001A3283" w:rsidP="001833DE">
      <w:pPr>
        <w:spacing w:line="480" w:lineRule="auto"/>
        <w:rPr>
          <w:b/>
          <w:bCs/>
          <w:color w:val="000000" w:themeColor="text1"/>
        </w:rPr>
      </w:pPr>
      <w:r w:rsidRPr="00EB62D1">
        <w:rPr>
          <w:b/>
          <w:bCs/>
          <w:color w:val="000000" w:themeColor="text1"/>
        </w:rPr>
        <w:t>INTRAOPERATIVE MANAGEMENT</w:t>
      </w:r>
      <w:r w:rsidRPr="00EB62D1">
        <w:rPr>
          <w:b/>
          <w:bCs/>
          <w:color w:val="000000" w:themeColor="text1"/>
          <w:vertAlign w:val="superscript"/>
        </w:rPr>
        <w:t>1</w:t>
      </w:r>
      <w:r w:rsidR="004A7690" w:rsidRPr="00EB62D1">
        <w:rPr>
          <w:b/>
          <w:bCs/>
          <w:color w:val="000000" w:themeColor="text1"/>
          <w:vertAlign w:val="superscript"/>
        </w:rPr>
        <w:t>,</w:t>
      </w:r>
      <w:r w:rsidR="000F43BC" w:rsidRPr="00EB62D1">
        <w:rPr>
          <w:b/>
          <w:bCs/>
          <w:color w:val="000000" w:themeColor="text1"/>
          <w:vertAlign w:val="superscript"/>
        </w:rPr>
        <w:t>7</w:t>
      </w:r>
      <w:r w:rsidR="004A7690" w:rsidRPr="00EB62D1">
        <w:rPr>
          <w:b/>
          <w:bCs/>
          <w:color w:val="000000" w:themeColor="text1"/>
          <w:vertAlign w:val="superscript"/>
        </w:rPr>
        <w:t>,</w:t>
      </w:r>
      <w:r w:rsidR="000F43BC" w:rsidRPr="00EB62D1">
        <w:rPr>
          <w:b/>
          <w:bCs/>
          <w:color w:val="000000" w:themeColor="text1"/>
          <w:vertAlign w:val="superscript"/>
        </w:rPr>
        <w:t>8</w:t>
      </w:r>
      <w:r w:rsidR="004A7690" w:rsidRPr="00EB62D1">
        <w:rPr>
          <w:b/>
          <w:bCs/>
          <w:color w:val="000000" w:themeColor="text1"/>
          <w:vertAlign w:val="superscript"/>
        </w:rPr>
        <w:t>,</w:t>
      </w:r>
      <w:r w:rsidR="000F43BC" w:rsidRPr="00EB62D1">
        <w:rPr>
          <w:b/>
          <w:bCs/>
          <w:color w:val="000000" w:themeColor="text1"/>
          <w:vertAlign w:val="superscript"/>
        </w:rPr>
        <w:t>9</w:t>
      </w:r>
    </w:p>
    <w:p w14:paraId="022BF4F7" w14:textId="77777777" w:rsidR="001A3283" w:rsidRPr="00EB62D1" w:rsidRDefault="001A3283" w:rsidP="001833DE">
      <w:pPr>
        <w:pStyle w:val="ListParagraph"/>
        <w:numPr>
          <w:ilvl w:val="0"/>
          <w:numId w:val="4"/>
        </w:numPr>
        <w:spacing w:line="480" w:lineRule="auto"/>
        <w:rPr>
          <w:bCs/>
          <w:color w:val="000000" w:themeColor="text1"/>
        </w:rPr>
      </w:pPr>
      <w:r w:rsidRPr="00EB62D1">
        <w:rPr>
          <w:bCs/>
          <w:color w:val="000000" w:themeColor="text1"/>
        </w:rPr>
        <w:t>Communication</w:t>
      </w:r>
    </w:p>
    <w:p w14:paraId="6B615BA7" w14:textId="75C8B205"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The surgeon/anesthesia provider and neuro-monitoring team communicate frequently including status and any pertinent changes in patient condition</w:t>
      </w:r>
    </w:p>
    <w:p w14:paraId="11061128" w14:textId="0EBE9392"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The anesthesia provider must inform the neurophysiological team with changes in anesthetic management (change in inhalation agent, bolus medication, </w:t>
      </w:r>
      <w:r w:rsidR="00F04458" w:rsidRPr="00EB62D1">
        <w:rPr>
          <w:color w:val="000000" w:themeColor="text1"/>
        </w:rPr>
        <w:t xml:space="preserve">non-depolarizing muscle relaxants </w:t>
      </w:r>
      <w:r w:rsidRPr="00EB62D1">
        <w:rPr>
          <w:color w:val="000000" w:themeColor="text1"/>
        </w:rPr>
        <w:t>administration, temperature perturbations)</w:t>
      </w:r>
    </w:p>
    <w:p w14:paraId="30CCDCE9" w14:textId="77777777" w:rsidR="001A3283" w:rsidRPr="00EB62D1" w:rsidRDefault="001A3283" w:rsidP="001833DE">
      <w:pPr>
        <w:pStyle w:val="ListParagraph"/>
        <w:spacing w:line="480" w:lineRule="auto"/>
        <w:ind w:left="1440"/>
        <w:rPr>
          <w:color w:val="000000" w:themeColor="text1"/>
        </w:rPr>
      </w:pPr>
    </w:p>
    <w:p w14:paraId="3E43A505" w14:textId="37798800"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Anesthetic</w:t>
      </w:r>
      <w:r w:rsidR="000F43BC" w:rsidRPr="00EB62D1">
        <w:rPr>
          <w:b/>
          <w:color w:val="000000" w:themeColor="text1"/>
          <w:vertAlign w:val="superscript"/>
        </w:rPr>
        <w:t>10</w:t>
      </w:r>
    </w:p>
    <w:p w14:paraId="441E8A81" w14:textId="77777777" w:rsidR="001A3283" w:rsidRPr="00EB62D1" w:rsidRDefault="001A3283" w:rsidP="001833DE">
      <w:pPr>
        <w:pStyle w:val="ListParagraph"/>
        <w:numPr>
          <w:ilvl w:val="1"/>
          <w:numId w:val="4"/>
        </w:numPr>
        <w:spacing w:line="480" w:lineRule="auto"/>
        <w:rPr>
          <w:color w:val="000000" w:themeColor="text1"/>
        </w:rPr>
      </w:pPr>
      <w:r w:rsidRPr="00EB62D1">
        <w:rPr>
          <w:b/>
          <w:color w:val="000000" w:themeColor="text1"/>
        </w:rPr>
        <w:t>Induction</w:t>
      </w:r>
      <w:r w:rsidRPr="00EB62D1">
        <w:rPr>
          <w:color w:val="000000" w:themeColor="text1"/>
        </w:rPr>
        <w:t>: High-risk spinal surgery requires general anesthesia and endotracheal intubation. Considerations during the induction phase include:</w:t>
      </w:r>
    </w:p>
    <w:p w14:paraId="62B460F6" w14:textId="3E40CFA1"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lastRenderedPageBreak/>
        <w:t>IF patient has cervical pathology THEN avoiding cervical spine manipulation during airway access</w:t>
      </w:r>
    </w:p>
    <w:p w14:paraId="3CF89F00" w14:textId="10538B2A"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Hemodynamic stability and avoidance of hypotension especially in myelopathic patients/spinal cord in jeopardy</w:t>
      </w:r>
    </w:p>
    <w:p w14:paraId="28F8907A"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Induction technique should not interfere with electrophysiologic monitoring (EP)</w:t>
      </w:r>
    </w:p>
    <w:p w14:paraId="62CB6B1D"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WHEN baseline Motor Evoked Potentials (MEP) or Somatosensory Evoked Potentials (SSEP) are warranted, THEN a depolarizing neuromuscular agent is preferred.</w:t>
      </w:r>
    </w:p>
    <w:p w14:paraId="30D92CB9"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Small dose of nondepolarizing blocking agent can be used to facilitate intubation and positioning BUT excessive or residual paralysis can interfere with EP</w:t>
      </w:r>
    </w:p>
    <w:p w14:paraId="16959259" w14:textId="0517AC21"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Once the</w:t>
      </w:r>
      <w:r w:rsidR="00F04458" w:rsidRPr="00EB62D1">
        <w:rPr>
          <w:color w:val="000000" w:themeColor="text1"/>
        </w:rPr>
        <w:t xml:space="preserve"> endotracheal tube</w:t>
      </w:r>
      <w:r w:rsidRPr="00EB62D1">
        <w:rPr>
          <w:color w:val="000000" w:themeColor="text1"/>
        </w:rPr>
        <w:t xml:space="preserve"> is secure, a soft (but firm) bite block is placed between the molars and visible to facilitate easy removal at the end of the case</w:t>
      </w:r>
    </w:p>
    <w:p w14:paraId="031C0B58" w14:textId="77777777" w:rsidR="001A3283" w:rsidRPr="00EB62D1" w:rsidRDefault="001A3283" w:rsidP="001833DE">
      <w:pPr>
        <w:pStyle w:val="ListParagraph"/>
        <w:numPr>
          <w:ilvl w:val="1"/>
          <w:numId w:val="4"/>
        </w:numPr>
        <w:spacing w:line="480" w:lineRule="auto"/>
        <w:rPr>
          <w:b/>
          <w:color w:val="000000" w:themeColor="text1"/>
        </w:rPr>
      </w:pPr>
      <w:r w:rsidRPr="00EB62D1">
        <w:rPr>
          <w:b/>
          <w:color w:val="000000" w:themeColor="text1"/>
        </w:rPr>
        <w:t>Maintenance</w:t>
      </w:r>
    </w:p>
    <w:p w14:paraId="65EBEC7C" w14:textId="60759F51"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lang w:val="en"/>
        </w:rPr>
        <w:t xml:space="preserve">All cases require first antibiotic administration within one hour of the incision. If an inpatient is already receiving an antibiotic therapy or wound culture should be obtained by the surgeon prior to antibiotic administration in the </w:t>
      </w:r>
      <w:r w:rsidR="00F04458" w:rsidRPr="00EB62D1">
        <w:rPr>
          <w:color w:val="000000" w:themeColor="text1"/>
          <w:lang w:val="en"/>
        </w:rPr>
        <w:t>operating room (OR)</w:t>
      </w:r>
      <w:r w:rsidRPr="00EB62D1">
        <w:rPr>
          <w:color w:val="000000" w:themeColor="text1"/>
          <w:lang w:val="en"/>
        </w:rPr>
        <w:t>, the decision on antibiotic regimen should be made according to hospital guidelines</w:t>
      </w:r>
    </w:p>
    <w:p w14:paraId="26DC2FC3" w14:textId="2FACB586"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Most cases require </w:t>
      </w:r>
      <w:r w:rsidR="000E05AF" w:rsidRPr="00EB62D1">
        <w:rPr>
          <w:color w:val="000000" w:themeColor="text1"/>
        </w:rPr>
        <w:t>total intravenous anesthesia (</w:t>
      </w:r>
      <w:r w:rsidRPr="00EB62D1">
        <w:rPr>
          <w:color w:val="000000" w:themeColor="text1"/>
        </w:rPr>
        <w:t>TIVA</w:t>
      </w:r>
      <w:r w:rsidR="000E05AF" w:rsidRPr="00EB62D1">
        <w:rPr>
          <w:color w:val="000000" w:themeColor="text1"/>
        </w:rPr>
        <w:t>)</w:t>
      </w:r>
      <w:r w:rsidR="004D4A9C" w:rsidRPr="00EB62D1">
        <w:rPr>
          <w:color w:val="000000" w:themeColor="text1"/>
        </w:rPr>
        <w:t xml:space="preserve"> -</w:t>
      </w:r>
      <w:r w:rsidRPr="00EB62D1">
        <w:rPr>
          <w:color w:val="000000" w:themeColor="text1"/>
        </w:rPr>
        <w:t xml:space="preserve"> Propofol with Remifentanil or </w:t>
      </w:r>
      <w:proofErr w:type="spellStart"/>
      <w:r w:rsidRPr="00EB62D1">
        <w:rPr>
          <w:color w:val="000000" w:themeColor="text1"/>
        </w:rPr>
        <w:t>Sufentanil</w:t>
      </w:r>
      <w:proofErr w:type="spellEnd"/>
      <w:r w:rsidRPr="00EB62D1">
        <w:rPr>
          <w:color w:val="000000" w:themeColor="text1"/>
        </w:rPr>
        <w:t>, Ketamine on a case by case basis</w:t>
      </w:r>
    </w:p>
    <w:p w14:paraId="682106BB" w14:textId="34235725"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lastRenderedPageBreak/>
        <w:t xml:space="preserve">If patient has severe cervical stenosis or cervical cord compression, THEN keep </w:t>
      </w:r>
      <w:r w:rsidR="000E05AF" w:rsidRPr="00EB62D1">
        <w:rPr>
          <w:color w:val="000000" w:themeColor="text1"/>
        </w:rPr>
        <w:t>mean arterial pressure (</w:t>
      </w:r>
      <w:r w:rsidRPr="00EB62D1">
        <w:rPr>
          <w:color w:val="000000" w:themeColor="text1"/>
        </w:rPr>
        <w:t>MAP</w:t>
      </w:r>
      <w:r w:rsidR="000E05AF" w:rsidRPr="00EB62D1">
        <w:rPr>
          <w:color w:val="000000" w:themeColor="text1"/>
        </w:rPr>
        <w:t>)</w:t>
      </w:r>
      <w:r w:rsidRPr="00EB62D1">
        <w:rPr>
          <w:color w:val="000000" w:themeColor="text1"/>
        </w:rPr>
        <w:t xml:space="preserve"> &gt; 85 mmHg</w:t>
      </w:r>
    </w:p>
    <w:p w14:paraId="560C2B4B"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Verify and document preferred MAP with surgeon for all cases</w:t>
      </w:r>
    </w:p>
    <w:p w14:paraId="2BE5C3A6"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If the patient is on long term opioid therapy for uncontrolled pain, THEN:</w:t>
      </w:r>
    </w:p>
    <w:p w14:paraId="76A8384E" w14:textId="7C9FF57A" w:rsidR="000E05AF" w:rsidRPr="00EB62D1" w:rsidRDefault="001A3283" w:rsidP="001833DE">
      <w:pPr>
        <w:pStyle w:val="ListParagraph"/>
        <w:numPr>
          <w:ilvl w:val="3"/>
          <w:numId w:val="4"/>
        </w:numPr>
        <w:spacing w:line="480" w:lineRule="auto"/>
        <w:rPr>
          <w:color w:val="000000" w:themeColor="text1"/>
        </w:rPr>
      </w:pPr>
      <w:r w:rsidRPr="00EB62D1">
        <w:rPr>
          <w:color w:val="000000" w:themeColor="text1"/>
        </w:rPr>
        <w:t>Methadone 10-20 mg</w:t>
      </w:r>
    </w:p>
    <w:p w14:paraId="288F8442" w14:textId="272B0AAB"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Magnesium Sulfate 2 gm</w:t>
      </w:r>
    </w:p>
    <w:p w14:paraId="24D1A05C" w14:textId="6D6887FF"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Lidocaine infusion</w:t>
      </w:r>
      <w:r w:rsidR="00CA5897" w:rsidRPr="00EB62D1">
        <w:rPr>
          <w:color w:val="000000" w:themeColor="text1"/>
        </w:rPr>
        <w:t>, if not contraindicated</w:t>
      </w:r>
      <w:r w:rsidRPr="00EB62D1">
        <w:rPr>
          <w:color w:val="000000" w:themeColor="text1"/>
        </w:rPr>
        <w:t>: 1-2mg/kg/</w:t>
      </w:r>
      <w:proofErr w:type="spellStart"/>
      <w:r w:rsidRPr="00EB62D1">
        <w:rPr>
          <w:color w:val="000000" w:themeColor="text1"/>
        </w:rPr>
        <w:t>hr</w:t>
      </w:r>
      <w:proofErr w:type="spellEnd"/>
      <w:r w:rsidRPr="00EB62D1">
        <w:rPr>
          <w:color w:val="000000" w:themeColor="text1"/>
        </w:rPr>
        <w:t xml:space="preserve"> intraoperatively and </w:t>
      </w:r>
      <w:r w:rsidR="00170D98" w:rsidRPr="00EB62D1">
        <w:rPr>
          <w:color w:val="000000" w:themeColor="text1"/>
        </w:rPr>
        <w:t xml:space="preserve">possibly continue </w:t>
      </w:r>
      <w:r w:rsidRPr="00EB62D1">
        <w:rPr>
          <w:color w:val="000000" w:themeColor="text1"/>
        </w:rPr>
        <w:t>infusion at 0.5-1mg/kg/</w:t>
      </w:r>
      <w:proofErr w:type="spellStart"/>
      <w:r w:rsidRPr="00EB62D1">
        <w:rPr>
          <w:color w:val="000000" w:themeColor="text1"/>
        </w:rPr>
        <w:t>hr</w:t>
      </w:r>
      <w:proofErr w:type="spellEnd"/>
      <w:r w:rsidRPr="00EB62D1">
        <w:rPr>
          <w:color w:val="000000" w:themeColor="text1"/>
        </w:rPr>
        <w:t xml:space="preserve"> until </w:t>
      </w:r>
      <w:r w:rsidR="004D4A9C" w:rsidRPr="00EB62D1">
        <w:rPr>
          <w:color w:val="000000" w:themeColor="text1"/>
        </w:rPr>
        <w:t>postoperative day (</w:t>
      </w:r>
      <w:r w:rsidRPr="00EB62D1">
        <w:rPr>
          <w:color w:val="000000" w:themeColor="text1"/>
        </w:rPr>
        <w:t>POD</w:t>
      </w:r>
      <w:r w:rsidR="004D4A9C" w:rsidRPr="00EB62D1">
        <w:rPr>
          <w:color w:val="000000" w:themeColor="text1"/>
        </w:rPr>
        <w:t xml:space="preserve">) </w:t>
      </w:r>
      <w:r w:rsidRPr="00EB62D1">
        <w:rPr>
          <w:color w:val="000000" w:themeColor="text1"/>
        </w:rPr>
        <w:t>2</w:t>
      </w:r>
      <w:r w:rsidR="004A7690" w:rsidRPr="00EB62D1">
        <w:rPr>
          <w:color w:val="000000" w:themeColor="text1"/>
          <w:vertAlign w:val="superscript"/>
        </w:rPr>
        <w:t>1</w:t>
      </w:r>
      <w:r w:rsidR="000F43BC" w:rsidRPr="00EB62D1">
        <w:rPr>
          <w:color w:val="000000" w:themeColor="text1"/>
          <w:vertAlign w:val="superscript"/>
        </w:rPr>
        <w:t>1,12</w:t>
      </w:r>
    </w:p>
    <w:p w14:paraId="1901AEBC" w14:textId="727B99B8" w:rsidR="001A3283" w:rsidRPr="00EB62D1" w:rsidRDefault="00CA5897" w:rsidP="001833DE">
      <w:pPr>
        <w:pStyle w:val="ListParagraph"/>
        <w:numPr>
          <w:ilvl w:val="3"/>
          <w:numId w:val="4"/>
        </w:numPr>
        <w:spacing w:line="480" w:lineRule="auto"/>
        <w:rPr>
          <w:color w:val="000000" w:themeColor="text1"/>
        </w:rPr>
      </w:pPr>
      <w:r w:rsidRPr="00EB62D1">
        <w:rPr>
          <w:color w:val="000000" w:themeColor="text1"/>
        </w:rPr>
        <w:t>K</w:t>
      </w:r>
      <w:r w:rsidR="001A3283" w:rsidRPr="00EB62D1">
        <w:rPr>
          <w:color w:val="000000" w:themeColor="text1"/>
        </w:rPr>
        <w:t>etamine infusion</w:t>
      </w:r>
      <w:r w:rsidRPr="00EB62D1">
        <w:rPr>
          <w:color w:val="000000" w:themeColor="text1"/>
        </w:rPr>
        <w:t xml:space="preserve"> (if not contraindicated)</w:t>
      </w:r>
      <w:r w:rsidR="001A3283" w:rsidRPr="00EB62D1">
        <w:rPr>
          <w:color w:val="000000" w:themeColor="text1"/>
        </w:rPr>
        <w:t>: 0.5mg/kg administered pre-incision, then 0.25mg/kg/</w:t>
      </w:r>
      <w:proofErr w:type="spellStart"/>
      <w:r w:rsidR="001A3283" w:rsidRPr="00EB62D1">
        <w:rPr>
          <w:color w:val="000000" w:themeColor="text1"/>
        </w:rPr>
        <w:t>hr</w:t>
      </w:r>
      <w:proofErr w:type="spellEnd"/>
      <w:r w:rsidR="001A3283" w:rsidRPr="00EB62D1">
        <w:rPr>
          <w:color w:val="000000" w:themeColor="text1"/>
        </w:rPr>
        <w:t xml:space="preserve"> has been shown to decrease opioid use in the perioperative period</w:t>
      </w:r>
      <w:r w:rsidR="001A3283" w:rsidRPr="00EB62D1">
        <w:rPr>
          <w:color w:val="000000" w:themeColor="text1"/>
          <w:vertAlign w:val="superscript"/>
        </w:rPr>
        <w:t>1</w:t>
      </w:r>
      <w:r w:rsidR="000F43BC" w:rsidRPr="00EB62D1">
        <w:rPr>
          <w:color w:val="000000" w:themeColor="text1"/>
          <w:vertAlign w:val="superscript"/>
        </w:rPr>
        <w:t>3</w:t>
      </w:r>
      <w:r w:rsidR="004A7690" w:rsidRPr="00EB62D1">
        <w:rPr>
          <w:color w:val="000000" w:themeColor="text1"/>
          <w:vertAlign w:val="superscript"/>
        </w:rPr>
        <w:t>,1</w:t>
      </w:r>
      <w:r w:rsidR="000F43BC" w:rsidRPr="00EB62D1">
        <w:rPr>
          <w:color w:val="000000" w:themeColor="text1"/>
          <w:vertAlign w:val="superscript"/>
        </w:rPr>
        <w:t>4</w:t>
      </w:r>
    </w:p>
    <w:p w14:paraId="3BFEFD70" w14:textId="72E7B097" w:rsidR="001A3283" w:rsidRPr="00EB62D1" w:rsidRDefault="001A3283" w:rsidP="000A08A3">
      <w:pPr>
        <w:pStyle w:val="ListParagraph"/>
        <w:numPr>
          <w:ilvl w:val="3"/>
          <w:numId w:val="4"/>
        </w:numPr>
        <w:spacing w:line="480" w:lineRule="auto"/>
        <w:rPr>
          <w:strike/>
          <w:color w:val="000000" w:themeColor="text1"/>
        </w:rPr>
      </w:pPr>
      <w:r w:rsidRPr="00EB62D1">
        <w:rPr>
          <w:color w:val="000000" w:themeColor="text1"/>
        </w:rPr>
        <w:t>Intrathecal injection of morphine may be administered by the surgeon</w:t>
      </w:r>
    </w:p>
    <w:p w14:paraId="404D8C6D" w14:textId="51972E65"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If the patient is high cardiac risk, THEN consider inhalations agent at ½ </w:t>
      </w:r>
      <w:r w:rsidR="000E05AF" w:rsidRPr="00EB62D1">
        <w:rPr>
          <w:color w:val="000000" w:themeColor="text1"/>
        </w:rPr>
        <w:t>monitored anesthesia care (</w:t>
      </w:r>
      <w:r w:rsidRPr="00EB62D1">
        <w:rPr>
          <w:color w:val="000000" w:themeColor="text1"/>
        </w:rPr>
        <w:t>MAC</w:t>
      </w:r>
      <w:r w:rsidR="000E05AF" w:rsidRPr="00EB62D1">
        <w:rPr>
          <w:color w:val="000000" w:themeColor="text1"/>
        </w:rPr>
        <w:t>)</w:t>
      </w:r>
      <w:r w:rsidRPr="00EB62D1">
        <w:rPr>
          <w:color w:val="000000" w:themeColor="text1"/>
        </w:rPr>
        <w:t xml:space="preserve"> with TIVA</w:t>
      </w:r>
    </w:p>
    <w:p w14:paraId="7A110A29" w14:textId="77777777" w:rsidR="001A3283" w:rsidRPr="00EB62D1" w:rsidRDefault="001A3283" w:rsidP="001833DE">
      <w:pPr>
        <w:spacing w:line="480" w:lineRule="auto"/>
        <w:rPr>
          <w:color w:val="000000" w:themeColor="text1"/>
        </w:rPr>
      </w:pPr>
    </w:p>
    <w:p w14:paraId="7ABFBB8E" w14:textId="77777777"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Monitoring</w:t>
      </w:r>
    </w:p>
    <w:p w14:paraId="288B2FBF" w14:textId="4C967D24"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Standard </w:t>
      </w:r>
      <w:r w:rsidR="004D4A9C" w:rsidRPr="00EB62D1">
        <w:rPr>
          <w:color w:val="000000" w:themeColor="text1"/>
        </w:rPr>
        <w:t>American Society of Anesthesiology (</w:t>
      </w:r>
      <w:r w:rsidRPr="00EB62D1">
        <w:rPr>
          <w:color w:val="000000" w:themeColor="text1"/>
        </w:rPr>
        <w:t>ASA</w:t>
      </w:r>
      <w:r w:rsidR="004D4A9C" w:rsidRPr="00EB62D1">
        <w:rPr>
          <w:color w:val="000000" w:themeColor="text1"/>
        </w:rPr>
        <w:t>)</w:t>
      </w:r>
      <w:r w:rsidRPr="00EB62D1">
        <w:rPr>
          <w:color w:val="000000" w:themeColor="text1"/>
        </w:rPr>
        <w:t xml:space="preserve"> monitoring </w:t>
      </w:r>
    </w:p>
    <w:p w14:paraId="7EB38148" w14:textId="2ACB529D"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All patients require </w:t>
      </w:r>
      <w:r w:rsidR="004D4A9C" w:rsidRPr="00EB62D1">
        <w:rPr>
          <w:color w:val="000000" w:themeColor="text1"/>
        </w:rPr>
        <w:t xml:space="preserve">arterial </w:t>
      </w:r>
      <w:r w:rsidRPr="00EB62D1">
        <w:rPr>
          <w:color w:val="000000" w:themeColor="text1"/>
        </w:rPr>
        <w:t>line and</w:t>
      </w:r>
      <w:r w:rsidR="00CA5897" w:rsidRPr="00EB62D1">
        <w:rPr>
          <w:color w:val="000000" w:themeColor="text1"/>
        </w:rPr>
        <w:t xml:space="preserve"> most of the patients require</w:t>
      </w:r>
      <w:r w:rsidRPr="00EB62D1">
        <w:rPr>
          <w:color w:val="000000" w:themeColor="text1"/>
        </w:rPr>
        <w:t xml:space="preserve"> central line</w:t>
      </w:r>
    </w:p>
    <w:p w14:paraId="4773B1A0" w14:textId="476D2CB9"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IF </w:t>
      </w:r>
      <w:r w:rsidR="004D4A9C" w:rsidRPr="00EB62D1">
        <w:rPr>
          <w:color w:val="000000" w:themeColor="text1"/>
        </w:rPr>
        <w:t>central venous catheter is</w:t>
      </w:r>
      <w:r w:rsidRPr="00EB62D1">
        <w:rPr>
          <w:color w:val="000000" w:themeColor="text1"/>
        </w:rPr>
        <w:t xml:space="preserve"> inserted, THEN monitoring is recommended</w:t>
      </w:r>
    </w:p>
    <w:p w14:paraId="3C721460" w14:textId="0607D6F5"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Consider </w:t>
      </w:r>
      <w:proofErr w:type="spellStart"/>
      <w:r w:rsidRPr="00EB62D1">
        <w:rPr>
          <w:color w:val="000000" w:themeColor="text1"/>
        </w:rPr>
        <w:t>FloTrak</w:t>
      </w:r>
      <w:proofErr w:type="spellEnd"/>
      <w:r w:rsidRPr="00EB62D1">
        <w:rPr>
          <w:color w:val="000000" w:themeColor="text1"/>
        </w:rPr>
        <w:t xml:space="preserve"> or </w:t>
      </w:r>
      <w:proofErr w:type="spellStart"/>
      <w:r w:rsidRPr="00EB62D1">
        <w:rPr>
          <w:color w:val="000000" w:themeColor="text1"/>
        </w:rPr>
        <w:t>Lidco</w:t>
      </w:r>
      <w:proofErr w:type="spellEnd"/>
      <w:r w:rsidRPr="00EB62D1">
        <w:rPr>
          <w:color w:val="000000" w:themeColor="text1"/>
        </w:rPr>
        <w:t xml:space="preserve"> for dynamic cardiovascular monitoring</w:t>
      </w:r>
      <w:r w:rsidRPr="00EB62D1">
        <w:rPr>
          <w:color w:val="000000" w:themeColor="text1"/>
          <w:vertAlign w:val="superscript"/>
        </w:rPr>
        <w:t>1</w:t>
      </w:r>
      <w:r w:rsidR="000F43BC" w:rsidRPr="00EB62D1">
        <w:rPr>
          <w:color w:val="000000" w:themeColor="text1"/>
          <w:vertAlign w:val="superscript"/>
        </w:rPr>
        <w:t>5</w:t>
      </w:r>
    </w:p>
    <w:p w14:paraId="7F848B20" w14:textId="5E1CA0F1" w:rsidR="001A3283" w:rsidRPr="00EB62D1" w:rsidRDefault="004D4A9C" w:rsidP="001833DE">
      <w:pPr>
        <w:pStyle w:val="ListParagraph"/>
        <w:numPr>
          <w:ilvl w:val="1"/>
          <w:numId w:val="4"/>
        </w:numPr>
        <w:spacing w:line="480" w:lineRule="auto"/>
        <w:rPr>
          <w:color w:val="000000" w:themeColor="text1"/>
        </w:rPr>
      </w:pPr>
      <w:r w:rsidRPr="00EB62D1">
        <w:rPr>
          <w:color w:val="000000" w:themeColor="text1"/>
        </w:rPr>
        <w:lastRenderedPageBreak/>
        <w:t>Patient’s t</w:t>
      </w:r>
      <w:r w:rsidR="001A3283" w:rsidRPr="00EB62D1">
        <w:rPr>
          <w:color w:val="000000" w:themeColor="text1"/>
        </w:rPr>
        <w:t>emperature must be 36-37 degrees Celsius. The operating room temperature must be maintained at 70 degrees</w:t>
      </w:r>
      <w:r w:rsidRPr="00EB62D1">
        <w:rPr>
          <w:color w:val="000000" w:themeColor="text1"/>
        </w:rPr>
        <w:t xml:space="preserve"> Fahrenheit</w:t>
      </w:r>
      <w:r w:rsidR="001A3283" w:rsidRPr="00EB62D1">
        <w:rPr>
          <w:color w:val="000000" w:themeColor="text1"/>
        </w:rPr>
        <w:t>. All warmers, forced air blankets, and humidifiers must be initiated</w:t>
      </w:r>
    </w:p>
    <w:p w14:paraId="1ADA4C2E" w14:textId="77777777"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Urinary catheter is required, preferably with the temperature probe </w:t>
      </w:r>
    </w:p>
    <w:p w14:paraId="43A9366F" w14:textId="032E7228"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Glucose monitoring is required. It is highly recommended to keep glucose level bellow 180</w:t>
      </w:r>
      <w:r w:rsidR="004D4A9C" w:rsidRPr="00EB62D1">
        <w:rPr>
          <w:color w:val="000000" w:themeColor="text1"/>
        </w:rPr>
        <w:t xml:space="preserve"> mg/dL</w:t>
      </w:r>
      <w:r w:rsidRPr="00EB62D1">
        <w:rPr>
          <w:color w:val="000000" w:themeColor="text1"/>
        </w:rPr>
        <w:t xml:space="preserve"> throughout the surgery. The blood glucose on diabetic patients should be checked hourly. If blood glucose after two hours of treatment remains above 200</w:t>
      </w:r>
      <w:r w:rsidR="004D4A9C" w:rsidRPr="00EB62D1">
        <w:rPr>
          <w:color w:val="000000" w:themeColor="text1"/>
        </w:rPr>
        <w:t xml:space="preserve"> mg/dL</w:t>
      </w:r>
      <w:r w:rsidRPr="00EB62D1">
        <w:rPr>
          <w:color w:val="000000" w:themeColor="text1"/>
        </w:rPr>
        <w:t xml:space="preserve"> – consider using insulin drip</w:t>
      </w:r>
    </w:p>
    <w:p w14:paraId="4D9A233B" w14:textId="77777777" w:rsidR="001833DE" w:rsidRPr="00EB62D1" w:rsidRDefault="001833DE" w:rsidP="001833DE">
      <w:pPr>
        <w:pStyle w:val="ListParagraph"/>
        <w:spacing w:line="480" w:lineRule="auto"/>
        <w:ind w:left="1440"/>
        <w:rPr>
          <w:color w:val="000000" w:themeColor="text1"/>
        </w:rPr>
      </w:pPr>
    </w:p>
    <w:p w14:paraId="2D465F48" w14:textId="77777777"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Positioning</w:t>
      </w:r>
    </w:p>
    <w:p w14:paraId="7FC2269E" w14:textId="0D745FE0"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All patients are positioned in collaboration </w:t>
      </w:r>
      <w:r w:rsidR="00F04458" w:rsidRPr="00EB62D1">
        <w:rPr>
          <w:color w:val="000000" w:themeColor="text1"/>
        </w:rPr>
        <w:t>WITH</w:t>
      </w:r>
      <w:r w:rsidRPr="00EB62D1">
        <w:rPr>
          <w:color w:val="000000" w:themeColor="text1"/>
        </w:rPr>
        <w:t xml:space="preserve"> the surgical team</w:t>
      </w:r>
    </w:p>
    <w:p w14:paraId="565076F4" w14:textId="77777777" w:rsidR="001A3283" w:rsidRPr="00EB62D1" w:rsidRDefault="001A3283" w:rsidP="001833DE">
      <w:pPr>
        <w:pStyle w:val="ListParagraph"/>
        <w:numPr>
          <w:ilvl w:val="1"/>
          <w:numId w:val="4"/>
        </w:numPr>
        <w:spacing w:line="480" w:lineRule="auto"/>
        <w:rPr>
          <w:color w:val="000000" w:themeColor="text1"/>
        </w:rPr>
      </w:pPr>
      <w:r w:rsidRPr="00EB62D1">
        <w:rPr>
          <w:bCs/>
          <w:color w:val="000000" w:themeColor="text1"/>
        </w:rPr>
        <w:t>Specialty tables</w:t>
      </w:r>
      <w:r w:rsidRPr="00EB62D1">
        <w:rPr>
          <w:color w:val="000000" w:themeColor="text1"/>
        </w:rPr>
        <w:t xml:space="preserve"> are used (all inflatable pads should be inflated prior to positioning) </w:t>
      </w:r>
    </w:p>
    <w:p w14:paraId="67F05CB5" w14:textId="15D501FA" w:rsidR="001A3283" w:rsidRPr="00EB62D1" w:rsidRDefault="001A3283" w:rsidP="001833DE">
      <w:pPr>
        <w:pStyle w:val="ListParagraph"/>
        <w:numPr>
          <w:ilvl w:val="2"/>
          <w:numId w:val="4"/>
        </w:numPr>
        <w:spacing w:line="480" w:lineRule="auto"/>
        <w:rPr>
          <w:color w:val="000000" w:themeColor="text1"/>
        </w:rPr>
      </w:pPr>
      <w:proofErr w:type="spellStart"/>
      <w:r w:rsidRPr="00EB62D1">
        <w:rPr>
          <w:color w:val="000000" w:themeColor="text1"/>
        </w:rPr>
        <w:t>Proaxis</w:t>
      </w:r>
      <w:proofErr w:type="spellEnd"/>
      <w:r w:rsidRPr="00EB62D1">
        <w:rPr>
          <w:color w:val="000000" w:themeColor="text1"/>
        </w:rPr>
        <w:t xml:space="preserve"> Jackson</w:t>
      </w:r>
      <w:r w:rsidR="004D4A9C" w:rsidRPr="00EB62D1">
        <w:rPr>
          <w:color w:val="000000" w:themeColor="text1"/>
        </w:rPr>
        <w:t xml:space="preserve"> table</w:t>
      </w:r>
      <w:r w:rsidRPr="00EB62D1">
        <w:rPr>
          <w:color w:val="000000" w:themeColor="text1"/>
        </w:rPr>
        <w:t>: inflatable pads are located at the anterior superior iliac spines only</w:t>
      </w:r>
    </w:p>
    <w:p w14:paraId="0B218571" w14:textId="66E2A418"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Axis Jackson</w:t>
      </w:r>
      <w:r w:rsidR="004D4A9C" w:rsidRPr="00EB62D1">
        <w:rPr>
          <w:color w:val="000000" w:themeColor="text1"/>
        </w:rPr>
        <w:t xml:space="preserve"> table</w:t>
      </w:r>
      <w:r w:rsidRPr="00EB62D1">
        <w:rPr>
          <w:color w:val="000000" w:themeColor="text1"/>
        </w:rPr>
        <w:t>: inflatable pads are located at chest, below axillae, and at the level of the anterior superior iliac spines</w:t>
      </w:r>
    </w:p>
    <w:p w14:paraId="2008F2EE"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Wilson Frame</w:t>
      </w:r>
    </w:p>
    <w:p w14:paraId="125C54C1"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The surgical table is maintained in horizontal or slight reverse Trendelenburg position unless otherwise indicated</w:t>
      </w:r>
    </w:p>
    <w:p w14:paraId="7B2C1DBE" w14:textId="77777777" w:rsidR="001A3283" w:rsidRPr="00EB62D1" w:rsidRDefault="001A3283" w:rsidP="001833DE">
      <w:pPr>
        <w:pStyle w:val="ListParagraph"/>
        <w:numPr>
          <w:ilvl w:val="1"/>
          <w:numId w:val="4"/>
        </w:numPr>
        <w:spacing w:line="480" w:lineRule="auto"/>
        <w:rPr>
          <w:b/>
          <w:bCs/>
          <w:color w:val="000000" w:themeColor="text1"/>
        </w:rPr>
      </w:pPr>
      <w:r w:rsidRPr="00EB62D1">
        <w:rPr>
          <w:b/>
          <w:bCs/>
          <w:color w:val="000000" w:themeColor="text1"/>
        </w:rPr>
        <w:t>Anatomic position</w:t>
      </w:r>
    </w:p>
    <w:p w14:paraId="667DF39D"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Eyes are lubricated closed, protected, and free from external pressure</w:t>
      </w:r>
    </w:p>
    <w:p w14:paraId="08F7B5F7"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Head and neck must be in neutral position</w:t>
      </w:r>
    </w:p>
    <w:p w14:paraId="220C75BC"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lastRenderedPageBreak/>
        <w:t>IF Prone View headrest is used, THEN eyes and nose must be visible</w:t>
      </w:r>
    </w:p>
    <w:p w14:paraId="530D7F31"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 xml:space="preserve">IF the Mayfield head fixator is used, THEN the patient’s head should </w:t>
      </w:r>
      <w:r w:rsidRPr="00EB62D1">
        <w:rPr>
          <w:i/>
          <w:iCs/>
          <w:color w:val="000000" w:themeColor="text1"/>
        </w:rPr>
        <w:t>not</w:t>
      </w:r>
      <w:r w:rsidRPr="00EB62D1">
        <w:rPr>
          <w:color w:val="000000" w:themeColor="text1"/>
        </w:rPr>
        <w:t xml:space="preserve"> be extremely flexed or extended, and the chin must be free</w:t>
      </w:r>
    </w:p>
    <w:p w14:paraId="47D56918"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Soft padding is applied to the chin and forehead area</w:t>
      </w:r>
    </w:p>
    <w:p w14:paraId="612DA5F1"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The surgical team is responsible for proper patient positioning</w:t>
      </w:r>
    </w:p>
    <w:p w14:paraId="2F4401CB" w14:textId="3D2A93A5"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Arms abducted no more than 90 degrees, slight internal rotation, and arms lie in the front of the plane of the body to reduce brachial plexus injury</w:t>
      </w:r>
    </w:p>
    <w:p w14:paraId="5F058A28" w14:textId="77777777"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Place soft pads in the axillae area, ulnar nerve at the elbow.</w:t>
      </w:r>
    </w:p>
    <w:p w14:paraId="72921052" w14:textId="00505BDA"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IF the arms are tucked, THEN thumbs should be positioned pointing down to avoid over pronation</w:t>
      </w:r>
    </w:p>
    <w:p w14:paraId="68891A4A" w14:textId="513E6B75"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 xml:space="preserve">All pressure points should be assessed </w:t>
      </w:r>
      <w:r w:rsidR="00F04458" w:rsidRPr="00EB62D1">
        <w:rPr>
          <w:color w:val="000000" w:themeColor="text1"/>
        </w:rPr>
        <w:t xml:space="preserve">EVERY 60 MINUTES </w:t>
      </w:r>
      <w:r w:rsidRPr="00EB62D1">
        <w:rPr>
          <w:color w:val="000000" w:themeColor="text1"/>
        </w:rPr>
        <w:t>(eyes, nose, lips and chin, elbows, arms and hands, breasts and genitalia</w:t>
      </w:r>
    </w:p>
    <w:p w14:paraId="6EC27680" w14:textId="77777777"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Neurophysiological Monitoring</w:t>
      </w:r>
    </w:p>
    <w:p w14:paraId="354902BD" w14:textId="000A7B5C"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Neurophysiological monitoring is used on a routine basis</w:t>
      </w:r>
      <w:r w:rsidR="00E5236B" w:rsidRPr="00EB62D1">
        <w:rPr>
          <w:color w:val="000000" w:themeColor="text1"/>
        </w:rPr>
        <w:t xml:space="preserve">: </w:t>
      </w:r>
      <w:r w:rsidRPr="00EB62D1">
        <w:rPr>
          <w:color w:val="000000" w:themeColor="text1"/>
        </w:rPr>
        <w:t>SSEP/MEP</w:t>
      </w:r>
    </w:p>
    <w:p w14:paraId="4CFAD86A" w14:textId="026D5753"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Baseline neurophysiological baseline is recorded pre-incision</w:t>
      </w:r>
    </w:p>
    <w:p w14:paraId="4E4D267C" w14:textId="3748EBBC"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IF there is concern regarding spinal integrity, THEN monitoring is assessed pre </w:t>
      </w:r>
      <w:r w:rsidR="00F04458" w:rsidRPr="00EB62D1">
        <w:rPr>
          <w:color w:val="000000" w:themeColor="text1"/>
        </w:rPr>
        <w:t>AND</w:t>
      </w:r>
      <w:r w:rsidRPr="00EB62D1">
        <w:rPr>
          <w:color w:val="000000" w:themeColor="text1"/>
        </w:rPr>
        <w:t xml:space="preserve"> post positioning</w:t>
      </w:r>
    </w:p>
    <w:p w14:paraId="00CA43EF" w14:textId="77777777"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lastRenderedPageBreak/>
        <w:t>SSEP is assessed continuously and MEP is assessed at the surgeons’ request, and following any critical surgical interventions (spinal instrumentation, osteotomy, or scoliosis correction)</w:t>
      </w:r>
    </w:p>
    <w:p w14:paraId="6A9CD5FA" w14:textId="1D5A9E8B"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Free run electromyography</w:t>
      </w:r>
      <w:r w:rsidR="00E5236B" w:rsidRPr="00EB62D1">
        <w:rPr>
          <w:color w:val="000000" w:themeColor="text1"/>
        </w:rPr>
        <w:t xml:space="preserve"> (EMG)</w:t>
      </w:r>
      <w:r w:rsidRPr="00EB62D1">
        <w:rPr>
          <w:color w:val="000000" w:themeColor="text1"/>
        </w:rPr>
        <w:t xml:space="preserve"> is performed to monitor nerve root irritation and/or injury</w:t>
      </w:r>
    </w:p>
    <w:p w14:paraId="1DC9D3D5" w14:textId="77777777"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Fluid Management</w:t>
      </w:r>
    </w:p>
    <w:p w14:paraId="62D0428E" w14:textId="246D407A"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Initial assessment of the intravascular volume must be assessed, and resuscitation is warranted </w:t>
      </w:r>
      <w:r w:rsidR="001A5683" w:rsidRPr="00EB62D1">
        <w:rPr>
          <w:color w:val="000000" w:themeColor="text1"/>
        </w:rPr>
        <w:t>BEFORE</w:t>
      </w:r>
      <w:r w:rsidRPr="00EB62D1">
        <w:rPr>
          <w:color w:val="000000" w:themeColor="text1"/>
        </w:rPr>
        <w:t xml:space="preserve"> bleeding occurs. Continual assessment of:</w:t>
      </w:r>
    </w:p>
    <w:p w14:paraId="6A9639EB"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Clinical status</w:t>
      </w:r>
    </w:p>
    <w:p w14:paraId="2038E1A3"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Vital signs</w:t>
      </w:r>
    </w:p>
    <w:p w14:paraId="4134E7F5"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CVP measurements</w:t>
      </w:r>
    </w:p>
    <w:p w14:paraId="25B36F42"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ABG results</w:t>
      </w:r>
    </w:p>
    <w:p w14:paraId="6FBFF4DD" w14:textId="47C75A99"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Stroke Volume Variation Pleth</w:t>
      </w:r>
      <w:r w:rsidR="00E5236B" w:rsidRPr="00EB62D1">
        <w:rPr>
          <w:color w:val="000000" w:themeColor="text1"/>
        </w:rPr>
        <w:t>ysm</w:t>
      </w:r>
      <w:r w:rsidRPr="00EB62D1">
        <w:rPr>
          <w:color w:val="000000" w:themeColor="text1"/>
        </w:rPr>
        <w:t>ography</w:t>
      </w:r>
    </w:p>
    <w:p w14:paraId="3221C3D6" w14:textId="62CA2110"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Use balanced salt solutions with low chloride content (P</w:t>
      </w:r>
      <w:r w:rsidR="001A5683" w:rsidRPr="00EB62D1">
        <w:rPr>
          <w:color w:val="000000" w:themeColor="text1"/>
        </w:rPr>
        <w:t>lasma</w:t>
      </w:r>
      <w:r w:rsidRPr="00EB62D1">
        <w:rPr>
          <w:color w:val="000000" w:themeColor="text1"/>
        </w:rPr>
        <w:t>-</w:t>
      </w:r>
      <w:proofErr w:type="spellStart"/>
      <w:r w:rsidRPr="00EB62D1">
        <w:rPr>
          <w:color w:val="000000" w:themeColor="text1"/>
        </w:rPr>
        <w:t>lyte</w:t>
      </w:r>
      <w:proofErr w:type="spellEnd"/>
      <w:r w:rsidRPr="00EB62D1">
        <w:rPr>
          <w:color w:val="000000" w:themeColor="text1"/>
        </w:rPr>
        <w:t>/</w:t>
      </w:r>
      <w:r w:rsidR="001A5683" w:rsidRPr="00EB62D1">
        <w:rPr>
          <w:color w:val="000000" w:themeColor="text1"/>
        </w:rPr>
        <w:t>La</w:t>
      </w:r>
      <w:r w:rsidRPr="00EB62D1">
        <w:rPr>
          <w:color w:val="000000" w:themeColor="text1"/>
        </w:rPr>
        <w:t>ctated Ringers)</w:t>
      </w:r>
      <w:r w:rsidRPr="00EB62D1">
        <w:rPr>
          <w:color w:val="000000" w:themeColor="text1"/>
          <w:vertAlign w:val="superscript"/>
        </w:rPr>
        <w:t>1</w:t>
      </w:r>
      <w:r w:rsidR="000F43BC" w:rsidRPr="00EB62D1">
        <w:rPr>
          <w:color w:val="000000" w:themeColor="text1"/>
          <w:vertAlign w:val="superscript"/>
        </w:rPr>
        <w:t>6</w:t>
      </w:r>
      <w:sdt>
        <w:sdtPr>
          <w:rPr>
            <w:color w:val="000000" w:themeColor="text1"/>
          </w:rPr>
          <w:id w:val="1002237981"/>
          <w:citation/>
        </w:sdtPr>
        <w:sdtEndPr/>
        <w:sdtContent>
          <w:r w:rsidRPr="00EB62D1">
            <w:rPr>
              <w:color w:val="000000" w:themeColor="text1"/>
            </w:rPr>
            <w:fldChar w:fldCharType="begin"/>
          </w:r>
          <w:r w:rsidRPr="00EB62D1">
            <w:rPr>
              <w:color w:val="000000" w:themeColor="text1"/>
            </w:rPr>
            <w:instrText xml:space="preserve">CITATION Placeholder9 \l 1033 </w:instrText>
          </w:r>
          <w:r w:rsidRPr="00EB62D1">
            <w:rPr>
              <w:color w:val="000000" w:themeColor="text1"/>
            </w:rPr>
            <w:fldChar w:fldCharType="separate"/>
          </w:r>
          <w:r w:rsidRPr="00EB62D1">
            <w:rPr>
              <w:noProof/>
              <w:color w:val="000000" w:themeColor="text1"/>
            </w:rPr>
            <w:t xml:space="preserve"> (20)</w:t>
          </w:r>
          <w:r w:rsidRPr="00EB62D1">
            <w:rPr>
              <w:color w:val="000000" w:themeColor="text1"/>
            </w:rPr>
            <w:fldChar w:fldCharType="end"/>
          </w:r>
        </w:sdtContent>
      </w:sdt>
    </w:p>
    <w:p w14:paraId="5462C4D4" w14:textId="1D9F1863"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For maintenance, </w:t>
      </w:r>
      <w:r w:rsidR="00E5236B" w:rsidRPr="00EB62D1">
        <w:rPr>
          <w:i/>
          <w:iCs/>
          <w:color w:val="000000" w:themeColor="text1"/>
        </w:rPr>
        <w:t xml:space="preserve">nil per </w:t>
      </w:r>
      <w:proofErr w:type="spellStart"/>
      <w:r w:rsidR="00E5236B" w:rsidRPr="00EB62D1">
        <w:rPr>
          <w:i/>
          <w:iCs/>
          <w:color w:val="000000" w:themeColor="text1"/>
        </w:rPr>
        <w:t>os</w:t>
      </w:r>
      <w:proofErr w:type="spellEnd"/>
      <w:r w:rsidR="00E5236B" w:rsidRPr="00EB62D1">
        <w:rPr>
          <w:color w:val="000000" w:themeColor="text1"/>
        </w:rPr>
        <w:t xml:space="preserve"> (</w:t>
      </w:r>
      <w:r w:rsidRPr="00EB62D1">
        <w:rPr>
          <w:color w:val="000000" w:themeColor="text1"/>
        </w:rPr>
        <w:t>NPO</w:t>
      </w:r>
      <w:r w:rsidR="00E5236B" w:rsidRPr="00EB62D1">
        <w:rPr>
          <w:color w:val="000000" w:themeColor="text1"/>
        </w:rPr>
        <w:t>)</w:t>
      </w:r>
      <w:r w:rsidRPr="00EB62D1">
        <w:rPr>
          <w:color w:val="000000" w:themeColor="text1"/>
        </w:rPr>
        <w:t xml:space="preserve"> deficit and insensible loss should be considered</w:t>
      </w:r>
    </w:p>
    <w:p w14:paraId="6C25DBEB"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Intra-operative losses volume replacement should be administered according to goal directed therapy</w:t>
      </w:r>
    </w:p>
    <w:p w14:paraId="0372BD96" w14:textId="77777777"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5% albumin is acceptable for fluid resuscitation</w:t>
      </w:r>
    </w:p>
    <w:p w14:paraId="63DFD6AB"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Consider minimal use of crystalloid solutions in favor of 5% albumin to decrease facial swelling in prone position for cases &gt; 6 hours in length </w:t>
      </w:r>
    </w:p>
    <w:p w14:paraId="1D3B3A49" w14:textId="3B245AEE"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lastRenderedPageBreak/>
        <w:t>IF the patient fails to respond to fluid resuscitation, THEN vasoactive medications should be initiated</w:t>
      </w:r>
    </w:p>
    <w:p w14:paraId="0437C609" w14:textId="7A5A651F"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Fluid status is assessed continuously and adjusted with the final target of end organ perfusion and tissue oxygenation</w:t>
      </w:r>
      <w:r w:rsidRPr="00EB62D1">
        <w:rPr>
          <w:color w:val="000000" w:themeColor="text1"/>
          <w:vertAlign w:val="superscript"/>
        </w:rPr>
        <w:t>1</w:t>
      </w:r>
      <w:r w:rsidR="000F43BC" w:rsidRPr="00EB62D1">
        <w:rPr>
          <w:color w:val="000000" w:themeColor="text1"/>
          <w:vertAlign w:val="superscript"/>
        </w:rPr>
        <w:t>7</w:t>
      </w:r>
    </w:p>
    <w:p w14:paraId="6AB4EDA1" w14:textId="77777777"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 xml:space="preserve">Blood Loss </w:t>
      </w:r>
    </w:p>
    <w:p w14:paraId="3A0D39B1" w14:textId="77777777"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Preparation for significant blood loss</w:t>
      </w:r>
    </w:p>
    <w:p w14:paraId="286B0CF9" w14:textId="650C450E" w:rsidR="001A3283" w:rsidRPr="00EB62D1" w:rsidRDefault="00377D5A" w:rsidP="001833DE">
      <w:pPr>
        <w:pStyle w:val="ListParagraph"/>
        <w:numPr>
          <w:ilvl w:val="2"/>
          <w:numId w:val="4"/>
        </w:numPr>
        <w:spacing w:line="480" w:lineRule="auto"/>
        <w:rPr>
          <w:color w:val="000000" w:themeColor="text1"/>
        </w:rPr>
      </w:pPr>
      <w:r w:rsidRPr="00EB62D1">
        <w:rPr>
          <w:color w:val="000000" w:themeColor="text1"/>
        </w:rPr>
        <w:t>C</w:t>
      </w:r>
      <w:r w:rsidR="001A3283" w:rsidRPr="00EB62D1">
        <w:rPr>
          <w:color w:val="000000" w:themeColor="text1"/>
        </w:rPr>
        <w:t xml:space="preserve">ell salvage (exception: patients with spinal oncological disease, infection, or the concern for dissemination of malignant cells) </w:t>
      </w:r>
    </w:p>
    <w:p w14:paraId="2DDD85D9"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Acute </w:t>
      </w:r>
      <w:proofErr w:type="spellStart"/>
      <w:r w:rsidRPr="00EB62D1">
        <w:rPr>
          <w:color w:val="000000" w:themeColor="text1"/>
        </w:rPr>
        <w:t>normovolemic</w:t>
      </w:r>
      <w:proofErr w:type="spellEnd"/>
      <w:r w:rsidRPr="00EB62D1">
        <w:rPr>
          <w:color w:val="000000" w:themeColor="text1"/>
        </w:rPr>
        <w:t xml:space="preserve"> hemodilution</w:t>
      </w:r>
    </w:p>
    <w:p w14:paraId="2664A40F"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Rapid transport infusion systems must be available</w:t>
      </w:r>
    </w:p>
    <w:p w14:paraId="7DF69F33" w14:textId="3041D178"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Blood components must be in the operating room</w:t>
      </w:r>
      <w:r w:rsidR="005E4FB9" w:rsidRPr="00EB62D1">
        <w:rPr>
          <w:color w:val="000000" w:themeColor="text1"/>
        </w:rPr>
        <w:t xml:space="preserve"> (</w:t>
      </w:r>
      <w:r w:rsidR="001A5683" w:rsidRPr="00EB62D1">
        <w:rPr>
          <w:color w:val="212121"/>
          <w:shd w:val="clear" w:color="auto" w:fill="FFFFFF"/>
        </w:rPr>
        <w:t>i</w:t>
      </w:r>
      <w:r w:rsidR="005E4FB9" w:rsidRPr="00EB62D1">
        <w:rPr>
          <w:color w:val="212121"/>
          <w:shd w:val="clear" w:color="auto" w:fill="FFFFFF"/>
        </w:rPr>
        <w:t>ce in the cooler must be replaced in timely matter according to the blood bank refrigeration policy)</w:t>
      </w:r>
      <w:r w:rsidR="00AA43FD" w:rsidRPr="00EB62D1">
        <w:rPr>
          <w:color w:val="212121"/>
          <w:shd w:val="clear" w:color="auto" w:fill="FFFFFF"/>
        </w:rPr>
        <w:t xml:space="preserve">. </w:t>
      </w:r>
      <w:r w:rsidR="00AC4641" w:rsidRPr="00EB62D1">
        <w:rPr>
          <w:color w:val="212121"/>
          <w:shd w:val="clear" w:color="auto" w:fill="FFFFFF"/>
        </w:rPr>
        <w:t xml:space="preserve">Cryoprecipitate </w:t>
      </w:r>
      <w:r w:rsidR="001A5683" w:rsidRPr="00EB62D1">
        <w:rPr>
          <w:color w:val="212121"/>
          <w:shd w:val="clear" w:color="auto" w:fill="FFFFFF"/>
        </w:rPr>
        <w:t>(</w:t>
      </w:r>
      <w:proofErr w:type="spellStart"/>
      <w:r w:rsidR="001A5683" w:rsidRPr="00EB62D1">
        <w:rPr>
          <w:color w:val="212121"/>
          <w:shd w:val="clear" w:color="auto" w:fill="FFFFFF"/>
        </w:rPr>
        <w:t>Cryo</w:t>
      </w:r>
      <w:proofErr w:type="spellEnd"/>
      <w:r w:rsidR="001A5683" w:rsidRPr="00EB62D1">
        <w:rPr>
          <w:color w:val="212121"/>
          <w:shd w:val="clear" w:color="auto" w:fill="FFFFFF"/>
        </w:rPr>
        <w:t xml:space="preserve">) </w:t>
      </w:r>
      <w:r w:rsidR="00AC4641" w:rsidRPr="00EB62D1">
        <w:rPr>
          <w:color w:val="212121"/>
          <w:shd w:val="clear" w:color="auto" w:fill="FFFFFF"/>
        </w:rPr>
        <w:t>ordered when decision is made to transfuse it</w:t>
      </w:r>
    </w:p>
    <w:p w14:paraId="794659DD" w14:textId="053572C1"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Ensure the availability of coagulation factor</w:t>
      </w:r>
      <w:r w:rsidR="001A5683" w:rsidRPr="00EB62D1">
        <w:rPr>
          <w:color w:val="000000" w:themeColor="text1"/>
        </w:rPr>
        <w:t xml:space="preserve">s - </w:t>
      </w:r>
      <w:proofErr w:type="spellStart"/>
      <w:r w:rsidR="001A5683" w:rsidRPr="00EB62D1">
        <w:rPr>
          <w:color w:val="000000" w:themeColor="text1"/>
        </w:rPr>
        <w:t>Cryo</w:t>
      </w:r>
      <w:proofErr w:type="spellEnd"/>
      <w:r w:rsidR="001A5683" w:rsidRPr="00EB62D1">
        <w:rPr>
          <w:color w:val="000000" w:themeColor="text1"/>
        </w:rPr>
        <w:t xml:space="preserve"> and fresh frozen plasma (FFP),</w:t>
      </w:r>
      <w:r w:rsidRPr="00EB62D1">
        <w:rPr>
          <w:color w:val="000000" w:themeColor="text1"/>
        </w:rPr>
        <w:t xml:space="preserve"> and platelets</w:t>
      </w:r>
      <w:r w:rsidR="001A5683" w:rsidRPr="00EB62D1">
        <w:rPr>
          <w:color w:val="000000" w:themeColor="text1"/>
        </w:rPr>
        <w:t xml:space="preserve"> (</w:t>
      </w:r>
      <w:proofErr w:type="spellStart"/>
      <w:r w:rsidR="001A5683" w:rsidRPr="00EB62D1">
        <w:rPr>
          <w:color w:val="000000" w:themeColor="text1"/>
        </w:rPr>
        <w:t>Plt</w:t>
      </w:r>
      <w:proofErr w:type="spellEnd"/>
      <w:r w:rsidR="001A5683" w:rsidRPr="00EB62D1">
        <w:rPr>
          <w:color w:val="000000" w:themeColor="text1"/>
        </w:rPr>
        <w:t>)</w:t>
      </w:r>
      <w:r w:rsidRPr="00EB62D1">
        <w:rPr>
          <w:color w:val="000000" w:themeColor="text1"/>
        </w:rPr>
        <w:t xml:space="preserve"> prior to incision</w:t>
      </w:r>
    </w:p>
    <w:p w14:paraId="1AF27AAF"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Ensure laboratory tubes in cart in the event chemistry/coagulation profile is warranted</w:t>
      </w:r>
    </w:p>
    <w:p w14:paraId="635947BD" w14:textId="77777777"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Expected Massive Transfusion </w:t>
      </w:r>
    </w:p>
    <w:p w14:paraId="73221864" w14:textId="2F52250C"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Prophylactic</w:t>
      </w:r>
      <w:r w:rsidRPr="00EB62D1">
        <w:rPr>
          <w:color w:val="000000" w:themeColor="text1"/>
          <w:vertAlign w:val="superscript"/>
        </w:rPr>
        <w:t>1</w:t>
      </w:r>
      <w:r w:rsidR="000F43BC" w:rsidRPr="00EB62D1">
        <w:rPr>
          <w:color w:val="000000" w:themeColor="text1"/>
          <w:vertAlign w:val="superscript"/>
        </w:rPr>
        <w:t>8</w:t>
      </w:r>
      <w:r w:rsidR="004A7690" w:rsidRPr="00EB62D1">
        <w:rPr>
          <w:color w:val="000000" w:themeColor="text1"/>
          <w:vertAlign w:val="superscript"/>
        </w:rPr>
        <w:t>,1</w:t>
      </w:r>
      <w:r w:rsidR="000F43BC" w:rsidRPr="00EB62D1">
        <w:rPr>
          <w:color w:val="000000" w:themeColor="text1"/>
          <w:vertAlign w:val="superscript"/>
        </w:rPr>
        <w:t>9</w:t>
      </w:r>
    </w:p>
    <w:p w14:paraId="7E0EA265" w14:textId="6AD55DDD" w:rsidR="001A3283" w:rsidRPr="00EB62D1" w:rsidRDefault="005E4FB9" w:rsidP="001833DE">
      <w:pPr>
        <w:pStyle w:val="ListParagraph"/>
        <w:numPr>
          <w:ilvl w:val="3"/>
          <w:numId w:val="4"/>
        </w:numPr>
        <w:spacing w:line="480" w:lineRule="auto"/>
        <w:rPr>
          <w:color w:val="000000" w:themeColor="text1"/>
        </w:rPr>
      </w:pPr>
      <w:r w:rsidRPr="00EB62D1">
        <w:rPr>
          <w:color w:val="000000" w:themeColor="text1"/>
        </w:rPr>
        <w:t>A</w:t>
      </w:r>
      <w:r w:rsidR="001A3283" w:rsidRPr="00EB62D1">
        <w:rPr>
          <w:color w:val="000000" w:themeColor="text1"/>
        </w:rPr>
        <w:t>ntifibrinolytic therapy</w:t>
      </w:r>
      <w:r w:rsidRPr="00EB62D1">
        <w:rPr>
          <w:color w:val="000000" w:themeColor="text1"/>
        </w:rPr>
        <w:t xml:space="preserve"> (if not contraindicated)</w:t>
      </w:r>
    </w:p>
    <w:p w14:paraId="45937A0F" w14:textId="5528D8A4" w:rsidR="001A3283" w:rsidRPr="00EB62D1" w:rsidRDefault="001A3283" w:rsidP="001833DE">
      <w:pPr>
        <w:pStyle w:val="ListParagraph"/>
        <w:numPr>
          <w:ilvl w:val="4"/>
          <w:numId w:val="4"/>
        </w:numPr>
        <w:spacing w:line="480" w:lineRule="auto"/>
        <w:rPr>
          <w:color w:val="000000" w:themeColor="text1"/>
        </w:rPr>
      </w:pPr>
      <w:proofErr w:type="spellStart"/>
      <w:r w:rsidRPr="00EB62D1">
        <w:rPr>
          <w:color w:val="000000" w:themeColor="text1"/>
        </w:rPr>
        <w:lastRenderedPageBreak/>
        <w:t>Tansexamic</w:t>
      </w:r>
      <w:proofErr w:type="spellEnd"/>
      <w:r w:rsidRPr="00EB62D1">
        <w:rPr>
          <w:color w:val="000000" w:themeColor="text1"/>
        </w:rPr>
        <w:t xml:space="preserve"> acid</w:t>
      </w:r>
      <w:r w:rsidR="00D7708B" w:rsidRPr="00EB62D1">
        <w:rPr>
          <w:color w:val="000000" w:themeColor="text1"/>
        </w:rPr>
        <w:t xml:space="preserve"> (TXA)</w:t>
      </w:r>
      <w:r w:rsidRPr="00EB62D1">
        <w:rPr>
          <w:color w:val="000000" w:themeColor="text1"/>
        </w:rPr>
        <w:t xml:space="preserve">: infusion is initiated at the </w:t>
      </w:r>
      <w:r w:rsidR="001A5683" w:rsidRPr="00EB62D1">
        <w:rPr>
          <w:color w:val="000000" w:themeColor="text1"/>
        </w:rPr>
        <w:t>BEGINNING</w:t>
      </w:r>
      <w:r w:rsidRPr="00EB62D1">
        <w:rPr>
          <w:color w:val="000000" w:themeColor="text1"/>
        </w:rPr>
        <w:t xml:space="preserve"> of surgery as a 10 mg/kg bolus over 10 minutes then 1mg/kg/</w:t>
      </w:r>
      <w:proofErr w:type="spellStart"/>
      <w:r w:rsidRPr="00EB62D1">
        <w:rPr>
          <w:color w:val="000000" w:themeColor="text1"/>
        </w:rPr>
        <w:t>hr</w:t>
      </w:r>
      <w:proofErr w:type="spellEnd"/>
      <w:r w:rsidRPr="00EB62D1">
        <w:rPr>
          <w:color w:val="000000" w:themeColor="text1"/>
        </w:rPr>
        <w:t xml:space="preserve"> infusion throughout the procedure</w:t>
      </w:r>
    </w:p>
    <w:p w14:paraId="45BE7AF3" w14:textId="791640FB" w:rsidR="001A3283" w:rsidRPr="00EB62D1" w:rsidRDefault="005E4FB9" w:rsidP="001833DE">
      <w:pPr>
        <w:pStyle w:val="ListParagraph"/>
        <w:numPr>
          <w:ilvl w:val="3"/>
          <w:numId w:val="4"/>
        </w:numPr>
        <w:spacing w:line="480" w:lineRule="auto"/>
        <w:rPr>
          <w:color w:val="000000" w:themeColor="text1"/>
        </w:rPr>
      </w:pPr>
      <w:r w:rsidRPr="00EB62D1">
        <w:rPr>
          <w:rFonts w:eastAsiaTheme="minorEastAsia"/>
          <w:color w:val="000000" w:themeColor="text1"/>
        </w:rPr>
        <w:t>F</w:t>
      </w:r>
      <w:r w:rsidR="001A3283" w:rsidRPr="00EB62D1">
        <w:rPr>
          <w:rFonts w:eastAsiaTheme="minorEastAsia"/>
          <w:color w:val="000000" w:themeColor="text1"/>
        </w:rPr>
        <w:t>ibrinogen complex, 1 gm/kg at the beginning of the procedure</w:t>
      </w:r>
      <w:r w:rsidRPr="00EB62D1">
        <w:rPr>
          <w:rFonts w:eastAsiaTheme="minorEastAsia"/>
          <w:color w:val="000000" w:themeColor="text1"/>
        </w:rPr>
        <w:t>, if indicated</w:t>
      </w:r>
      <w:r w:rsidR="001A3283" w:rsidRPr="00EB62D1">
        <w:rPr>
          <w:color w:val="000000" w:themeColor="text1"/>
        </w:rPr>
        <w:t xml:space="preserve">. </w:t>
      </w:r>
      <w:r w:rsidR="001A5683" w:rsidRPr="00EB62D1">
        <w:rPr>
          <w:color w:val="000000" w:themeColor="text1"/>
        </w:rPr>
        <w:t>Desmopressin acetate (</w:t>
      </w:r>
      <w:r w:rsidR="001A3283" w:rsidRPr="00EB62D1">
        <w:rPr>
          <w:color w:val="000000" w:themeColor="text1"/>
        </w:rPr>
        <w:t>DDAVP</w:t>
      </w:r>
      <w:r w:rsidR="001A5683" w:rsidRPr="00EB62D1">
        <w:rPr>
          <w:color w:val="000000" w:themeColor="text1"/>
        </w:rPr>
        <w:t>)</w:t>
      </w:r>
      <w:r w:rsidR="001A3283" w:rsidRPr="00EB62D1">
        <w:rPr>
          <w:color w:val="000000" w:themeColor="text1"/>
        </w:rPr>
        <w:t xml:space="preserve"> should be considered in patients with </w:t>
      </w:r>
      <w:r w:rsidR="00045EDF" w:rsidRPr="00EB62D1">
        <w:rPr>
          <w:color w:val="000000" w:themeColor="text1"/>
        </w:rPr>
        <w:t>Von Willebrand factor (V</w:t>
      </w:r>
      <w:r w:rsidR="001A3283" w:rsidRPr="00EB62D1">
        <w:rPr>
          <w:color w:val="000000" w:themeColor="text1"/>
        </w:rPr>
        <w:t>WF</w:t>
      </w:r>
      <w:r w:rsidR="00045EDF" w:rsidRPr="00EB62D1">
        <w:rPr>
          <w:color w:val="000000" w:themeColor="text1"/>
        </w:rPr>
        <w:t>)</w:t>
      </w:r>
      <w:r w:rsidR="001A3283" w:rsidRPr="00EB62D1">
        <w:rPr>
          <w:color w:val="000000" w:themeColor="text1"/>
        </w:rPr>
        <w:t xml:space="preserve"> deficiency or platelet dysfunction</w:t>
      </w:r>
      <w:r w:rsidR="001A3283" w:rsidRPr="00EB62D1">
        <w:rPr>
          <w:rFonts w:eastAsiaTheme="minorEastAsia"/>
          <w:color w:val="000000" w:themeColor="text1"/>
        </w:rPr>
        <w:t xml:space="preserve"> </w:t>
      </w:r>
    </w:p>
    <w:p w14:paraId="377F8C87" w14:textId="416D9F72" w:rsidR="001A3283" w:rsidRPr="00EB62D1" w:rsidRDefault="005E4FB9" w:rsidP="001833DE">
      <w:pPr>
        <w:pStyle w:val="ListParagraph"/>
        <w:numPr>
          <w:ilvl w:val="3"/>
          <w:numId w:val="4"/>
        </w:numPr>
        <w:spacing w:line="480" w:lineRule="auto"/>
        <w:rPr>
          <w:color w:val="000000" w:themeColor="text1"/>
        </w:rPr>
      </w:pPr>
      <w:r w:rsidRPr="00EB62D1">
        <w:rPr>
          <w:rFonts w:eastAsia="Calibri"/>
          <w:color w:val="000000" w:themeColor="text1"/>
        </w:rPr>
        <w:t>Prothrombin Complex Concentrate (</w:t>
      </w:r>
      <w:r w:rsidR="001A3283" w:rsidRPr="00EB62D1">
        <w:rPr>
          <w:rFonts w:eastAsia="Calibri"/>
          <w:color w:val="000000" w:themeColor="text1"/>
        </w:rPr>
        <w:t>PCC</w:t>
      </w:r>
      <w:r w:rsidRPr="00EB62D1">
        <w:rPr>
          <w:rFonts w:eastAsia="Calibri"/>
          <w:color w:val="000000" w:themeColor="text1"/>
        </w:rPr>
        <w:t>), if indicated</w:t>
      </w:r>
    </w:p>
    <w:p w14:paraId="333EDF20" w14:textId="28D1EE39" w:rsidR="001A3283" w:rsidRPr="00EB62D1" w:rsidRDefault="00B605EA" w:rsidP="001833DE">
      <w:pPr>
        <w:pStyle w:val="ListParagraph"/>
        <w:numPr>
          <w:ilvl w:val="3"/>
          <w:numId w:val="4"/>
        </w:numPr>
        <w:spacing w:line="480" w:lineRule="auto"/>
        <w:rPr>
          <w:strike/>
          <w:color w:val="000000" w:themeColor="text1"/>
        </w:rPr>
      </w:pPr>
      <w:r w:rsidRPr="00EB62D1">
        <w:rPr>
          <w:color w:val="000000" w:themeColor="text1"/>
        </w:rPr>
        <w:t xml:space="preserve">Routine cell salvage in all cases with anticipated significant blood loss (more than 500cc), if not contraindicated </w:t>
      </w:r>
    </w:p>
    <w:p w14:paraId="18ACD694" w14:textId="1098D4D1" w:rsidR="00837206" w:rsidRPr="00EB62D1" w:rsidRDefault="00837206" w:rsidP="001833DE">
      <w:pPr>
        <w:pStyle w:val="ListParagraph"/>
        <w:numPr>
          <w:ilvl w:val="3"/>
          <w:numId w:val="4"/>
        </w:numPr>
        <w:spacing w:line="480" w:lineRule="auto"/>
        <w:rPr>
          <w:strike/>
          <w:color w:val="000000" w:themeColor="text1"/>
        </w:rPr>
      </w:pPr>
      <w:r w:rsidRPr="00EB62D1">
        <w:rPr>
          <w:color w:val="212121"/>
          <w:shd w:val="clear" w:color="auto" w:fill="FFFFFF"/>
        </w:rPr>
        <w:t xml:space="preserve">Acute </w:t>
      </w:r>
      <w:proofErr w:type="spellStart"/>
      <w:r w:rsidRPr="00EB62D1">
        <w:rPr>
          <w:color w:val="212121"/>
          <w:shd w:val="clear" w:color="auto" w:fill="FFFFFF"/>
        </w:rPr>
        <w:t>normovolemic</w:t>
      </w:r>
      <w:proofErr w:type="spellEnd"/>
      <w:r w:rsidRPr="00EB62D1">
        <w:rPr>
          <w:color w:val="212121"/>
          <w:shd w:val="clear" w:color="auto" w:fill="FFFFFF"/>
        </w:rPr>
        <w:t xml:space="preserve"> hemodilution for </w:t>
      </w:r>
      <w:r w:rsidR="00045EDF" w:rsidRPr="00EB62D1">
        <w:rPr>
          <w:color w:val="212121"/>
          <w:shd w:val="clear" w:color="auto" w:fill="FFFFFF"/>
        </w:rPr>
        <w:t>Jehovah</w:t>
      </w:r>
      <w:r w:rsidR="001A5683" w:rsidRPr="00EB62D1">
        <w:rPr>
          <w:color w:val="212121"/>
          <w:shd w:val="clear" w:color="auto" w:fill="FFFFFF"/>
        </w:rPr>
        <w:t>’s</w:t>
      </w:r>
      <w:r w:rsidR="00045EDF" w:rsidRPr="00EB62D1">
        <w:rPr>
          <w:color w:val="212121"/>
          <w:shd w:val="clear" w:color="auto" w:fill="FFFFFF"/>
        </w:rPr>
        <w:t xml:space="preserve"> Witness (</w:t>
      </w:r>
      <w:r w:rsidRPr="00EB62D1">
        <w:rPr>
          <w:color w:val="212121"/>
          <w:shd w:val="clear" w:color="auto" w:fill="FFFFFF"/>
        </w:rPr>
        <w:t>JW</w:t>
      </w:r>
      <w:r w:rsidR="00045EDF" w:rsidRPr="00EB62D1">
        <w:rPr>
          <w:color w:val="212121"/>
          <w:shd w:val="clear" w:color="auto" w:fill="FFFFFF"/>
        </w:rPr>
        <w:t>)</w:t>
      </w:r>
      <w:r w:rsidRPr="00EB62D1">
        <w:rPr>
          <w:color w:val="212121"/>
          <w:shd w:val="clear" w:color="auto" w:fill="FFFFFF"/>
        </w:rPr>
        <w:t xml:space="preserve"> patients</w:t>
      </w:r>
    </w:p>
    <w:p w14:paraId="0E029E6D"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Laboratory </w:t>
      </w:r>
    </w:p>
    <w:p w14:paraId="5EB5D8BE" w14:textId="77777777" w:rsidR="00045EDF" w:rsidRPr="00EB62D1" w:rsidRDefault="001A3283" w:rsidP="001833DE">
      <w:pPr>
        <w:pStyle w:val="ListParagraph"/>
        <w:numPr>
          <w:ilvl w:val="3"/>
          <w:numId w:val="4"/>
        </w:numPr>
        <w:spacing w:line="480" w:lineRule="auto"/>
        <w:rPr>
          <w:color w:val="000000" w:themeColor="text1"/>
        </w:rPr>
      </w:pPr>
      <w:r w:rsidRPr="00EB62D1">
        <w:rPr>
          <w:color w:val="000000" w:themeColor="text1"/>
        </w:rPr>
        <w:t>Assess coagulation panel, fibrinogen level</w:t>
      </w:r>
    </w:p>
    <w:p w14:paraId="1584803C" w14:textId="2295FB31" w:rsidR="001A3283" w:rsidRPr="00EB62D1" w:rsidRDefault="001A5683" w:rsidP="001833DE">
      <w:pPr>
        <w:pStyle w:val="ListParagraph"/>
        <w:numPr>
          <w:ilvl w:val="3"/>
          <w:numId w:val="4"/>
        </w:numPr>
        <w:spacing w:line="480" w:lineRule="auto"/>
        <w:rPr>
          <w:color w:val="000000" w:themeColor="text1"/>
        </w:rPr>
      </w:pPr>
      <w:r w:rsidRPr="00EB62D1">
        <w:rPr>
          <w:color w:val="000000" w:themeColor="text1"/>
        </w:rPr>
        <w:t>Arterial blood gas (</w:t>
      </w:r>
      <w:r w:rsidR="001A3283" w:rsidRPr="00EB62D1">
        <w:rPr>
          <w:color w:val="000000" w:themeColor="text1"/>
        </w:rPr>
        <w:t>ABG</w:t>
      </w:r>
      <w:r w:rsidRPr="00EB62D1">
        <w:rPr>
          <w:color w:val="000000" w:themeColor="text1"/>
        </w:rPr>
        <w:t>)</w:t>
      </w:r>
      <w:r w:rsidR="001A3283" w:rsidRPr="00EB62D1">
        <w:rPr>
          <w:color w:val="000000" w:themeColor="text1"/>
        </w:rPr>
        <w:t xml:space="preserve"> on a regular basis</w:t>
      </w:r>
      <w:r w:rsidR="00045EDF" w:rsidRPr="00EB62D1">
        <w:rPr>
          <w:color w:val="000000" w:themeColor="text1"/>
        </w:rPr>
        <w:t xml:space="preserve"> </w:t>
      </w:r>
      <w:r w:rsidRPr="00EB62D1">
        <w:rPr>
          <w:color w:val="000000" w:themeColor="text1"/>
        </w:rPr>
        <w:t xml:space="preserve">- </w:t>
      </w:r>
      <w:r w:rsidR="00045EDF" w:rsidRPr="00EB62D1">
        <w:rPr>
          <w:color w:val="000000" w:themeColor="text1"/>
        </w:rPr>
        <w:t>every hour</w:t>
      </w:r>
      <w:r w:rsidRPr="00EB62D1">
        <w:rPr>
          <w:color w:val="000000" w:themeColor="text1"/>
        </w:rPr>
        <w:t xml:space="preserve">, and </w:t>
      </w:r>
      <w:r w:rsidR="00045EDF" w:rsidRPr="00EB62D1">
        <w:rPr>
          <w:color w:val="000000" w:themeColor="text1"/>
        </w:rPr>
        <w:t>every 30 minutes for acute bleeding</w:t>
      </w:r>
    </w:p>
    <w:p w14:paraId="17383FF6" w14:textId="4E9BC463" w:rsidR="001A3283" w:rsidRPr="00EB62D1" w:rsidRDefault="001A3283" w:rsidP="001833DE">
      <w:pPr>
        <w:pStyle w:val="ListParagraph"/>
        <w:numPr>
          <w:ilvl w:val="2"/>
          <w:numId w:val="4"/>
        </w:numPr>
        <w:spacing w:line="480" w:lineRule="auto"/>
        <w:rPr>
          <w:color w:val="000000" w:themeColor="text1"/>
        </w:rPr>
      </w:pPr>
      <w:r w:rsidRPr="00EB62D1">
        <w:rPr>
          <w:rFonts w:eastAsiaTheme="minorEastAsia"/>
          <w:color w:val="000000" w:themeColor="text1"/>
        </w:rPr>
        <w:t xml:space="preserve">Protocol for massive transfusion </w:t>
      </w:r>
      <w:r w:rsidR="00D7708B" w:rsidRPr="00EB62D1">
        <w:rPr>
          <w:rFonts w:eastAsiaTheme="minorEastAsia"/>
          <w:color w:val="000000" w:themeColor="text1"/>
        </w:rPr>
        <w:t xml:space="preserve">- </w:t>
      </w:r>
      <w:r w:rsidRPr="00EB62D1">
        <w:rPr>
          <w:rFonts w:eastAsiaTheme="minorEastAsia"/>
          <w:color w:val="000000" w:themeColor="text1"/>
        </w:rPr>
        <w:t xml:space="preserve">1U blood loss = 1U </w:t>
      </w:r>
      <w:r w:rsidR="00D7708B" w:rsidRPr="00EB62D1">
        <w:rPr>
          <w:color w:val="000000" w:themeColor="text1"/>
        </w:rPr>
        <w:t>packed red blood cells (PRBC)</w:t>
      </w:r>
      <w:r w:rsidRPr="00EB62D1">
        <w:rPr>
          <w:rFonts w:eastAsiaTheme="minorEastAsia"/>
          <w:color w:val="000000" w:themeColor="text1"/>
        </w:rPr>
        <w:t>transfused</w:t>
      </w:r>
      <w:r w:rsidR="00D7708B" w:rsidRPr="00EB62D1">
        <w:rPr>
          <w:rFonts w:eastAsiaTheme="minorEastAsia"/>
          <w:color w:val="000000" w:themeColor="text1"/>
        </w:rPr>
        <w:t xml:space="preserve"> -</w:t>
      </w:r>
      <w:r w:rsidRPr="00EB62D1">
        <w:rPr>
          <w:rFonts w:eastAsiaTheme="minorEastAsia"/>
          <w:color w:val="000000" w:themeColor="text1"/>
        </w:rPr>
        <w:t xml:space="preserve"> initiate if expected blood loss will be more than 1500 ml whole blood</w:t>
      </w:r>
      <w:r w:rsidRPr="00EB62D1">
        <w:rPr>
          <w:color w:val="000000" w:themeColor="text1"/>
        </w:rPr>
        <w:t xml:space="preserve"> (</w:t>
      </w:r>
      <w:r w:rsidR="00A67482" w:rsidRPr="00EB62D1">
        <w:rPr>
          <w:color w:val="000000" w:themeColor="text1"/>
        </w:rPr>
        <w:t xml:space="preserve">Supplemental Digital Content. </w:t>
      </w:r>
      <w:r w:rsidRPr="00EB62D1">
        <w:rPr>
          <w:color w:val="000000" w:themeColor="text1"/>
        </w:rPr>
        <w:t>Appendix B</w:t>
      </w:r>
      <w:r w:rsidRPr="00EB62D1">
        <w:rPr>
          <w:rFonts w:eastAsiaTheme="minorEastAsia"/>
          <w:color w:val="000000" w:themeColor="text1"/>
        </w:rPr>
        <w:t>)</w:t>
      </w:r>
      <w:r w:rsidRPr="00EB62D1">
        <w:rPr>
          <w:color w:val="000000" w:themeColor="text1"/>
        </w:rPr>
        <w:t xml:space="preserve"> </w:t>
      </w:r>
    </w:p>
    <w:p w14:paraId="63FA82C0" w14:textId="78900259"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t xml:space="preserve">6U PRBC/2U FFP/2U </w:t>
      </w:r>
      <w:proofErr w:type="spellStart"/>
      <w:r w:rsidRPr="00EB62D1">
        <w:rPr>
          <w:color w:val="000000" w:themeColor="text1"/>
        </w:rPr>
        <w:t>Cryo</w:t>
      </w:r>
      <w:proofErr w:type="spellEnd"/>
      <w:r w:rsidRPr="00EB62D1">
        <w:rPr>
          <w:color w:val="000000" w:themeColor="text1"/>
        </w:rPr>
        <w:t xml:space="preserve">/1U </w:t>
      </w:r>
      <w:proofErr w:type="spellStart"/>
      <w:r w:rsidR="00045EDF" w:rsidRPr="00EB62D1">
        <w:rPr>
          <w:color w:val="000000" w:themeColor="text1"/>
        </w:rPr>
        <w:t>Plt</w:t>
      </w:r>
      <w:proofErr w:type="spellEnd"/>
      <w:r w:rsidRPr="00EB62D1">
        <w:rPr>
          <w:color w:val="000000" w:themeColor="text1"/>
        </w:rPr>
        <w:t xml:space="preserve"> (6:2:2:1) as previously discussed with surgeons</w:t>
      </w:r>
    </w:p>
    <w:p w14:paraId="1C76FD68" w14:textId="0996C7DA" w:rsidR="001A3283" w:rsidRPr="00EB62D1" w:rsidRDefault="001A3283" w:rsidP="001833DE">
      <w:pPr>
        <w:pStyle w:val="ListParagraph"/>
        <w:numPr>
          <w:ilvl w:val="3"/>
          <w:numId w:val="4"/>
        </w:numPr>
        <w:spacing w:line="480" w:lineRule="auto"/>
        <w:rPr>
          <w:color w:val="000000" w:themeColor="text1"/>
        </w:rPr>
      </w:pPr>
      <w:r w:rsidRPr="00EB62D1">
        <w:rPr>
          <w:color w:val="000000" w:themeColor="text1"/>
        </w:rPr>
        <w:lastRenderedPageBreak/>
        <w:t>IF the patient has a history of left ventricular dysfunction or heart failure, THEN infuse more cryoprecipitate and less FFP to lessen volume load</w:t>
      </w:r>
      <w:r w:rsidRPr="00EB62D1">
        <w:rPr>
          <w:color w:val="000000" w:themeColor="text1"/>
          <w:vertAlign w:val="superscript"/>
        </w:rPr>
        <w:t>1</w:t>
      </w:r>
    </w:p>
    <w:p w14:paraId="1BE449B6" w14:textId="77777777"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Wake-up Test</w:t>
      </w:r>
    </w:p>
    <w:p w14:paraId="1FEC972C" w14:textId="0910FB25" w:rsidR="001A3283" w:rsidRPr="00EB62D1" w:rsidRDefault="00B605EA" w:rsidP="001833DE">
      <w:pPr>
        <w:pStyle w:val="ListParagraph"/>
        <w:numPr>
          <w:ilvl w:val="1"/>
          <w:numId w:val="4"/>
        </w:numPr>
        <w:spacing w:line="480" w:lineRule="auto"/>
        <w:rPr>
          <w:color w:val="000000" w:themeColor="text1"/>
        </w:rPr>
      </w:pPr>
      <w:r w:rsidRPr="00EB62D1">
        <w:rPr>
          <w:color w:val="000000" w:themeColor="text1"/>
        </w:rPr>
        <w:t>On rare occasions a</w:t>
      </w:r>
      <w:r w:rsidR="001A3283" w:rsidRPr="00EB62D1">
        <w:rPr>
          <w:color w:val="000000" w:themeColor="text1"/>
        </w:rPr>
        <w:t xml:space="preserve"> wake-up test is </w:t>
      </w:r>
      <w:r w:rsidR="009A64E7" w:rsidRPr="00EB62D1">
        <w:rPr>
          <w:color w:val="000000" w:themeColor="text1"/>
        </w:rPr>
        <w:t xml:space="preserve">used when </w:t>
      </w:r>
      <w:r w:rsidR="001A3283" w:rsidRPr="00EB62D1">
        <w:rPr>
          <w:color w:val="000000" w:themeColor="text1"/>
        </w:rPr>
        <w:t>neurophysiological monitoring raises a concern while obtaining baselines, during positioning, or following critical portions of the surgery</w:t>
      </w:r>
    </w:p>
    <w:p w14:paraId="52703479"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IF the decision to perform a wake-up test prior to the start of the surgery, THEN the patient must be informed during the preoperative evaluation</w:t>
      </w:r>
    </w:p>
    <w:p w14:paraId="3599D65B"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IF the surgeon anticipates an intraoperative wake-up, THEN the surgeon gives adequate warning so that the anesthetic can be discontinued in a timely manner</w:t>
      </w:r>
    </w:p>
    <w:p w14:paraId="69C13713"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Short acting opioids or a less soluble inhalation agent are preferred if a wake-up test is anticipated</w:t>
      </w:r>
    </w:p>
    <w:p w14:paraId="346AC1D3" w14:textId="77777777"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The wake-up test</w:t>
      </w:r>
    </w:p>
    <w:p w14:paraId="085517C1" w14:textId="77777777"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The anesthetic is discontinued, and the patient awakens</w:t>
      </w:r>
    </w:p>
    <w:p w14:paraId="437D06BA" w14:textId="7F9DAC4D"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The surgeon performs neurological examination (assessment of corticospinal track injury and if assessed timely the injury may be reversible)</w:t>
      </w:r>
    </w:p>
    <w:p w14:paraId="2E77EF94" w14:textId="63C90025" w:rsidR="001A3283" w:rsidRPr="00EB62D1" w:rsidRDefault="001A3283" w:rsidP="001833DE">
      <w:pPr>
        <w:pStyle w:val="ListParagraph"/>
        <w:numPr>
          <w:ilvl w:val="2"/>
          <w:numId w:val="4"/>
        </w:numPr>
        <w:spacing w:line="480" w:lineRule="auto"/>
        <w:rPr>
          <w:color w:val="000000" w:themeColor="text1"/>
        </w:rPr>
      </w:pPr>
      <w:r w:rsidRPr="00EB62D1">
        <w:rPr>
          <w:color w:val="000000" w:themeColor="text1"/>
        </w:rPr>
        <w:t xml:space="preserve">IF the incision was not made, a wake test is required, and the decision is made to proceed, THEN </w:t>
      </w:r>
      <w:r w:rsidR="00D7708B" w:rsidRPr="00EB62D1">
        <w:rPr>
          <w:color w:val="000000" w:themeColor="text1"/>
        </w:rPr>
        <w:t>t</w:t>
      </w:r>
      <w:r w:rsidRPr="00EB62D1">
        <w:rPr>
          <w:color w:val="000000" w:themeColor="text1"/>
        </w:rPr>
        <w:t>he patient is reassured and re-anesthetized</w:t>
      </w:r>
    </w:p>
    <w:p w14:paraId="4A2ECAB8" w14:textId="77777777" w:rsidR="001833DE" w:rsidRPr="00EB62D1" w:rsidRDefault="001833DE" w:rsidP="001833DE">
      <w:pPr>
        <w:pStyle w:val="ListParagraph"/>
        <w:spacing w:line="480" w:lineRule="auto"/>
        <w:ind w:left="2160"/>
        <w:rPr>
          <w:color w:val="000000" w:themeColor="text1"/>
        </w:rPr>
      </w:pPr>
    </w:p>
    <w:p w14:paraId="0023D967" w14:textId="3CFB066E" w:rsidR="001A3283" w:rsidRPr="00EB62D1" w:rsidRDefault="001A3283" w:rsidP="001833DE">
      <w:pPr>
        <w:pStyle w:val="ListParagraph"/>
        <w:numPr>
          <w:ilvl w:val="0"/>
          <w:numId w:val="4"/>
        </w:numPr>
        <w:spacing w:line="480" w:lineRule="auto"/>
        <w:rPr>
          <w:b/>
          <w:color w:val="000000" w:themeColor="text1"/>
        </w:rPr>
      </w:pPr>
      <w:r w:rsidRPr="00EB62D1">
        <w:rPr>
          <w:b/>
          <w:color w:val="000000" w:themeColor="text1"/>
        </w:rPr>
        <w:t>Transfer to the Intensive Care Unit</w:t>
      </w:r>
      <w:r w:rsidR="00045EDF" w:rsidRPr="00EB62D1">
        <w:rPr>
          <w:b/>
          <w:color w:val="000000" w:themeColor="text1"/>
        </w:rPr>
        <w:t xml:space="preserve"> (ICU)</w:t>
      </w:r>
    </w:p>
    <w:p w14:paraId="7A57EEC0" w14:textId="29236F13"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lastRenderedPageBreak/>
        <w:t xml:space="preserve">At the completion of surgery, the patient is transferred to the </w:t>
      </w:r>
      <w:r w:rsidR="00045EDF" w:rsidRPr="00EB62D1">
        <w:rPr>
          <w:color w:val="000000" w:themeColor="text1"/>
        </w:rPr>
        <w:t>ICU</w:t>
      </w:r>
      <w:r w:rsidRPr="00EB62D1">
        <w:rPr>
          <w:color w:val="000000" w:themeColor="text1"/>
        </w:rPr>
        <w:t xml:space="preserve"> with Standard ASA monitors and invasive arterial line monitoring</w:t>
      </w:r>
    </w:p>
    <w:p w14:paraId="1A6F2DA5" w14:textId="5CEBA10A"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 xml:space="preserve">The patient handoff report is given from the anesthesiologist to the ICU attending or fellow (if attending is not available), and to the </w:t>
      </w:r>
      <w:r w:rsidR="00045EDF" w:rsidRPr="00EB62D1">
        <w:rPr>
          <w:color w:val="000000" w:themeColor="text1"/>
        </w:rPr>
        <w:t>registered nurse (</w:t>
      </w:r>
      <w:r w:rsidRPr="00EB62D1">
        <w:rPr>
          <w:color w:val="000000" w:themeColor="text1"/>
        </w:rPr>
        <w:t>RN</w:t>
      </w:r>
      <w:r w:rsidR="00045EDF" w:rsidRPr="00EB62D1">
        <w:rPr>
          <w:color w:val="000000" w:themeColor="text1"/>
        </w:rPr>
        <w:t>)</w:t>
      </w:r>
    </w:p>
    <w:p w14:paraId="3636D867" w14:textId="4117D9DE" w:rsidR="001A3283" w:rsidRPr="00EB62D1" w:rsidRDefault="001A3283" w:rsidP="001833DE">
      <w:pPr>
        <w:pStyle w:val="ListParagraph"/>
        <w:numPr>
          <w:ilvl w:val="1"/>
          <w:numId w:val="4"/>
        </w:numPr>
        <w:spacing w:line="480" w:lineRule="auto"/>
        <w:rPr>
          <w:color w:val="000000" w:themeColor="text1"/>
        </w:rPr>
      </w:pPr>
      <w:r w:rsidRPr="00EB62D1">
        <w:rPr>
          <w:color w:val="000000" w:themeColor="text1"/>
        </w:rPr>
        <w:t>Hgb goal: Hgb&gt;10</w:t>
      </w:r>
      <w:r w:rsidR="00045EDF" w:rsidRPr="00EB62D1">
        <w:rPr>
          <w:color w:val="000000" w:themeColor="text1"/>
        </w:rPr>
        <w:t xml:space="preserve"> mg/dL</w:t>
      </w:r>
    </w:p>
    <w:p w14:paraId="55FEE46E" w14:textId="77777777" w:rsidR="001A3283" w:rsidRPr="00EB62D1" w:rsidRDefault="001A3283" w:rsidP="001833DE">
      <w:pPr>
        <w:spacing w:line="480" w:lineRule="auto"/>
        <w:rPr>
          <w:b/>
          <w:bCs/>
          <w:color w:val="000000" w:themeColor="text1"/>
        </w:rPr>
      </w:pPr>
      <w:r w:rsidRPr="00EB62D1">
        <w:rPr>
          <w:b/>
          <w:bCs/>
          <w:color w:val="000000" w:themeColor="text1"/>
        </w:rPr>
        <w:t>POSTOPERATIVE MANAGEMENT</w:t>
      </w:r>
    </w:p>
    <w:p w14:paraId="2E8E217C" w14:textId="77E26457" w:rsidR="001A3283" w:rsidRPr="00EB62D1" w:rsidRDefault="001A3283" w:rsidP="001833DE">
      <w:pPr>
        <w:spacing w:line="480" w:lineRule="auto"/>
        <w:rPr>
          <w:color w:val="000000" w:themeColor="text1"/>
        </w:rPr>
      </w:pPr>
      <w:r w:rsidRPr="00EB62D1">
        <w:rPr>
          <w:color w:val="000000" w:themeColor="text1"/>
        </w:rPr>
        <w:tab/>
      </w:r>
      <w:r w:rsidR="00032962" w:rsidRPr="00EB62D1">
        <w:rPr>
          <w:color w:val="000000" w:themeColor="text1"/>
        </w:rPr>
        <w:t>None</w:t>
      </w:r>
      <w:r w:rsidRPr="00EB62D1">
        <w:rPr>
          <w:color w:val="000000" w:themeColor="text1"/>
        </w:rPr>
        <w:t xml:space="preserve"> </w:t>
      </w:r>
    </w:p>
    <w:p w14:paraId="1DA75D81" w14:textId="77777777" w:rsidR="001A3283" w:rsidRPr="00EB62D1" w:rsidRDefault="001A3283" w:rsidP="001833DE">
      <w:pPr>
        <w:spacing w:line="480" w:lineRule="auto"/>
        <w:rPr>
          <w:color w:val="000000" w:themeColor="text1"/>
        </w:rPr>
      </w:pPr>
      <w:r w:rsidRPr="00EB62D1">
        <w:rPr>
          <w:color w:val="000000" w:themeColor="text1"/>
        </w:rPr>
        <w:br w:type="page"/>
      </w:r>
    </w:p>
    <w:p w14:paraId="38BACDF8" w14:textId="77777777" w:rsidR="001A3283" w:rsidRPr="00EB62D1" w:rsidRDefault="001A3283" w:rsidP="001833DE">
      <w:pPr>
        <w:spacing w:line="480" w:lineRule="auto"/>
        <w:rPr>
          <w:b/>
        </w:rPr>
      </w:pPr>
      <w:r w:rsidRPr="00EB62D1">
        <w:rPr>
          <w:b/>
        </w:rPr>
        <w:lastRenderedPageBreak/>
        <w:t>References</w:t>
      </w:r>
    </w:p>
    <w:p w14:paraId="717C6E18" w14:textId="0650D84F" w:rsidR="001A3283" w:rsidRPr="00EB62D1" w:rsidRDefault="001A3283" w:rsidP="001833DE">
      <w:pPr>
        <w:pStyle w:val="ListParagraph"/>
        <w:numPr>
          <w:ilvl w:val="0"/>
          <w:numId w:val="5"/>
        </w:numPr>
        <w:spacing w:line="480" w:lineRule="auto"/>
        <w:contextualSpacing w:val="0"/>
        <w:rPr>
          <w:sz w:val="22"/>
          <w:szCs w:val="22"/>
        </w:rPr>
      </w:pPr>
      <w:r w:rsidRPr="00EB62D1">
        <w:rPr>
          <w:bCs/>
          <w:iCs/>
          <w:noProof/>
          <w:sz w:val="22"/>
          <w:szCs w:val="22"/>
        </w:rPr>
        <w:t>Halpin RJ, Sugrue PA, Gould RW, Kallas PG, Schafer MF, Ondra SL, Koski TR</w:t>
      </w:r>
      <w:r w:rsidRPr="00EB62D1">
        <w:rPr>
          <w:iCs/>
          <w:noProof/>
          <w:sz w:val="22"/>
          <w:szCs w:val="22"/>
        </w:rPr>
        <w:t xml:space="preserve">: Standardizing Care for High Risk Patients in Spine Surgery: The Northwestern Highrisk Spine Protocol. </w:t>
      </w:r>
      <w:r w:rsidRPr="00EB62D1">
        <w:rPr>
          <w:i/>
          <w:iCs/>
          <w:noProof/>
          <w:sz w:val="22"/>
          <w:szCs w:val="22"/>
        </w:rPr>
        <w:t>Spine</w:t>
      </w:r>
      <w:r w:rsidRPr="00EB62D1">
        <w:rPr>
          <w:iCs/>
          <w:noProof/>
          <w:sz w:val="22"/>
          <w:szCs w:val="22"/>
        </w:rPr>
        <w:t xml:space="preserve"> 2010; 35(25):2232223.</w:t>
      </w:r>
      <w:r w:rsidR="00A67482" w:rsidRPr="00EB62D1">
        <w:rPr>
          <w:iCs/>
          <w:noProof/>
          <w:sz w:val="22"/>
          <w:szCs w:val="22"/>
        </w:rPr>
        <w:t xml:space="preserve"> PMID: 21102298.</w:t>
      </w:r>
    </w:p>
    <w:p w14:paraId="2353B37A" w14:textId="5D50A625" w:rsidR="008506CD" w:rsidRPr="00EB62D1" w:rsidRDefault="000F43BC" w:rsidP="008506CD">
      <w:pPr>
        <w:pStyle w:val="ListParagraph"/>
        <w:numPr>
          <w:ilvl w:val="0"/>
          <w:numId w:val="5"/>
        </w:numPr>
        <w:spacing w:line="480" w:lineRule="auto"/>
        <w:contextualSpacing w:val="0"/>
        <w:rPr>
          <w:sz w:val="22"/>
          <w:szCs w:val="22"/>
        </w:rPr>
      </w:pPr>
      <w:r w:rsidRPr="00EB62D1">
        <w:rPr>
          <w:iCs/>
          <w:noProof/>
          <w:sz w:val="22"/>
          <w:szCs w:val="22"/>
        </w:rPr>
        <w:t xml:space="preserve">Coluzz F, Bifulco F, Cuomo A, Dauri M, Leonardi C, Melotti RM, Natoli S, Rumualdi P, Savoia G, Corcione A: The challenge of perioperative pain management in opioid-tolerant patients. </w:t>
      </w:r>
      <w:r w:rsidRPr="00EB62D1">
        <w:rPr>
          <w:i/>
          <w:iCs/>
          <w:noProof/>
          <w:sz w:val="22"/>
          <w:szCs w:val="22"/>
        </w:rPr>
        <w:t>The Clin Rrisk Manag</w:t>
      </w:r>
      <w:r w:rsidRPr="00EB62D1">
        <w:rPr>
          <w:iCs/>
          <w:noProof/>
          <w:sz w:val="22"/>
          <w:szCs w:val="22"/>
        </w:rPr>
        <w:t xml:space="preserve"> 2017; 5(13):1163-1173</w:t>
      </w:r>
      <w:r w:rsidR="00BB7626" w:rsidRPr="00EB62D1">
        <w:rPr>
          <w:iCs/>
          <w:noProof/>
          <w:sz w:val="22"/>
          <w:szCs w:val="22"/>
        </w:rPr>
        <w:t>.</w:t>
      </w:r>
      <w:r w:rsidR="008506CD" w:rsidRPr="00EB62D1">
        <w:rPr>
          <w:iCs/>
          <w:noProof/>
          <w:sz w:val="22"/>
          <w:szCs w:val="22"/>
        </w:rPr>
        <w:t xml:space="preserve"> PMID: 28919771.</w:t>
      </w:r>
    </w:p>
    <w:p w14:paraId="121EFD79" w14:textId="11F262A0" w:rsidR="000F43BC" w:rsidRPr="00EB62D1" w:rsidRDefault="000F43BC" w:rsidP="008506CD">
      <w:pPr>
        <w:pStyle w:val="ListParagraph"/>
        <w:numPr>
          <w:ilvl w:val="0"/>
          <w:numId w:val="5"/>
        </w:numPr>
        <w:spacing w:line="480" w:lineRule="auto"/>
        <w:contextualSpacing w:val="0"/>
        <w:rPr>
          <w:sz w:val="22"/>
          <w:szCs w:val="22"/>
        </w:rPr>
      </w:pPr>
      <w:r w:rsidRPr="00EB62D1">
        <w:rPr>
          <w:iCs/>
          <w:noProof/>
          <w:sz w:val="22"/>
          <w:szCs w:val="22"/>
        </w:rPr>
        <w:t xml:space="preserve">Caroll IR, Angsi MS, Clark JD: Management of Perioperative pain in patients chronically consuming opioids: </w:t>
      </w:r>
      <w:r w:rsidRPr="00EB62D1">
        <w:rPr>
          <w:i/>
          <w:iCs/>
          <w:noProof/>
          <w:sz w:val="22"/>
          <w:szCs w:val="22"/>
        </w:rPr>
        <w:t>Regional Anes and Pain Manag;</w:t>
      </w:r>
      <w:r w:rsidRPr="00EB62D1">
        <w:rPr>
          <w:iCs/>
          <w:noProof/>
          <w:sz w:val="22"/>
          <w:szCs w:val="22"/>
        </w:rPr>
        <w:t>2004: 29(6):576-591</w:t>
      </w:r>
      <w:r w:rsidR="00BB7626" w:rsidRPr="00EB62D1">
        <w:rPr>
          <w:iCs/>
          <w:noProof/>
          <w:sz w:val="22"/>
          <w:szCs w:val="22"/>
        </w:rPr>
        <w:t>.</w:t>
      </w:r>
      <w:r w:rsidR="008506CD" w:rsidRPr="00EB62D1">
        <w:rPr>
          <w:iCs/>
          <w:noProof/>
          <w:sz w:val="22"/>
          <w:szCs w:val="22"/>
        </w:rPr>
        <w:t xml:space="preserve"> PMID: 15635517.  </w:t>
      </w:r>
    </w:p>
    <w:p w14:paraId="4D98881A"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Osterweil N</w:t>
      </w:r>
      <w:r w:rsidRPr="00EB62D1">
        <w:rPr>
          <w:iCs/>
          <w:noProof/>
          <w:sz w:val="22"/>
          <w:szCs w:val="22"/>
        </w:rPr>
        <w:t xml:space="preserve">: Hold the ACE inhibitors during surgery? </w:t>
      </w:r>
      <w:r w:rsidRPr="00EB62D1">
        <w:rPr>
          <w:i/>
          <w:iCs/>
          <w:noProof/>
          <w:sz w:val="22"/>
          <w:szCs w:val="22"/>
        </w:rPr>
        <w:t>ACS Surgery News Digital network</w:t>
      </w:r>
      <w:r w:rsidRPr="00EB62D1">
        <w:rPr>
          <w:iCs/>
          <w:noProof/>
          <w:sz w:val="22"/>
          <w:szCs w:val="22"/>
        </w:rPr>
        <w:t xml:space="preserve"> 2014; https://www.mdedge.com/acssurgerynews/article/81425/cardiothoracic/hold-ace-inhibitors-during-surgery</w:t>
      </w:r>
    </w:p>
    <w:p w14:paraId="47297450" w14:textId="158D6318" w:rsidR="004A7690" w:rsidRPr="00EB62D1" w:rsidRDefault="001A3283" w:rsidP="009937FB">
      <w:pPr>
        <w:pStyle w:val="Bibliography"/>
        <w:numPr>
          <w:ilvl w:val="0"/>
          <w:numId w:val="5"/>
        </w:numPr>
        <w:spacing w:line="480" w:lineRule="auto"/>
        <w:rPr>
          <w:iCs/>
          <w:noProof/>
          <w:sz w:val="22"/>
          <w:szCs w:val="22"/>
        </w:rPr>
      </w:pPr>
      <w:r w:rsidRPr="00EB62D1">
        <w:rPr>
          <w:bCs/>
          <w:iCs/>
          <w:noProof/>
          <w:sz w:val="22"/>
          <w:szCs w:val="22"/>
        </w:rPr>
        <w:t>Douketis JD, Spyropoulos AC, Spencer FA, Mayr M, Jaffer AK, Eckman MH, Dunn AS, Kunz R:</w:t>
      </w:r>
      <w:r w:rsidRPr="00EB62D1">
        <w:rPr>
          <w:iCs/>
          <w:noProof/>
          <w:sz w:val="22"/>
          <w:szCs w:val="22"/>
        </w:rPr>
        <w:t xml:space="preserve"> Perioperative management of antithrombotic therapy: Antithrombotic Therapy and Prevention of Thrombosis, 9th ed: American College of Chest Physicians Evidence-Based Clinical Practice Guidelines. </w:t>
      </w:r>
      <w:r w:rsidRPr="00EB62D1">
        <w:rPr>
          <w:i/>
          <w:iCs/>
          <w:noProof/>
          <w:sz w:val="22"/>
          <w:szCs w:val="22"/>
        </w:rPr>
        <w:t>Chest</w:t>
      </w:r>
      <w:r w:rsidRPr="00EB62D1">
        <w:rPr>
          <w:iCs/>
          <w:noProof/>
          <w:sz w:val="22"/>
          <w:szCs w:val="22"/>
        </w:rPr>
        <w:t xml:space="preserve"> 2012; 141(4):1129. PMID: 22315266.</w:t>
      </w:r>
    </w:p>
    <w:p w14:paraId="713FFDB8" w14:textId="77777777" w:rsidR="004A7690" w:rsidRPr="00EB62D1" w:rsidRDefault="004A7690" w:rsidP="004A7690">
      <w:pPr>
        <w:pStyle w:val="Bibliography"/>
        <w:numPr>
          <w:ilvl w:val="0"/>
          <w:numId w:val="5"/>
        </w:numPr>
        <w:spacing w:line="480" w:lineRule="auto"/>
        <w:rPr>
          <w:iCs/>
          <w:noProof/>
          <w:sz w:val="22"/>
          <w:szCs w:val="22"/>
        </w:rPr>
      </w:pPr>
      <w:proofErr w:type="spellStart"/>
      <w:r w:rsidRPr="00EB62D1">
        <w:rPr>
          <w:color w:val="000000" w:themeColor="text1"/>
          <w:sz w:val="22"/>
          <w:szCs w:val="22"/>
        </w:rPr>
        <w:t>Treede</w:t>
      </w:r>
      <w:proofErr w:type="spellEnd"/>
      <w:r w:rsidRPr="00EB62D1">
        <w:rPr>
          <w:color w:val="000000" w:themeColor="text1"/>
          <w:sz w:val="22"/>
          <w:szCs w:val="22"/>
        </w:rPr>
        <w:t xml:space="preserve"> R-D, </w:t>
      </w:r>
      <w:proofErr w:type="spellStart"/>
      <w:r w:rsidRPr="00EB62D1">
        <w:rPr>
          <w:color w:val="000000" w:themeColor="text1"/>
          <w:sz w:val="22"/>
          <w:szCs w:val="22"/>
        </w:rPr>
        <w:t>Rief</w:t>
      </w:r>
      <w:proofErr w:type="spellEnd"/>
      <w:r w:rsidRPr="00EB62D1">
        <w:rPr>
          <w:color w:val="000000" w:themeColor="text1"/>
          <w:sz w:val="22"/>
          <w:szCs w:val="22"/>
        </w:rPr>
        <w:t xml:space="preserve"> W, </w:t>
      </w:r>
      <w:proofErr w:type="spellStart"/>
      <w:r w:rsidRPr="00EB62D1">
        <w:rPr>
          <w:color w:val="000000" w:themeColor="text1"/>
          <w:sz w:val="22"/>
          <w:szCs w:val="22"/>
        </w:rPr>
        <w:t>Barke</w:t>
      </w:r>
      <w:proofErr w:type="spellEnd"/>
      <w:r w:rsidRPr="00EB62D1">
        <w:rPr>
          <w:color w:val="000000" w:themeColor="text1"/>
          <w:sz w:val="22"/>
          <w:szCs w:val="22"/>
        </w:rPr>
        <w:t xml:space="preserve"> A, Aziz O, Bennet MI, </w:t>
      </w:r>
      <w:proofErr w:type="spellStart"/>
      <w:r w:rsidRPr="00EB62D1">
        <w:rPr>
          <w:color w:val="000000" w:themeColor="text1"/>
          <w:sz w:val="22"/>
          <w:szCs w:val="22"/>
        </w:rPr>
        <w:t>Benoliel</w:t>
      </w:r>
      <w:proofErr w:type="spellEnd"/>
      <w:r w:rsidRPr="00EB62D1">
        <w:rPr>
          <w:color w:val="000000" w:themeColor="text1"/>
          <w:sz w:val="22"/>
          <w:szCs w:val="22"/>
        </w:rPr>
        <w:t xml:space="preserve"> R, Cohen M, Evers S, </w:t>
      </w:r>
      <w:proofErr w:type="spellStart"/>
      <w:r w:rsidRPr="00EB62D1">
        <w:rPr>
          <w:color w:val="000000" w:themeColor="text1"/>
          <w:sz w:val="22"/>
          <w:szCs w:val="22"/>
        </w:rPr>
        <w:t>Finnerup</w:t>
      </w:r>
      <w:proofErr w:type="spellEnd"/>
      <w:r w:rsidRPr="00EB62D1">
        <w:rPr>
          <w:color w:val="000000" w:themeColor="text1"/>
          <w:sz w:val="22"/>
          <w:szCs w:val="22"/>
        </w:rPr>
        <w:t xml:space="preserve"> NB, First MB, </w:t>
      </w:r>
      <w:proofErr w:type="spellStart"/>
      <w:r w:rsidRPr="00EB62D1">
        <w:rPr>
          <w:color w:val="000000" w:themeColor="text1"/>
          <w:sz w:val="22"/>
          <w:szCs w:val="22"/>
        </w:rPr>
        <w:t>Giamberardino</w:t>
      </w:r>
      <w:proofErr w:type="spellEnd"/>
      <w:r w:rsidRPr="00EB62D1">
        <w:rPr>
          <w:color w:val="000000" w:themeColor="text1"/>
          <w:sz w:val="22"/>
          <w:szCs w:val="22"/>
        </w:rPr>
        <w:t xml:space="preserve"> MA, </w:t>
      </w:r>
      <w:proofErr w:type="spellStart"/>
      <w:r w:rsidRPr="00EB62D1">
        <w:rPr>
          <w:color w:val="000000" w:themeColor="text1"/>
          <w:sz w:val="22"/>
          <w:szCs w:val="22"/>
        </w:rPr>
        <w:t>Kaasa</w:t>
      </w:r>
      <w:proofErr w:type="spellEnd"/>
      <w:r w:rsidRPr="00EB62D1">
        <w:rPr>
          <w:color w:val="000000" w:themeColor="text1"/>
          <w:sz w:val="22"/>
          <w:szCs w:val="22"/>
        </w:rPr>
        <w:t xml:space="preserve"> S, </w:t>
      </w:r>
      <w:proofErr w:type="spellStart"/>
      <w:r w:rsidRPr="00EB62D1">
        <w:rPr>
          <w:color w:val="000000" w:themeColor="text1"/>
          <w:sz w:val="22"/>
          <w:szCs w:val="22"/>
        </w:rPr>
        <w:t>Kosek</w:t>
      </w:r>
      <w:proofErr w:type="spellEnd"/>
      <w:r w:rsidRPr="00EB62D1">
        <w:rPr>
          <w:color w:val="000000" w:themeColor="text1"/>
          <w:sz w:val="22"/>
          <w:szCs w:val="22"/>
        </w:rPr>
        <w:t xml:space="preserve"> E, </w:t>
      </w:r>
      <w:proofErr w:type="spellStart"/>
      <w:r w:rsidRPr="00EB62D1">
        <w:rPr>
          <w:color w:val="000000" w:themeColor="text1"/>
          <w:sz w:val="22"/>
          <w:szCs w:val="22"/>
        </w:rPr>
        <w:t>Lavand’homme</w:t>
      </w:r>
      <w:proofErr w:type="spellEnd"/>
      <w:r w:rsidRPr="00EB62D1">
        <w:rPr>
          <w:color w:val="000000" w:themeColor="text1"/>
          <w:sz w:val="22"/>
          <w:szCs w:val="22"/>
        </w:rPr>
        <w:t xml:space="preserve"> P, </w:t>
      </w:r>
      <w:proofErr w:type="spellStart"/>
      <w:r w:rsidRPr="00EB62D1">
        <w:rPr>
          <w:color w:val="000000" w:themeColor="text1"/>
          <w:sz w:val="22"/>
          <w:szCs w:val="22"/>
        </w:rPr>
        <w:t>Nocholas</w:t>
      </w:r>
      <w:proofErr w:type="spellEnd"/>
      <w:r w:rsidRPr="00EB62D1">
        <w:rPr>
          <w:color w:val="000000" w:themeColor="text1"/>
          <w:sz w:val="22"/>
          <w:szCs w:val="22"/>
        </w:rPr>
        <w:t xml:space="preserve"> M, Perrot S, Scholz J, </w:t>
      </w:r>
      <w:proofErr w:type="spellStart"/>
      <w:r w:rsidRPr="00EB62D1">
        <w:rPr>
          <w:color w:val="000000" w:themeColor="text1"/>
          <w:sz w:val="22"/>
          <w:szCs w:val="22"/>
        </w:rPr>
        <w:t>Schug</w:t>
      </w:r>
      <w:proofErr w:type="spellEnd"/>
      <w:r w:rsidRPr="00EB62D1">
        <w:rPr>
          <w:color w:val="000000" w:themeColor="text1"/>
          <w:sz w:val="22"/>
          <w:szCs w:val="22"/>
        </w:rPr>
        <w:t xml:space="preserve"> S, Smith BH, </w:t>
      </w:r>
      <w:proofErr w:type="spellStart"/>
      <w:r w:rsidRPr="00EB62D1">
        <w:rPr>
          <w:color w:val="000000" w:themeColor="text1"/>
          <w:sz w:val="22"/>
          <w:szCs w:val="22"/>
        </w:rPr>
        <w:t>Svensson</w:t>
      </w:r>
      <w:proofErr w:type="spellEnd"/>
      <w:r w:rsidRPr="00EB62D1">
        <w:rPr>
          <w:color w:val="000000" w:themeColor="text1"/>
          <w:sz w:val="22"/>
          <w:szCs w:val="22"/>
        </w:rPr>
        <w:t xml:space="preserve"> P, </w:t>
      </w:r>
      <w:proofErr w:type="spellStart"/>
      <w:r w:rsidRPr="00EB62D1">
        <w:rPr>
          <w:color w:val="000000" w:themeColor="text1"/>
          <w:sz w:val="22"/>
          <w:szCs w:val="22"/>
        </w:rPr>
        <w:t>Vlaeyen</w:t>
      </w:r>
      <w:proofErr w:type="spellEnd"/>
      <w:r w:rsidRPr="00EB62D1">
        <w:rPr>
          <w:color w:val="000000" w:themeColor="text1"/>
          <w:sz w:val="22"/>
          <w:szCs w:val="22"/>
        </w:rPr>
        <w:t xml:space="preserve"> JWS, Wang S-J. </w:t>
      </w:r>
      <w:r w:rsidRPr="00EB62D1">
        <w:rPr>
          <w:bCs/>
          <w:color w:val="000000" w:themeColor="text1"/>
          <w:sz w:val="22"/>
          <w:szCs w:val="22"/>
        </w:rPr>
        <w:t>A classification of chronic pain for </w:t>
      </w:r>
      <w:r w:rsidRPr="00EB62D1">
        <w:rPr>
          <w:rStyle w:val="Emphasis"/>
          <w:bCs/>
          <w:color w:val="000000" w:themeColor="text1"/>
          <w:sz w:val="22"/>
          <w:szCs w:val="22"/>
        </w:rPr>
        <w:t>ICD-11</w:t>
      </w:r>
      <w:r w:rsidRPr="00EB62D1">
        <w:rPr>
          <w:rStyle w:val="Emphasis"/>
          <w:b/>
          <w:bCs/>
          <w:color w:val="000000" w:themeColor="text1"/>
          <w:sz w:val="22"/>
          <w:szCs w:val="22"/>
        </w:rPr>
        <w:t xml:space="preserve">. </w:t>
      </w:r>
      <w:r w:rsidRPr="00EB62D1">
        <w:rPr>
          <w:rStyle w:val="Emphasis"/>
          <w:bCs/>
          <w:color w:val="000000" w:themeColor="text1"/>
          <w:sz w:val="22"/>
          <w:szCs w:val="22"/>
        </w:rPr>
        <w:t xml:space="preserve">Pain </w:t>
      </w:r>
      <w:r w:rsidRPr="00EB62D1">
        <w:rPr>
          <w:color w:val="000000" w:themeColor="text1"/>
          <w:sz w:val="22"/>
          <w:szCs w:val="22"/>
          <w:shd w:val="clear" w:color="auto" w:fill="FFFFFF"/>
        </w:rPr>
        <w:t xml:space="preserve">2015 156(6):1003–1007. </w:t>
      </w:r>
      <w:r w:rsidRPr="00EB62D1">
        <w:rPr>
          <w:color w:val="000000" w:themeColor="text1"/>
          <w:sz w:val="22"/>
          <w:szCs w:val="22"/>
        </w:rPr>
        <w:t>PMID: 25844555 </w:t>
      </w:r>
    </w:p>
    <w:p w14:paraId="6F2D5C1E"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Lamperti M, Tufegdzic B, Avitsian R</w:t>
      </w:r>
      <w:r w:rsidRPr="00EB62D1">
        <w:rPr>
          <w:iCs/>
          <w:noProof/>
          <w:sz w:val="22"/>
          <w:szCs w:val="22"/>
        </w:rPr>
        <w:t xml:space="preserve">: Management of complex spine surgery. </w:t>
      </w:r>
      <w:r w:rsidRPr="00EB62D1">
        <w:rPr>
          <w:i/>
          <w:iCs/>
          <w:noProof/>
          <w:sz w:val="22"/>
          <w:szCs w:val="22"/>
        </w:rPr>
        <w:t>Curr Opin Anaesthesiol</w:t>
      </w:r>
      <w:r w:rsidRPr="00EB62D1">
        <w:rPr>
          <w:iCs/>
          <w:noProof/>
          <w:sz w:val="22"/>
          <w:szCs w:val="22"/>
        </w:rPr>
        <w:t xml:space="preserve"> 2017; 30(5):551-556. PubMed PMID: 28731875</w:t>
      </w:r>
    </w:p>
    <w:p w14:paraId="3A33E3E9"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Urban M:</w:t>
      </w:r>
      <w:r w:rsidRPr="00EB62D1">
        <w:rPr>
          <w:iCs/>
          <w:noProof/>
          <w:sz w:val="22"/>
          <w:szCs w:val="22"/>
        </w:rPr>
        <w:t xml:space="preserve"> Anesthesia for Orthopedic Surgery. Spinal Surgery.</w:t>
      </w:r>
      <w:r w:rsidRPr="00EB62D1">
        <w:rPr>
          <w:bCs/>
          <w:iCs/>
          <w:noProof/>
          <w:sz w:val="22"/>
          <w:szCs w:val="22"/>
        </w:rPr>
        <w:t>Miller RD: Miller’s Anesthesia, 8</w:t>
      </w:r>
      <w:r w:rsidRPr="00EB62D1">
        <w:rPr>
          <w:bCs/>
          <w:iCs/>
          <w:noProof/>
          <w:sz w:val="22"/>
          <w:szCs w:val="22"/>
          <w:vertAlign w:val="superscript"/>
        </w:rPr>
        <w:t>th</w:t>
      </w:r>
      <w:r w:rsidRPr="00EB62D1">
        <w:rPr>
          <w:bCs/>
          <w:iCs/>
          <w:noProof/>
          <w:sz w:val="22"/>
          <w:szCs w:val="22"/>
        </w:rPr>
        <w:t xml:space="preserve"> addition, 2015, Ch. 79, pp. 2386-2406. </w:t>
      </w:r>
    </w:p>
    <w:p w14:paraId="73BB229B"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Nowicki R:</w:t>
      </w:r>
      <w:r w:rsidRPr="00EB62D1">
        <w:rPr>
          <w:iCs/>
          <w:noProof/>
          <w:sz w:val="22"/>
          <w:szCs w:val="22"/>
        </w:rPr>
        <w:t xml:space="preserve"> Anaesthesia for major spinal surgery. </w:t>
      </w:r>
      <w:r w:rsidRPr="00EB62D1">
        <w:rPr>
          <w:i/>
          <w:iCs/>
          <w:noProof/>
          <w:sz w:val="22"/>
          <w:szCs w:val="22"/>
        </w:rPr>
        <w:t xml:space="preserve">Continuing Education in Anaesthesia Critical Care &amp; Pain </w:t>
      </w:r>
      <w:r w:rsidRPr="00EB62D1">
        <w:rPr>
          <w:iCs/>
          <w:noProof/>
          <w:sz w:val="22"/>
          <w:szCs w:val="22"/>
        </w:rPr>
        <w:t>2014: 14(4):147-52.</w:t>
      </w:r>
    </w:p>
    <w:p w14:paraId="6D2B80A7" w14:textId="77777777" w:rsidR="001A3283" w:rsidRPr="00EB62D1" w:rsidRDefault="001A3283" w:rsidP="001833DE">
      <w:pPr>
        <w:pStyle w:val="ListParagraph"/>
        <w:numPr>
          <w:ilvl w:val="0"/>
          <w:numId w:val="5"/>
        </w:numPr>
        <w:spacing w:line="480" w:lineRule="auto"/>
        <w:contextualSpacing w:val="0"/>
        <w:rPr>
          <w:sz w:val="22"/>
          <w:szCs w:val="22"/>
        </w:rPr>
      </w:pPr>
      <w:r w:rsidRPr="00EB62D1">
        <w:rPr>
          <w:bCs/>
          <w:iCs/>
          <w:noProof/>
          <w:sz w:val="22"/>
          <w:szCs w:val="22"/>
        </w:rPr>
        <w:lastRenderedPageBreak/>
        <w:t>Hall, RI, Sandham D, Cardinal P, Tweeddale M, Moher D, Wang X, Anis AH</w:t>
      </w:r>
      <w:r w:rsidRPr="00EB62D1">
        <w:rPr>
          <w:iCs/>
          <w:noProof/>
          <w:sz w:val="22"/>
          <w:szCs w:val="22"/>
        </w:rPr>
        <w:t xml:space="preserve">: Propofol vs Midazolam for ICU Sedation: a Canadian multicenter randomized trial. </w:t>
      </w:r>
      <w:r w:rsidRPr="00EB62D1">
        <w:rPr>
          <w:i/>
          <w:iCs/>
          <w:noProof/>
          <w:sz w:val="22"/>
          <w:szCs w:val="22"/>
        </w:rPr>
        <w:t>Chest</w:t>
      </w:r>
      <w:r w:rsidRPr="00EB62D1">
        <w:rPr>
          <w:iCs/>
          <w:noProof/>
          <w:sz w:val="22"/>
          <w:szCs w:val="22"/>
        </w:rPr>
        <w:t xml:space="preserve"> 2001; 119(4): 1151-9. PubMed PMID: 11296183.</w:t>
      </w:r>
    </w:p>
    <w:p w14:paraId="38F379AF"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Dunn LK, Durieux ME:</w:t>
      </w:r>
      <w:r w:rsidRPr="00EB62D1">
        <w:rPr>
          <w:iCs/>
          <w:noProof/>
          <w:sz w:val="22"/>
          <w:szCs w:val="22"/>
        </w:rPr>
        <w:t xml:space="preserve"> Perioperative Use of Intravenous Lidocaine. </w:t>
      </w:r>
      <w:r w:rsidRPr="00EB62D1">
        <w:rPr>
          <w:i/>
          <w:iCs/>
          <w:noProof/>
          <w:sz w:val="22"/>
          <w:szCs w:val="22"/>
        </w:rPr>
        <w:t>Anesthesiology</w:t>
      </w:r>
      <w:r w:rsidRPr="00EB62D1">
        <w:rPr>
          <w:iCs/>
          <w:noProof/>
          <w:sz w:val="22"/>
          <w:szCs w:val="22"/>
        </w:rPr>
        <w:t xml:space="preserve"> 2017;  126(4): 729-37. PMID: 28114177.</w:t>
      </w:r>
    </w:p>
    <w:p w14:paraId="6F900184"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Farag E, Ghobrial M, Sessler DI, Dalton JE, Liu J, Lee JH, Zaky S, Benzel E, Bingaman W, Kurz A:</w:t>
      </w:r>
      <w:r w:rsidRPr="00EB62D1">
        <w:rPr>
          <w:iCs/>
          <w:noProof/>
          <w:sz w:val="22"/>
          <w:szCs w:val="22"/>
        </w:rPr>
        <w:t xml:space="preserve"> Effect of perioperative intravenous lidocaine administration on pain, opioid consumption, and quality of life after complex spine surgery.</w:t>
      </w:r>
      <w:r w:rsidRPr="00EB62D1">
        <w:rPr>
          <w:bCs/>
          <w:iCs/>
          <w:noProof/>
          <w:sz w:val="22"/>
          <w:szCs w:val="22"/>
        </w:rPr>
        <w:t xml:space="preserve"> </w:t>
      </w:r>
      <w:r w:rsidRPr="00EB62D1">
        <w:rPr>
          <w:i/>
          <w:iCs/>
          <w:noProof/>
          <w:sz w:val="22"/>
          <w:szCs w:val="22"/>
        </w:rPr>
        <w:t>Anesthesiology</w:t>
      </w:r>
      <w:r w:rsidRPr="00EB62D1">
        <w:rPr>
          <w:iCs/>
          <w:noProof/>
          <w:sz w:val="22"/>
          <w:szCs w:val="22"/>
        </w:rPr>
        <w:t xml:space="preserve"> 2013; 119(4):932-40. PMID: 23681143.</w:t>
      </w:r>
    </w:p>
    <w:p w14:paraId="02972815"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Himmelseher S, Durieux ME:</w:t>
      </w:r>
      <w:r w:rsidRPr="00EB62D1">
        <w:rPr>
          <w:iCs/>
          <w:noProof/>
          <w:sz w:val="22"/>
          <w:szCs w:val="22"/>
        </w:rPr>
        <w:t xml:space="preserve"> Ketamine for perioperative pain management. </w:t>
      </w:r>
      <w:r w:rsidRPr="00EB62D1">
        <w:rPr>
          <w:i/>
          <w:iCs/>
          <w:noProof/>
          <w:sz w:val="22"/>
          <w:szCs w:val="22"/>
        </w:rPr>
        <w:t>Anesthesiology</w:t>
      </w:r>
      <w:r w:rsidRPr="00EB62D1">
        <w:rPr>
          <w:iCs/>
          <w:noProof/>
          <w:sz w:val="22"/>
          <w:szCs w:val="22"/>
        </w:rPr>
        <w:t xml:space="preserve"> 2005; 102(1):211-20. PMID: 15618805.</w:t>
      </w:r>
    </w:p>
    <w:p w14:paraId="7BE95C4E"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Pendi A, Field R, Farhan SD, Eichler M, Bederman SS</w:t>
      </w:r>
      <w:r w:rsidRPr="00EB62D1">
        <w:rPr>
          <w:iCs/>
          <w:noProof/>
          <w:sz w:val="22"/>
          <w:szCs w:val="22"/>
        </w:rPr>
        <w:t xml:space="preserve">: Perioperative Ketamine for Analgesia in Spine Surgery: A Meta-analysis of Randomized Controlled Trials. </w:t>
      </w:r>
      <w:r w:rsidRPr="00EB62D1">
        <w:rPr>
          <w:i/>
          <w:iCs/>
          <w:noProof/>
          <w:sz w:val="22"/>
          <w:szCs w:val="22"/>
        </w:rPr>
        <w:t>Spine</w:t>
      </w:r>
      <w:r w:rsidRPr="00EB62D1">
        <w:rPr>
          <w:iCs/>
          <w:noProof/>
          <w:sz w:val="22"/>
          <w:szCs w:val="22"/>
        </w:rPr>
        <w:t xml:space="preserve"> 2018; 43(5):E299-E307. PubMed PMID: 28700455.</w:t>
      </w:r>
    </w:p>
    <w:p w14:paraId="428722C3"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color w:val="000000" w:themeColor="text1"/>
          <w:sz w:val="22"/>
          <w:szCs w:val="22"/>
        </w:rPr>
        <w:t xml:space="preserve">Cannesson </w:t>
      </w:r>
      <w:r w:rsidRPr="00EB62D1">
        <w:rPr>
          <w:bCs/>
          <w:iCs/>
          <w:noProof/>
          <w:sz w:val="22"/>
          <w:szCs w:val="22"/>
        </w:rPr>
        <w:t>M, Pearse R:</w:t>
      </w:r>
      <w:r w:rsidRPr="00EB62D1">
        <w:rPr>
          <w:iCs/>
          <w:noProof/>
          <w:sz w:val="22"/>
          <w:szCs w:val="22"/>
        </w:rPr>
        <w:t xml:space="preserve"> Perioperative Hemodynamic Monitoring and Goal Directed Therapy: From Theory to Practice. Cambridge University Press, Medical, 2014, Chapter 28, pp. 237-245.</w:t>
      </w:r>
    </w:p>
    <w:p w14:paraId="554D5826" w14:textId="4DC1F56E" w:rsidR="001A3283" w:rsidRPr="00EB62D1" w:rsidRDefault="001A3283" w:rsidP="001833DE">
      <w:pPr>
        <w:pStyle w:val="ListParagraph"/>
        <w:numPr>
          <w:ilvl w:val="0"/>
          <w:numId w:val="5"/>
        </w:numPr>
        <w:spacing w:line="480" w:lineRule="auto"/>
        <w:contextualSpacing w:val="0"/>
        <w:rPr>
          <w:sz w:val="22"/>
          <w:szCs w:val="22"/>
        </w:rPr>
      </w:pPr>
      <w:r w:rsidRPr="00EB62D1">
        <w:rPr>
          <w:bCs/>
          <w:iCs/>
          <w:noProof/>
          <w:sz w:val="22"/>
          <w:szCs w:val="22"/>
        </w:rPr>
        <w:t>Lobo DN, Awad S</w:t>
      </w:r>
      <w:r w:rsidRPr="00EB62D1">
        <w:rPr>
          <w:iCs/>
          <w:noProof/>
          <w:sz w:val="22"/>
          <w:szCs w:val="22"/>
        </w:rPr>
        <w:t xml:space="preserve">: Should chloride-rich crystalloids remain the mainstay of fluid resuscitation to prevent ‘pre-renal’ acute kidney injury? </w:t>
      </w:r>
      <w:r w:rsidRPr="00EB62D1">
        <w:rPr>
          <w:i/>
          <w:iCs/>
          <w:noProof/>
          <w:sz w:val="22"/>
          <w:szCs w:val="22"/>
        </w:rPr>
        <w:t>Kidney International</w:t>
      </w:r>
      <w:r w:rsidRPr="00EB62D1">
        <w:rPr>
          <w:iCs/>
          <w:noProof/>
          <w:sz w:val="22"/>
          <w:szCs w:val="22"/>
        </w:rPr>
        <w:t xml:space="preserve"> 2014; 86, 1096–1105. </w:t>
      </w:r>
    </w:p>
    <w:p w14:paraId="133B8452"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Zeeni C, Carabini LM, Gould RW, Bebawy JF, Hemmer LB, Moreland NC, Koski TR,Koht A, Schafer MF, Ondra SL, Gupta DK:</w:t>
      </w:r>
      <w:r w:rsidRPr="00EB62D1">
        <w:rPr>
          <w:iCs/>
          <w:noProof/>
          <w:sz w:val="22"/>
          <w:szCs w:val="22"/>
        </w:rPr>
        <w:t xml:space="preserve"> The implementation and efficacy of the Northwestern High Risk Spine Protocol.</w:t>
      </w:r>
      <w:r w:rsidRPr="00EB62D1">
        <w:rPr>
          <w:bCs/>
          <w:iCs/>
          <w:noProof/>
          <w:sz w:val="22"/>
          <w:szCs w:val="22"/>
        </w:rPr>
        <w:t xml:space="preserve"> </w:t>
      </w:r>
      <w:r w:rsidRPr="00EB62D1">
        <w:rPr>
          <w:i/>
          <w:iCs/>
          <w:noProof/>
          <w:sz w:val="22"/>
          <w:szCs w:val="22"/>
        </w:rPr>
        <w:t>World Neurosurg</w:t>
      </w:r>
      <w:r w:rsidRPr="00EB62D1">
        <w:rPr>
          <w:iCs/>
          <w:noProof/>
          <w:sz w:val="22"/>
          <w:szCs w:val="22"/>
        </w:rPr>
        <w:t xml:space="preserve"> 2014; 82(6):e815-23. PubMed PMID: 2494.</w:t>
      </w:r>
    </w:p>
    <w:p w14:paraId="6D500172" w14:textId="77777777" w:rsidR="001A3283" w:rsidRPr="00EB62D1" w:rsidRDefault="001A3283" w:rsidP="001833DE">
      <w:pPr>
        <w:pStyle w:val="Bibliography"/>
        <w:numPr>
          <w:ilvl w:val="0"/>
          <w:numId w:val="5"/>
        </w:numPr>
        <w:spacing w:line="480" w:lineRule="auto"/>
        <w:rPr>
          <w:iCs/>
          <w:noProof/>
          <w:sz w:val="22"/>
          <w:szCs w:val="22"/>
        </w:rPr>
      </w:pPr>
      <w:r w:rsidRPr="00EB62D1">
        <w:rPr>
          <w:bCs/>
          <w:iCs/>
          <w:noProof/>
          <w:sz w:val="22"/>
          <w:szCs w:val="22"/>
        </w:rPr>
        <w:t>Qureshi R, Puvanesarajah V, Jain A, Hassanzadeh H. C</w:t>
      </w:r>
      <w:r w:rsidRPr="00EB62D1">
        <w:rPr>
          <w:iCs/>
          <w:noProof/>
          <w:sz w:val="22"/>
          <w:szCs w:val="22"/>
        </w:rPr>
        <w:t xml:space="preserve">: Perioperative Management of Blood Loss in Spine Surgery. </w:t>
      </w:r>
      <w:r w:rsidRPr="00EB62D1">
        <w:rPr>
          <w:i/>
          <w:iCs/>
          <w:noProof/>
          <w:sz w:val="22"/>
          <w:szCs w:val="22"/>
        </w:rPr>
        <w:t>Clin Spine Surg</w:t>
      </w:r>
      <w:r w:rsidRPr="00EB62D1">
        <w:rPr>
          <w:iCs/>
          <w:noProof/>
          <w:sz w:val="22"/>
          <w:szCs w:val="22"/>
        </w:rPr>
        <w:t> 2017; 30(9):383-388. PubMed PMID: 28338491.</w:t>
      </w:r>
    </w:p>
    <w:p w14:paraId="31547371" w14:textId="77777777" w:rsidR="001A3283" w:rsidRPr="00EB62D1" w:rsidRDefault="001A3283" w:rsidP="001833DE">
      <w:pPr>
        <w:pStyle w:val="ListParagraph"/>
        <w:numPr>
          <w:ilvl w:val="0"/>
          <w:numId w:val="5"/>
        </w:numPr>
        <w:spacing w:line="480" w:lineRule="auto"/>
        <w:contextualSpacing w:val="0"/>
        <w:rPr>
          <w:sz w:val="22"/>
          <w:szCs w:val="22"/>
        </w:rPr>
      </w:pPr>
      <w:r w:rsidRPr="00EB62D1">
        <w:rPr>
          <w:bCs/>
          <w:iCs/>
          <w:noProof/>
          <w:sz w:val="22"/>
          <w:szCs w:val="22"/>
        </w:rPr>
        <w:t>Carson JL, Guyatt G, Heddle NM, Grossman BJ, Cohn CS, Fung MK, Gernsheimer T, Holcomb JB, Kaplan LJ, Katz LM, Peterson N, Ramsey G, Rao SV, Roback JD, Shander A, Tobian AAR</w:t>
      </w:r>
      <w:r w:rsidRPr="00EB62D1">
        <w:rPr>
          <w:iCs/>
          <w:noProof/>
          <w:sz w:val="22"/>
          <w:szCs w:val="22"/>
        </w:rPr>
        <w:t xml:space="preserve">: </w:t>
      </w:r>
      <w:r w:rsidRPr="00EB62D1">
        <w:rPr>
          <w:iCs/>
          <w:noProof/>
          <w:sz w:val="22"/>
          <w:szCs w:val="22"/>
        </w:rPr>
        <w:lastRenderedPageBreak/>
        <w:t xml:space="preserve">Clinical Practice Guidelines From the AABB: Red Blood Cell Transfusion Thresholds and Storage. </w:t>
      </w:r>
      <w:r w:rsidRPr="00EB62D1">
        <w:rPr>
          <w:i/>
          <w:iCs/>
          <w:noProof/>
          <w:sz w:val="22"/>
          <w:szCs w:val="22"/>
        </w:rPr>
        <w:t>JAMA</w:t>
      </w:r>
      <w:r w:rsidRPr="00EB62D1">
        <w:rPr>
          <w:iCs/>
          <w:noProof/>
          <w:sz w:val="22"/>
          <w:szCs w:val="22"/>
        </w:rPr>
        <w:t xml:space="preserve"> 2016; 15;316(19):2025-2035. PMID: 27732721.</w:t>
      </w:r>
    </w:p>
    <w:p w14:paraId="22A55528" w14:textId="77777777" w:rsidR="004D4A9C" w:rsidRPr="00436334" w:rsidRDefault="004D4A9C" w:rsidP="001833DE">
      <w:pPr>
        <w:spacing w:line="480" w:lineRule="auto"/>
        <w:rPr>
          <w:b/>
          <w:color w:val="000000" w:themeColor="text1"/>
        </w:rPr>
      </w:pPr>
    </w:p>
    <w:sectPr w:rsidR="004D4A9C" w:rsidRPr="00436334" w:rsidSect="009937FB">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A3C7" w14:textId="77777777" w:rsidR="00C641AD" w:rsidRDefault="00C641AD" w:rsidP="002E5395">
      <w:r>
        <w:separator/>
      </w:r>
    </w:p>
  </w:endnote>
  <w:endnote w:type="continuationSeparator" w:id="0">
    <w:p w14:paraId="52BE3BB8" w14:textId="77777777" w:rsidR="00C641AD" w:rsidRDefault="00C641AD" w:rsidP="002E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398219"/>
      <w:docPartObj>
        <w:docPartGallery w:val="Page Numbers (Bottom of Page)"/>
        <w:docPartUnique/>
      </w:docPartObj>
    </w:sdtPr>
    <w:sdtEndPr>
      <w:rPr>
        <w:rStyle w:val="PageNumber"/>
      </w:rPr>
    </w:sdtEndPr>
    <w:sdtContent>
      <w:p w14:paraId="54B42D66" w14:textId="3CFE1C86" w:rsidR="004D4A9C" w:rsidRDefault="004D4A9C" w:rsidP="004D4A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84AA4" w14:textId="77777777" w:rsidR="004D4A9C" w:rsidRDefault="004D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1591303"/>
      <w:docPartObj>
        <w:docPartGallery w:val="Page Numbers (Bottom of Page)"/>
        <w:docPartUnique/>
      </w:docPartObj>
    </w:sdtPr>
    <w:sdtEndPr>
      <w:rPr>
        <w:rStyle w:val="PageNumber"/>
      </w:rPr>
    </w:sdtEndPr>
    <w:sdtContent>
      <w:p w14:paraId="4816C49F" w14:textId="4D365485" w:rsidR="004D4A9C" w:rsidRDefault="004D4A9C" w:rsidP="004D4A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A4D1F0" w14:textId="77777777" w:rsidR="004D4A9C" w:rsidRDefault="004D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F2C8" w14:textId="77777777" w:rsidR="00C641AD" w:rsidRDefault="00C641AD" w:rsidP="002E5395">
      <w:r>
        <w:separator/>
      </w:r>
    </w:p>
  </w:footnote>
  <w:footnote w:type="continuationSeparator" w:id="0">
    <w:p w14:paraId="761F24C5" w14:textId="77777777" w:rsidR="00C641AD" w:rsidRDefault="00C641AD" w:rsidP="002E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40C5"/>
    <w:multiLevelType w:val="multilevel"/>
    <w:tmpl w:val="00B44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5D38E6"/>
    <w:multiLevelType w:val="hybridMultilevel"/>
    <w:tmpl w:val="244E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91140"/>
    <w:multiLevelType w:val="hybridMultilevel"/>
    <w:tmpl w:val="3C6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B76DC"/>
    <w:multiLevelType w:val="hybridMultilevel"/>
    <w:tmpl w:val="3C6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73C46"/>
    <w:multiLevelType w:val="hybridMultilevel"/>
    <w:tmpl w:val="5BA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6388C"/>
    <w:multiLevelType w:val="multilevel"/>
    <w:tmpl w:val="458A1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CB5395"/>
    <w:multiLevelType w:val="hybridMultilevel"/>
    <w:tmpl w:val="116A8120"/>
    <w:lvl w:ilvl="0" w:tplc="99EEEA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0428EA">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83"/>
    <w:rsid w:val="00032962"/>
    <w:rsid w:val="00040EC6"/>
    <w:rsid w:val="00045EDF"/>
    <w:rsid w:val="00062EB9"/>
    <w:rsid w:val="000804F1"/>
    <w:rsid w:val="000A08A3"/>
    <w:rsid w:val="000C6EE6"/>
    <w:rsid w:val="000E05AF"/>
    <w:rsid w:val="000F43BC"/>
    <w:rsid w:val="000F5AC3"/>
    <w:rsid w:val="00120BEA"/>
    <w:rsid w:val="00121E05"/>
    <w:rsid w:val="00155881"/>
    <w:rsid w:val="00170D98"/>
    <w:rsid w:val="001833DE"/>
    <w:rsid w:val="001853E6"/>
    <w:rsid w:val="001A3283"/>
    <w:rsid w:val="001A5683"/>
    <w:rsid w:val="00217B2D"/>
    <w:rsid w:val="0022651E"/>
    <w:rsid w:val="002D0682"/>
    <w:rsid w:val="002D3532"/>
    <w:rsid w:val="002E5395"/>
    <w:rsid w:val="002E7065"/>
    <w:rsid w:val="002E7FF0"/>
    <w:rsid w:val="00320F75"/>
    <w:rsid w:val="00342CF0"/>
    <w:rsid w:val="0035137B"/>
    <w:rsid w:val="00357E90"/>
    <w:rsid w:val="00377D5A"/>
    <w:rsid w:val="00393844"/>
    <w:rsid w:val="003C19FC"/>
    <w:rsid w:val="00415587"/>
    <w:rsid w:val="00436334"/>
    <w:rsid w:val="004606E2"/>
    <w:rsid w:val="004A7690"/>
    <w:rsid w:val="004C1C5B"/>
    <w:rsid w:val="004C28A9"/>
    <w:rsid w:val="004D4A9C"/>
    <w:rsid w:val="004D4AB6"/>
    <w:rsid w:val="004D6EC0"/>
    <w:rsid w:val="005171BB"/>
    <w:rsid w:val="00524BCF"/>
    <w:rsid w:val="00526AEA"/>
    <w:rsid w:val="005A6D42"/>
    <w:rsid w:val="005C6A73"/>
    <w:rsid w:val="005E1213"/>
    <w:rsid w:val="005E4FB9"/>
    <w:rsid w:val="005E5B03"/>
    <w:rsid w:val="0060396B"/>
    <w:rsid w:val="006472FF"/>
    <w:rsid w:val="00652480"/>
    <w:rsid w:val="00681CF5"/>
    <w:rsid w:val="00685196"/>
    <w:rsid w:val="006B3B8D"/>
    <w:rsid w:val="006C0E3E"/>
    <w:rsid w:val="006C4D15"/>
    <w:rsid w:val="006D5A47"/>
    <w:rsid w:val="007C5D6B"/>
    <w:rsid w:val="00830A6E"/>
    <w:rsid w:val="00837206"/>
    <w:rsid w:val="00850334"/>
    <w:rsid w:val="008506CD"/>
    <w:rsid w:val="008924D2"/>
    <w:rsid w:val="00992BF8"/>
    <w:rsid w:val="009937FB"/>
    <w:rsid w:val="0099719D"/>
    <w:rsid w:val="009A64E7"/>
    <w:rsid w:val="00A06177"/>
    <w:rsid w:val="00A67482"/>
    <w:rsid w:val="00AA3A33"/>
    <w:rsid w:val="00AA43FD"/>
    <w:rsid w:val="00AB0E2A"/>
    <w:rsid w:val="00AC4641"/>
    <w:rsid w:val="00AF2F45"/>
    <w:rsid w:val="00AF7C0D"/>
    <w:rsid w:val="00B0601B"/>
    <w:rsid w:val="00B311A0"/>
    <w:rsid w:val="00B605EA"/>
    <w:rsid w:val="00BB7626"/>
    <w:rsid w:val="00BE23E7"/>
    <w:rsid w:val="00BF2100"/>
    <w:rsid w:val="00C641AD"/>
    <w:rsid w:val="00CA5897"/>
    <w:rsid w:val="00CB38CB"/>
    <w:rsid w:val="00CF7395"/>
    <w:rsid w:val="00D7708B"/>
    <w:rsid w:val="00D843DC"/>
    <w:rsid w:val="00DD4D93"/>
    <w:rsid w:val="00DD75A0"/>
    <w:rsid w:val="00DF1393"/>
    <w:rsid w:val="00E5236B"/>
    <w:rsid w:val="00E83B24"/>
    <w:rsid w:val="00EA0F3F"/>
    <w:rsid w:val="00EB57E5"/>
    <w:rsid w:val="00EB62D1"/>
    <w:rsid w:val="00F04458"/>
    <w:rsid w:val="00F44128"/>
    <w:rsid w:val="00F44773"/>
    <w:rsid w:val="00F46B1D"/>
    <w:rsid w:val="00F472E2"/>
    <w:rsid w:val="00F60F76"/>
    <w:rsid w:val="00F64BDE"/>
    <w:rsid w:val="00FB5F04"/>
    <w:rsid w:val="00FD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549C"/>
  <w14:defaultImageDpi w14:val="32767"/>
  <w15:chartTrackingRefBased/>
  <w15:docId w15:val="{DA2844D7-5953-4B47-81B5-C64C4E72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2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83"/>
    <w:pPr>
      <w:ind w:left="720"/>
      <w:contextualSpacing/>
    </w:pPr>
  </w:style>
  <w:style w:type="paragraph" w:styleId="Bibliography">
    <w:name w:val="Bibliography"/>
    <w:basedOn w:val="Normal"/>
    <w:next w:val="Normal"/>
    <w:uiPriority w:val="37"/>
    <w:unhideWhenUsed/>
    <w:rsid w:val="001A3283"/>
    <w:rPr>
      <w:rFonts w:eastAsia="MS Mincho"/>
    </w:rPr>
  </w:style>
  <w:style w:type="table" w:styleId="TableGrid">
    <w:name w:val="Table Grid"/>
    <w:basedOn w:val="TableNormal"/>
    <w:uiPriority w:val="59"/>
    <w:rsid w:val="001A32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4773"/>
    <w:rPr>
      <w:sz w:val="16"/>
      <w:szCs w:val="16"/>
    </w:rPr>
  </w:style>
  <w:style w:type="paragraph" w:styleId="CommentText">
    <w:name w:val="annotation text"/>
    <w:basedOn w:val="Normal"/>
    <w:link w:val="CommentTextChar"/>
    <w:uiPriority w:val="99"/>
    <w:unhideWhenUsed/>
    <w:rsid w:val="00F44773"/>
    <w:rPr>
      <w:sz w:val="20"/>
      <w:szCs w:val="20"/>
    </w:rPr>
  </w:style>
  <w:style w:type="character" w:customStyle="1" w:styleId="CommentTextChar">
    <w:name w:val="Comment Text Char"/>
    <w:basedOn w:val="DefaultParagraphFont"/>
    <w:link w:val="CommentText"/>
    <w:uiPriority w:val="99"/>
    <w:rsid w:val="00F44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773"/>
    <w:rPr>
      <w:b/>
      <w:bCs/>
    </w:rPr>
  </w:style>
  <w:style w:type="character" w:customStyle="1" w:styleId="CommentSubjectChar">
    <w:name w:val="Comment Subject Char"/>
    <w:basedOn w:val="CommentTextChar"/>
    <w:link w:val="CommentSubject"/>
    <w:uiPriority w:val="99"/>
    <w:semiHidden/>
    <w:rsid w:val="00F447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773"/>
    <w:rPr>
      <w:sz w:val="18"/>
      <w:szCs w:val="18"/>
    </w:rPr>
  </w:style>
  <w:style w:type="character" w:customStyle="1" w:styleId="BalloonTextChar">
    <w:name w:val="Balloon Text Char"/>
    <w:basedOn w:val="DefaultParagraphFont"/>
    <w:link w:val="BalloonText"/>
    <w:uiPriority w:val="99"/>
    <w:semiHidden/>
    <w:rsid w:val="00F44773"/>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2E5395"/>
  </w:style>
  <w:style w:type="paragraph" w:styleId="Footer">
    <w:name w:val="footer"/>
    <w:basedOn w:val="Normal"/>
    <w:link w:val="FooterChar"/>
    <w:uiPriority w:val="99"/>
    <w:unhideWhenUsed/>
    <w:rsid w:val="002E5395"/>
    <w:pPr>
      <w:tabs>
        <w:tab w:val="center" w:pos="4680"/>
        <w:tab w:val="right" w:pos="9360"/>
      </w:tabs>
    </w:pPr>
  </w:style>
  <w:style w:type="character" w:customStyle="1" w:styleId="FooterChar">
    <w:name w:val="Footer Char"/>
    <w:basedOn w:val="DefaultParagraphFont"/>
    <w:link w:val="Footer"/>
    <w:uiPriority w:val="99"/>
    <w:rsid w:val="002E5395"/>
    <w:rPr>
      <w:rFonts w:ascii="Times New Roman" w:eastAsia="Times New Roman" w:hAnsi="Times New Roman" w:cs="Times New Roman"/>
    </w:rPr>
  </w:style>
  <w:style w:type="character" w:styleId="PageNumber">
    <w:name w:val="page number"/>
    <w:basedOn w:val="DefaultParagraphFont"/>
    <w:uiPriority w:val="99"/>
    <w:semiHidden/>
    <w:unhideWhenUsed/>
    <w:rsid w:val="002E5395"/>
  </w:style>
  <w:style w:type="character" w:styleId="Emphasis">
    <w:name w:val="Emphasis"/>
    <w:basedOn w:val="DefaultParagraphFont"/>
    <w:uiPriority w:val="20"/>
    <w:qFormat/>
    <w:rsid w:val="004A7690"/>
    <w:rPr>
      <w:i/>
      <w:iCs/>
    </w:rPr>
  </w:style>
  <w:style w:type="paragraph" w:styleId="Header">
    <w:name w:val="header"/>
    <w:basedOn w:val="Normal"/>
    <w:link w:val="HeaderChar"/>
    <w:uiPriority w:val="99"/>
    <w:unhideWhenUsed/>
    <w:rsid w:val="009937FB"/>
    <w:pPr>
      <w:tabs>
        <w:tab w:val="center" w:pos="4680"/>
        <w:tab w:val="right" w:pos="9360"/>
      </w:tabs>
    </w:pPr>
  </w:style>
  <w:style w:type="character" w:customStyle="1" w:styleId="HeaderChar">
    <w:name w:val="Header Char"/>
    <w:basedOn w:val="DefaultParagraphFont"/>
    <w:link w:val="Header"/>
    <w:uiPriority w:val="99"/>
    <w:rsid w:val="009937F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79426">
      <w:bodyDiv w:val="1"/>
      <w:marLeft w:val="0"/>
      <w:marRight w:val="0"/>
      <w:marTop w:val="0"/>
      <w:marBottom w:val="0"/>
      <w:divBdr>
        <w:top w:val="none" w:sz="0" w:space="0" w:color="auto"/>
        <w:left w:val="none" w:sz="0" w:space="0" w:color="auto"/>
        <w:bottom w:val="none" w:sz="0" w:space="0" w:color="auto"/>
        <w:right w:val="none" w:sz="0" w:space="0" w:color="auto"/>
      </w:divBdr>
    </w:div>
    <w:div w:id="7500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Placeholder9</b:Tag>
    <b:SourceType>JournalArticle</b:SourceType>
    <b:Guid>{B01F4B85-CA31-0240-A8FF-3E3E36D8DF9F}</b:Guid>
    <b:Title>Lobo DN, Awad S: Should chloride-rich crystalloids remain the mainstay of fluid resuscitation to prevent ‘pre-renal’ acute kidney injury?</b:Title>
    <b:Publisher>Kidney International</b:Publisher>
    <b:Year>2014</b:Year>
    <b:Volume>86(6): 1096-1105</b:Volume>
    <b:StandardNumber>PMID: 24717302</b:StandardNumber>
    <b:RefOrder>20</b:RefOrder>
  </b:Source>
</b:Sources>
</file>

<file path=customXml/itemProps1.xml><?xml version="1.0" encoding="utf-8"?>
<ds:datastoreItem xmlns:ds="http://schemas.openxmlformats.org/officeDocument/2006/customXml" ds:itemID="{CB1B7E90-D52A-450B-944D-F00A862F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Ayrian</dc:creator>
  <cp:keywords/>
  <dc:description/>
  <cp:lastModifiedBy>Smith, Martin</cp:lastModifiedBy>
  <cp:revision>2</cp:revision>
  <dcterms:created xsi:type="dcterms:W3CDTF">2019-07-09T08:40:00Z</dcterms:created>
  <dcterms:modified xsi:type="dcterms:W3CDTF">2019-07-09T08:40:00Z</dcterms:modified>
</cp:coreProperties>
</file>