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0B92B" w14:textId="39A68D59" w:rsidR="00400DE2" w:rsidRDefault="00400DE2" w:rsidP="00BE1035">
      <w:pPr>
        <w:tabs>
          <w:tab w:val="left" w:pos="1560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zh-CN"/>
        </w:rPr>
      </w:pPr>
      <w:r>
        <w:rPr>
          <w:rFonts w:eastAsia="Times New Roman"/>
          <w:b/>
          <w:sz w:val="24"/>
          <w:szCs w:val="24"/>
          <w:lang w:val="en-US" w:eastAsia="zh-CN"/>
        </w:rPr>
        <w:t>Supplemental Digital Content 3</w:t>
      </w:r>
      <w:bookmarkStart w:id="0" w:name="_GoBack"/>
      <w:bookmarkEnd w:id="0"/>
    </w:p>
    <w:p w14:paraId="11304D52" w14:textId="337C8854" w:rsidR="00DF4F83" w:rsidRPr="00400DE2" w:rsidRDefault="0007647F" w:rsidP="00BE1035">
      <w:pPr>
        <w:tabs>
          <w:tab w:val="left" w:pos="1560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zh-CN"/>
        </w:rPr>
      </w:pPr>
      <w:r w:rsidRPr="00400DE2">
        <w:rPr>
          <w:rFonts w:eastAsia="Times New Roman"/>
          <w:b/>
          <w:bCs/>
          <w:sz w:val="24"/>
          <w:szCs w:val="24"/>
          <w:lang w:val="en-GB" w:eastAsia="zh-CN"/>
        </w:rPr>
        <w:t xml:space="preserve">Derived data </w:t>
      </w:r>
      <w:r w:rsidR="00522F50" w:rsidRPr="00400DE2">
        <w:rPr>
          <w:rFonts w:eastAsia="Times New Roman"/>
          <w:b/>
          <w:noProof/>
          <w:sz w:val="24"/>
          <w:szCs w:val="24"/>
          <w:lang w:val="en-US"/>
        </w:rPr>
        <w:t>from</w:t>
      </w:r>
      <w:r w:rsidRPr="00400DE2">
        <w:rPr>
          <w:rFonts w:eastAsia="Times New Roman"/>
          <w:b/>
          <w:noProof/>
          <w:sz w:val="24"/>
          <w:szCs w:val="24"/>
          <w:lang w:val="en-US"/>
        </w:rPr>
        <w:t xml:space="preserve"> </w:t>
      </w:r>
      <w:r w:rsidR="00605040" w:rsidRPr="00400DE2">
        <w:rPr>
          <w:rFonts w:eastAsia="Times New Roman"/>
          <w:b/>
          <w:noProof/>
          <w:sz w:val="24"/>
          <w:szCs w:val="24"/>
          <w:lang w:val="en-US"/>
        </w:rPr>
        <w:t>seven</w:t>
      </w:r>
      <w:r w:rsidRPr="00400DE2">
        <w:rPr>
          <w:rFonts w:eastAsia="Times New Roman"/>
          <w:b/>
          <w:noProof/>
          <w:sz w:val="24"/>
          <w:szCs w:val="24"/>
          <w:lang w:val="en-US"/>
        </w:rPr>
        <w:t xml:space="preserve"> </w:t>
      </w:r>
      <w:r w:rsidR="00605040" w:rsidRPr="00400DE2">
        <w:rPr>
          <w:rFonts w:eastAsia="Times New Roman"/>
          <w:b/>
          <w:noProof/>
          <w:sz w:val="24"/>
          <w:szCs w:val="24"/>
          <w:lang w:val="en-US"/>
        </w:rPr>
        <w:t xml:space="preserve">studies </w:t>
      </w:r>
      <w:r w:rsidR="0015335F" w:rsidRPr="00400DE2">
        <w:rPr>
          <w:rFonts w:eastAsia="Times New Roman"/>
          <w:b/>
          <w:sz w:val="24"/>
          <w:szCs w:val="24"/>
          <w:lang w:val="en-US" w:eastAsia="zh-CN"/>
        </w:rPr>
        <w:t>comparing two types of hemodynamic monitoring</w:t>
      </w:r>
      <w:r w:rsidR="00605040" w:rsidRPr="00400DE2">
        <w:rPr>
          <w:rFonts w:eastAsia="Times New Roman"/>
          <w:b/>
          <w:noProof/>
          <w:sz w:val="24"/>
          <w:szCs w:val="24"/>
          <w:lang w:val="en-US"/>
        </w:rPr>
        <w:t>: m</w:t>
      </w:r>
      <w:r w:rsidRPr="00400DE2">
        <w:rPr>
          <w:rFonts w:eastAsia="Times New Roman"/>
          <w:b/>
          <w:sz w:val="24"/>
          <w:szCs w:val="24"/>
          <w:lang w:val="en-US" w:eastAsia="zh-CN"/>
        </w:rPr>
        <w:t>ain characteristics</w:t>
      </w:r>
      <w:r w:rsidR="0015335F" w:rsidRPr="00400DE2">
        <w:rPr>
          <w:rFonts w:eastAsia="Times New Roman"/>
          <w:b/>
          <w:sz w:val="24"/>
          <w:szCs w:val="24"/>
          <w:lang w:val="en-US" w:eastAsia="zh-CN"/>
        </w:rPr>
        <w:t xml:space="preserve"> of each study, types of monitorin</w:t>
      </w:r>
      <w:r w:rsidR="00522F50" w:rsidRPr="00400DE2">
        <w:rPr>
          <w:rFonts w:eastAsia="Times New Roman"/>
          <w:b/>
          <w:sz w:val="24"/>
          <w:szCs w:val="24"/>
          <w:lang w:val="en-US" w:eastAsia="zh-CN"/>
        </w:rPr>
        <w:t>g compared and</w:t>
      </w:r>
      <w:r w:rsidR="00BE371F" w:rsidRPr="00400DE2">
        <w:rPr>
          <w:rFonts w:eastAsia="Times New Roman"/>
          <w:b/>
          <w:sz w:val="24"/>
          <w:szCs w:val="24"/>
          <w:lang w:val="en-US" w:eastAsia="zh-CN"/>
        </w:rPr>
        <w:t xml:space="preserve"> number of </w:t>
      </w:r>
      <w:r w:rsidR="0015335F" w:rsidRPr="00400DE2">
        <w:rPr>
          <w:rFonts w:eastAsia="Times New Roman"/>
          <w:b/>
          <w:sz w:val="24"/>
          <w:szCs w:val="24"/>
          <w:lang w:val="en-US" w:eastAsia="zh-CN"/>
        </w:rPr>
        <w:t>patients divided according to clinical presentations</w:t>
      </w:r>
      <w:r w:rsidR="00605040" w:rsidRPr="00400DE2">
        <w:rPr>
          <w:rFonts w:eastAsia="Times New Roman"/>
          <w:b/>
          <w:sz w:val="24"/>
          <w:szCs w:val="24"/>
          <w:lang w:val="en-US" w:eastAsia="zh-CN"/>
        </w:rPr>
        <w:t xml:space="preserve"> (WFNS grade) and </w:t>
      </w:r>
      <w:r w:rsidR="0015335F" w:rsidRPr="00400DE2">
        <w:rPr>
          <w:rFonts w:eastAsia="Times New Roman"/>
          <w:b/>
          <w:sz w:val="24"/>
          <w:szCs w:val="24"/>
          <w:lang w:val="en-US" w:eastAsia="zh-CN"/>
        </w:rPr>
        <w:t>neur</w:t>
      </w:r>
      <w:r w:rsidR="00605040" w:rsidRPr="00400DE2">
        <w:rPr>
          <w:rFonts w:eastAsia="Times New Roman"/>
          <w:b/>
          <w:sz w:val="24"/>
          <w:szCs w:val="24"/>
          <w:lang w:val="en-US" w:eastAsia="zh-CN"/>
        </w:rPr>
        <w:t>ological outcome (</w:t>
      </w:r>
      <w:proofErr w:type="spellStart"/>
      <w:r w:rsidR="00605040" w:rsidRPr="00400DE2">
        <w:rPr>
          <w:rFonts w:eastAsia="Times New Roman"/>
          <w:b/>
          <w:sz w:val="24"/>
          <w:szCs w:val="24"/>
          <w:lang w:val="en-US" w:eastAsia="zh-CN"/>
        </w:rPr>
        <w:t>mRS</w:t>
      </w:r>
      <w:proofErr w:type="spellEnd"/>
      <w:r w:rsidR="00605040" w:rsidRPr="00400DE2">
        <w:rPr>
          <w:rFonts w:eastAsia="Times New Roman"/>
          <w:b/>
          <w:sz w:val="24"/>
          <w:szCs w:val="24"/>
          <w:lang w:val="en-US" w:eastAsia="zh-CN"/>
        </w:rPr>
        <w:t>).</w:t>
      </w:r>
    </w:p>
    <w:tbl>
      <w:tblPr>
        <w:tblStyle w:val="TableGrid"/>
        <w:tblpPr w:leftFromText="141" w:rightFromText="141" w:vertAnchor="page" w:horzAnchor="margin" w:tblpXSpec="center" w:tblpY="1604"/>
        <w:tblW w:w="5252" w:type="pct"/>
        <w:tblLayout w:type="fixed"/>
        <w:tblLook w:val="04A0" w:firstRow="1" w:lastRow="0" w:firstColumn="1" w:lastColumn="0" w:noHBand="0" w:noVBand="1"/>
      </w:tblPr>
      <w:tblGrid>
        <w:gridCol w:w="2662"/>
        <w:gridCol w:w="991"/>
        <w:gridCol w:w="1279"/>
        <w:gridCol w:w="2271"/>
        <w:gridCol w:w="1564"/>
        <w:gridCol w:w="1141"/>
        <w:gridCol w:w="1138"/>
        <w:gridCol w:w="853"/>
        <w:gridCol w:w="533"/>
        <w:gridCol w:w="533"/>
        <w:gridCol w:w="533"/>
        <w:gridCol w:w="533"/>
        <w:gridCol w:w="6"/>
        <w:gridCol w:w="530"/>
        <w:gridCol w:w="533"/>
        <w:gridCol w:w="10"/>
        <w:gridCol w:w="524"/>
        <w:gridCol w:w="524"/>
      </w:tblGrid>
      <w:tr w:rsidR="00C859AD" w:rsidRPr="000B4CD7" w14:paraId="4D71DCC7" w14:textId="77777777" w:rsidTr="00C859AD">
        <w:tc>
          <w:tcPr>
            <w:tcW w:w="824" w:type="pct"/>
            <w:vMerge w:val="restart"/>
            <w:shd w:val="clear" w:color="auto" w:fill="548DD4" w:themeFill="text2" w:themeFillTint="99"/>
            <w:vAlign w:val="center"/>
          </w:tcPr>
          <w:p w14:paraId="6C39C4D3" w14:textId="77777777" w:rsidR="00C859AD" w:rsidRPr="008235A7" w:rsidRDefault="00C859AD" w:rsidP="00C859A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235A7">
              <w:rPr>
                <w:b/>
                <w:sz w:val="18"/>
                <w:szCs w:val="18"/>
                <w:lang w:val="en-US"/>
              </w:rPr>
              <w:t>ARTICLES</w:t>
            </w:r>
          </w:p>
        </w:tc>
        <w:tc>
          <w:tcPr>
            <w:tcW w:w="307" w:type="pct"/>
            <w:vMerge w:val="restart"/>
            <w:shd w:val="clear" w:color="auto" w:fill="548DD4" w:themeFill="text2" w:themeFillTint="99"/>
            <w:vAlign w:val="center"/>
          </w:tcPr>
          <w:p w14:paraId="7F40C54A" w14:textId="77777777" w:rsidR="00C859AD" w:rsidRPr="008235A7" w:rsidRDefault="00C859AD" w:rsidP="00C859A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235A7">
              <w:rPr>
                <w:b/>
                <w:sz w:val="18"/>
                <w:szCs w:val="18"/>
                <w:lang w:val="en-US"/>
              </w:rPr>
              <w:t>AUTHORS &amp; YEAR</w:t>
            </w:r>
          </w:p>
        </w:tc>
        <w:tc>
          <w:tcPr>
            <w:tcW w:w="1936" w:type="pct"/>
            <w:gridSpan w:val="4"/>
            <w:shd w:val="clear" w:color="auto" w:fill="548DD4" w:themeFill="text2" w:themeFillTint="99"/>
            <w:vAlign w:val="center"/>
          </w:tcPr>
          <w:p w14:paraId="72DDA4C9" w14:textId="77777777" w:rsidR="00C859AD" w:rsidRPr="008235A7" w:rsidRDefault="00C859AD" w:rsidP="00C859AD">
            <w:pPr>
              <w:jc w:val="center"/>
              <w:rPr>
                <w:b/>
                <w:sz w:val="18"/>
                <w:szCs w:val="18"/>
              </w:rPr>
            </w:pPr>
            <w:r w:rsidRPr="008235A7">
              <w:rPr>
                <w:b/>
                <w:sz w:val="18"/>
                <w:szCs w:val="18"/>
              </w:rPr>
              <w:t>STUDY’S CHARACTERISTICS</w:t>
            </w:r>
          </w:p>
        </w:tc>
        <w:tc>
          <w:tcPr>
            <w:tcW w:w="616" w:type="pct"/>
            <w:gridSpan w:val="2"/>
            <w:shd w:val="clear" w:color="auto" w:fill="548DD4" w:themeFill="text2" w:themeFillTint="99"/>
            <w:vAlign w:val="center"/>
          </w:tcPr>
          <w:p w14:paraId="3C07AB6E" w14:textId="77777777" w:rsidR="00C859AD" w:rsidRPr="008235A7" w:rsidRDefault="00C859AD" w:rsidP="00C859AD">
            <w:pPr>
              <w:jc w:val="center"/>
              <w:rPr>
                <w:b/>
                <w:sz w:val="18"/>
                <w:szCs w:val="18"/>
              </w:rPr>
            </w:pPr>
            <w:r w:rsidRPr="008235A7">
              <w:rPr>
                <w:b/>
                <w:sz w:val="18"/>
                <w:szCs w:val="18"/>
              </w:rPr>
              <w:t>TYPE OF MONITORING</w:t>
            </w:r>
          </w:p>
        </w:tc>
        <w:tc>
          <w:tcPr>
            <w:tcW w:w="330" w:type="pct"/>
            <w:gridSpan w:val="2"/>
            <w:shd w:val="clear" w:color="auto" w:fill="548DD4" w:themeFill="text2" w:themeFillTint="99"/>
            <w:vAlign w:val="center"/>
          </w:tcPr>
          <w:p w14:paraId="0D4870E8" w14:textId="77777777" w:rsidR="00C859AD" w:rsidRDefault="00C859AD" w:rsidP="00C859A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235A7">
              <w:rPr>
                <w:b/>
                <w:sz w:val="18"/>
                <w:szCs w:val="18"/>
                <w:lang w:val="en-US"/>
              </w:rPr>
              <w:t>WFNS</w:t>
            </w:r>
          </w:p>
          <w:p w14:paraId="2F2034DF" w14:textId="77777777" w:rsidR="00C859AD" w:rsidRPr="00BC2E0C" w:rsidRDefault="00C859AD" w:rsidP="00C859AD">
            <w:pPr>
              <w:jc w:val="center"/>
              <w:rPr>
                <w:sz w:val="18"/>
                <w:szCs w:val="18"/>
                <w:lang w:val="en-US"/>
              </w:rPr>
            </w:pPr>
            <w:r w:rsidRPr="00BC2E0C">
              <w:rPr>
                <w:sz w:val="18"/>
                <w:szCs w:val="18"/>
                <w:lang w:val="en-US"/>
              </w:rPr>
              <w:t>good grade (I-III)</w:t>
            </w:r>
          </w:p>
        </w:tc>
        <w:tc>
          <w:tcPr>
            <w:tcW w:w="331" w:type="pct"/>
            <w:gridSpan w:val="3"/>
            <w:shd w:val="clear" w:color="auto" w:fill="548DD4" w:themeFill="text2" w:themeFillTint="99"/>
            <w:vAlign w:val="center"/>
          </w:tcPr>
          <w:p w14:paraId="01991885" w14:textId="77777777" w:rsidR="00C859AD" w:rsidRDefault="00C859AD" w:rsidP="00C859A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235A7">
              <w:rPr>
                <w:b/>
                <w:sz w:val="18"/>
                <w:szCs w:val="18"/>
                <w:lang w:val="en-US"/>
              </w:rPr>
              <w:t>WFNS</w:t>
            </w:r>
          </w:p>
          <w:p w14:paraId="694E610F" w14:textId="77777777" w:rsidR="00C859AD" w:rsidRPr="00BC2E0C" w:rsidRDefault="00C859AD" w:rsidP="00C859AD">
            <w:pPr>
              <w:jc w:val="center"/>
              <w:rPr>
                <w:sz w:val="18"/>
                <w:szCs w:val="18"/>
                <w:lang w:val="en-US"/>
              </w:rPr>
            </w:pPr>
            <w:r w:rsidRPr="00BC2E0C">
              <w:rPr>
                <w:sz w:val="18"/>
                <w:szCs w:val="18"/>
                <w:lang w:val="en-US"/>
              </w:rPr>
              <w:t>poor grade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C2E0C">
              <w:rPr>
                <w:sz w:val="18"/>
                <w:szCs w:val="18"/>
                <w:lang w:val="en-US"/>
              </w:rPr>
              <w:t>(IV-V)</w:t>
            </w:r>
          </w:p>
        </w:tc>
        <w:tc>
          <w:tcPr>
            <w:tcW w:w="332" w:type="pct"/>
            <w:gridSpan w:val="3"/>
            <w:shd w:val="clear" w:color="auto" w:fill="548DD4" w:themeFill="text2" w:themeFillTint="99"/>
            <w:vAlign w:val="center"/>
          </w:tcPr>
          <w:p w14:paraId="7EEE65DF" w14:textId="77777777" w:rsidR="00C859AD" w:rsidRDefault="00C859AD" w:rsidP="00C859AD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8235A7">
              <w:rPr>
                <w:b/>
                <w:sz w:val="18"/>
                <w:szCs w:val="18"/>
                <w:lang w:val="en-US"/>
              </w:rPr>
              <w:t>mRS</w:t>
            </w:r>
            <w:proofErr w:type="spellEnd"/>
          </w:p>
          <w:p w14:paraId="1AC7171F" w14:textId="77777777" w:rsidR="00C859AD" w:rsidRPr="00BC2E0C" w:rsidRDefault="00C859AD" w:rsidP="00C859AD">
            <w:pPr>
              <w:jc w:val="center"/>
              <w:rPr>
                <w:sz w:val="18"/>
                <w:szCs w:val="18"/>
                <w:lang w:val="en-US"/>
              </w:rPr>
            </w:pPr>
            <w:r w:rsidRPr="00BC2E0C">
              <w:rPr>
                <w:sz w:val="18"/>
                <w:szCs w:val="18"/>
                <w:lang w:val="en-US"/>
              </w:rPr>
              <w:t>at 3 months</w:t>
            </w:r>
            <w:r>
              <w:rPr>
                <w:sz w:val="18"/>
                <w:szCs w:val="18"/>
                <w:lang w:val="en-US"/>
              </w:rPr>
              <w:t xml:space="preserve"> Favorable (0-3)</w:t>
            </w:r>
          </w:p>
        </w:tc>
        <w:tc>
          <w:tcPr>
            <w:tcW w:w="324" w:type="pct"/>
            <w:gridSpan w:val="2"/>
            <w:shd w:val="clear" w:color="auto" w:fill="548DD4" w:themeFill="text2" w:themeFillTint="99"/>
            <w:vAlign w:val="center"/>
          </w:tcPr>
          <w:p w14:paraId="62CEC485" w14:textId="77777777" w:rsidR="00C859AD" w:rsidRDefault="00C859AD" w:rsidP="00C859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71D31">
              <w:rPr>
                <w:b/>
                <w:bCs/>
                <w:sz w:val="18"/>
                <w:szCs w:val="18"/>
                <w:lang w:val="en-US"/>
              </w:rPr>
              <w:t>mRS</w:t>
            </w:r>
            <w:proofErr w:type="spellEnd"/>
          </w:p>
          <w:p w14:paraId="31560E5D" w14:textId="77777777" w:rsidR="00C859AD" w:rsidRPr="00BC2E0C" w:rsidRDefault="00C859AD" w:rsidP="00C859AD">
            <w:pPr>
              <w:jc w:val="center"/>
              <w:rPr>
                <w:sz w:val="18"/>
                <w:szCs w:val="18"/>
                <w:lang w:val="en-US"/>
              </w:rPr>
            </w:pPr>
            <w:r w:rsidRPr="00BC2E0C">
              <w:rPr>
                <w:sz w:val="18"/>
                <w:szCs w:val="18"/>
                <w:lang w:val="en-US"/>
              </w:rPr>
              <w:t>at 3 months</w:t>
            </w:r>
            <w:r>
              <w:rPr>
                <w:sz w:val="18"/>
                <w:szCs w:val="18"/>
                <w:lang w:val="en-US"/>
              </w:rPr>
              <w:t xml:space="preserve"> Poor (4-6)</w:t>
            </w:r>
          </w:p>
        </w:tc>
      </w:tr>
      <w:tr w:rsidR="00C859AD" w:rsidRPr="000B4CD7" w14:paraId="0E725158" w14:textId="77777777" w:rsidTr="00C859AD">
        <w:trPr>
          <w:trHeight w:val="510"/>
        </w:trPr>
        <w:tc>
          <w:tcPr>
            <w:tcW w:w="824" w:type="pct"/>
            <w:vMerge/>
            <w:shd w:val="clear" w:color="auto" w:fill="548DD4" w:themeFill="text2" w:themeFillTint="99"/>
          </w:tcPr>
          <w:p w14:paraId="242F93B7" w14:textId="77777777" w:rsidR="00C859AD" w:rsidRPr="003C04FA" w:rsidRDefault="00C859AD" w:rsidP="00C859AD">
            <w:pPr>
              <w:rPr>
                <w:lang w:val="en-US"/>
              </w:rPr>
            </w:pPr>
          </w:p>
        </w:tc>
        <w:tc>
          <w:tcPr>
            <w:tcW w:w="307" w:type="pct"/>
            <w:vMerge/>
            <w:shd w:val="clear" w:color="auto" w:fill="548DD4" w:themeFill="text2" w:themeFillTint="99"/>
          </w:tcPr>
          <w:p w14:paraId="504289A7" w14:textId="77777777" w:rsidR="00C859AD" w:rsidRPr="003C04FA" w:rsidRDefault="00C859AD" w:rsidP="00C859AD">
            <w:pPr>
              <w:rPr>
                <w:lang w:val="en-US"/>
              </w:rPr>
            </w:pPr>
          </w:p>
        </w:tc>
        <w:tc>
          <w:tcPr>
            <w:tcW w:w="396" w:type="pct"/>
            <w:shd w:val="clear" w:color="auto" w:fill="C6D9F1" w:themeFill="text2" w:themeFillTint="33"/>
            <w:vAlign w:val="center"/>
          </w:tcPr>
          <w:p w14:paraId="23A7B206" w14:textId="77777777" w:rsidR="00C859AD" w:rsidRPr="00AE13D1" w:rsidRDefault="00C859AD" w:rsidP="00C85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TYPOLOGY</w:t>
            </w:r>
          </w:p>
        </w:tc>
        <w:tc>
          <w:tcPr>
            <w:tcW w:w="703" w:type="pct"/>
            <w:shd w:val="clear" w:color="auto" w:fill="C6D9F1" w:themeFill="text2" w:themeFillTint="33"/>
            <w:vAlign w:val="center"/>
          </w:tcPr>
          <w:p w14:paraId="7365484C" w14:textId="77777777" w:rsidR="00C859AD" w:rsidRPr="00AE13D1" w:rsidRDefault="00C859AD" w:rsidP="00C85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AIM</w:t>
            </w:r>
          </w:p>
        </w:tc>
        <w:tc>
          <w:tcPr>
            <w:tcW w:w="484" w:type="pct"/>
            <w:shd w:val="clear" w:color="auto" w:fill="C6D9F1" w:themeFill="text2" w:themeFillTint="33"/>
            <w:vAlign w:val="center"/>
          </w:tcPr>
          <w:p w14:paraId="0F938DB0" w14:textId="77777777" w:rsidR="00C859AD" w:rsidRPr="00AE13D1" w:rsidRDefault="00C859AD" w:rsidP="00C85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PERIOD</w:t>
            </w:r>
          </w:p>
        </w:tc>
        <w:tc>
          <w:tcPr>
            <w:tcW w:w="353" w:type="pct"/>
            <w:shd w:val="clear" w:color="auto" w:fill="C6D9F1" w:themeFill="text2" w:themeFillTint="33"/>
            <w:vAlign w:val="center"/>
          </w:tcPr>
          <w:p w14:paraId="2AAF5901" w14:textId="77777777" w:rsidR="00C859AD" w:rsidRPr="00AE13D1" w:rsidRDefault="00C859AD" w:rsidP="00C85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NUMBER OF PATIENTS</w:t>
            </w:r>
          </w:p>
        </w:tc>
        <w:tc>
          <w:tcPr>
            <w:tcW w:w="352" w:type="pct"/>
            <w:shd w:val="clear" w:color="auto" w:fill="C6D9F1" w:themeFill="text2" w:themeFillTint="33"/>
            <w:vAlign w:val="center"/>
          </w:tcPr>
          <w:p w14:paraId="23F63A74" w14:textId="77777777" w:rsidR="00C859AD" w:rsidRPr="00AE13D1" w:rsidRDefault="00C859AD" w:rsidP="00C859AD">
            <w:pPr>
              <w:jc w:val="center"/>
              <w:rPr>
                <w:lang w:val="en-US"/>
              </w:rPr>
            </w:pPr>
            <w:r w:rsidRPr="00AE13D1">
              <w:rPr>
                <w:lang w:val="en-US"/>
              </w:rPr>
              <w:t>CG</w:t>
            </w:r>
          </w:p>
        </w:tc>
        <w:tc>
          <w:tcPr>
            <w:tcW w:w="264" w:type="pct"/>
            <w:shd w:val="clear" w:color="auto" w:fill="C6D9F1" w:themeFill="text2" w:themeFillTint="33"/>
            <w:vAlign w:val="center"/>
          </w:tcPr>
          <w:p w14:paraId="382D4BBC" w14:textId="77777777" w:rsidR="00C859AD" w:rsidRPr="00AE13D1" w:rsidRDefault="00C859AD" w:rsidP="00C859AD">
            <w:pPr>
              <w:jc w:val="center"/>
              <w:rPr>
                <w:lang w:val="en-US"/>
              </w:rPr>
            </w:pPr>
            <w:r w:rsidRPr="00AE13D1">
              <w:rPr>
                <w:lang w:val="en-US"/>
              </w:rPr>
              <w:t>IG</w:t>
            </w:r>
          </w:p>
        </w:tc>
        <w:tc>
          <w:tcPr>
            <w:tcW w:w="165" w:type="pct"/>
            <w:shd w:val="clear" w:color="auto" w:fill="C6D9F1" w:themeFill="text2" w:themeFillTint="33"/>
            <w:vAlign w:val="center"/>
          </w:tcPr>
          <w:p w14:paraId="3CBF2BBC" w14:textId="77777777" w:rsidR="00C859AD" w:rsidRPr="00AE13D1" w:rsidRDefault="00C859AD" w:rsidP="00C859AD">
            <w:pPr>
              <w:jc w:val="center"/>
              <w:rPr>
                <w:lang w:val="en-US"/>
              </w:rPr>
            </w:pPr>
            <w:r w:rsidRPr="00AE13D1">
              <w:rPr>
                <w:lang w:val="en-US"/>
              </w:rPr>
              <w:t>CG</w:t>
            </w:r>
          </w:p>
        </w:tc>
        <w:tc>
          <w:tcPr>
            <w:tcW w:w="165" w:type="pct"/>
            <w:shd w:val="clear" w:color="auto" w:fill="C6D9F1" w:themeFill="text2" w:themeFillTint="33"/>
            <w:vAlign w:val="center"/>
          </w:tcPr>
          <w:p w14:paraId="0CFDAD3B" w14:textId="77777777" w:rsidR="00C859AD" w:rsidRPr="00AE13D1" w:rsidRDefault="00C859AD" w:rsidP="00C859AD">
            <w:pPr>
              <w:jc w:val="center"/>
              <w:rPr>
                <w:lang w:val="en-US"/>
              </w:rPr>
            </w:pPr>
            <w:r w:rsidRPr="00AE13D1">
              <w:rPr>
                <w:lang w:val="en-US"/>
              </w:rPr>
              <w:t>IG</w:t>
            </w:r>
          </w:p>
        </w:tc>
        <w:tc>
          <w:tcPr>
            <w:tcW w:w="165" w:type="pct"/>
            <w:shd w:val="clear" w:color="auto" w:fill="C6D9F1" w:themeFill="text2" w:themeFillTint="33"/>
            <w:vAlign w:val="center"/>
          </w:tcPr>
          <w:p w14:paraId="7AEB736B" w14:textId="77777777" w:rsidR="00C859AD" w:rsidRPr="00AE13D1" w:rsidRDefault="00C859AD" w:rsidP="00C859AD">
            <w:pPr>
              <w:jc w:val="center"/>
              <w:rPr>
                <w:lang w:val="en-US"/>
              </w:rPr>
            </w:pPr>
            <w:r w:rsidRPr="00AE13D1">
              <w:rPr>
                <w:lang w:val="en-US"/>
              </w:rPr>
              <w:t>CG</w:t>
            </w:r>
          </w:p>
        </w:tc>
        <w:tc>
          <w:tcPr>
            <w:tcW w:w="165" w:type="pct"/>
            <w:shd w:val="clear" w:color="auto" w:fill="C6D9F1" w:themeFill="text2" w:themeFillTint="33"/>
            <w:vAlign w:val="center"/>
          </w:tcPr>
          <w:p w14:paraId="35B7B88C" w14:textId="77777777" w:rsidR="00C859AD" w:rsidRPr="00AE13D1" w:rsidRDefault="00C859AD" w:rsidP="00C859AD">
            <w:pPr>
              <w:jc w:val="center"/>
              <w:rPr>
                <w:lang w:val="en-US"/>
              </w:rPr>
            </w:pPr>
            <w:r w:rsidRPr="00AE13D1">
              <w:rPr>
                <w:lang w:val="en-US"/>
              </w:rPr>
              <w:t>IG</w:t>
            </w:r>
          </w:p>
        </w:tc>
        <w:tc>
          <w:tcPr>
            <w:tcW w:w="165" w:type="pct"/>
            <w:gridSpan w:val="2"/>
            <w:shd w:val="clear" w:color="auto" w:fill="C6D9F1" w:themeFill="text2" w:themeFillTint="33"/>
            <w:vAlign w:val="center"/>
          </w:tcPr>
          <w:p w14:paraId="642FA341" w14:textId="77777777" w:rsidR="00C859AD" w:rsidRPr="00AE13D1" w:rsidRDefault="00C859AD" w:rsidP="00C859AD">
            <w:pPr>
              <w:jc w:val="center"/>
              <w:rPr>
                <w:lang w:val="en-US"/>
              </w:rPr>
            </w:pPr>
            <w:r w:rsidRPr="00AE13D1">
              <w:rPr>
                <w:lang w:val="en-US"/>
              </w:rPr>
              <w:t>CG</w:t>
            </w:r>
          </w:p>
        </w:tc>
        <w:tc>
          <w:tcPr>
            <w:tcW w:w="165" w:type="pct"/>
            <w:shd w:val="clear" w:color="auto" w:fill="C6D9F1" w:themeFill="text2" w:themeFillTint="33"/>
            <w:vAlign w:val="center"/>
          </w:tcPr>
          <w:p w14:paraId="1296F0FF" w14:textId="77777777" w:rsidR="00C859AD" w:rsidRPr="00AE13D1" w:rsidRDefault="00C859AD" w:rsidP="00C859AD">
            <w:pPr>
              <w:jc w:val="center"/>
              <w:rPr>
                <w:lang w:val="en-US"/>
              </w:rPr>
            </w:pPr>
            <w:r w:rsidRPr="00AE13D1">
              <w:rPr>
                <w:lang w:val="en-US"/>
              </w:rPr>
              <w:t>IG</w:t>
            </w:r>
          </w:p>
        </w:tc>
        <w:tc>
          <w:tcPr>
            <w:tcW w:w="165" w:type="pct"/>
            <w:gridSpan w:val="2"/>
            <w:shd w:val="clear" w:color="auto" w:fill="C6D9F1" w:themeFill="text2" w:themeFillTint="33"/>
            <w:vAlign w:val="center"/>
          </w:tcPr>
          <w:p w14:paraId="43A82E31" w14:textId="77777777" w:rsidR="00C859AD" w:rsidRPr="00AE13D1" w:rsidRDefault="00C859AD" w:rsidP="00C859AD">
            <w:pPr>
              <w:jc w:val="center"/>
              <w:rPr>
                <w:lang w:val="en-US"/>
              </w:rPr>
            </w:pPr>
            <w:r w:rsidRPr="00AE13D1">
              <w:rPr>
                <w:lang w:val="en-US"/>
              </w:rPr>
              <w:t>CG</w:t>
            </w:r>
          </w:p>
        </w:tc>
        <w:tc>
          <w:tcPr>
            <w:tcW w:w="165" w:type="pct"/>
            <w:shd w:val="clear" w:color="auto" w:fill="C6D9F1" w:themeFill="text2" w:themeFillTint="33"/>
            <w:vAlign w:val="center"/>
          </w:tcPr>
          <w:p w14:paraId="2600F98D" w14:textId="77777777" w:rsidR="00C859AD" w:rsidRPr="00AE13D1" w:rsidRDefault="00C859AD" w:rsidP="00C859AD">
            <w:pPr>
              <w:jc w:val="center"/>
              <w:rPr>
                <w:lang w:val="en-US"/>
              </w:rPr>
            </w:pPr>
            <w:r w:rsidRPr="00AE13D1">
              <w:rPr>
                <w:lang w:val="en-US"/>
              </w:rPr>
              <w:t>IG</w:t>
            </w:r>
          </w:p>
        </w:tc>
      </w:tr>
      <w:tr w:rsidR="00C859AD" w:rsidRPr="003C04FA" w14:paraId="0645E28B" w14:textId="77777777" w:rsidTr="00C859AD">
        <w:tc>
          <w:tcPr>
            <w:tcW w:w="824" w:type="pct"/>
          </w:tcPr>
          <w:p w14:paraId="52A75C82" w14:textId="77777777" w:rsidR="00C859AD" w:rsidRPr="003C04FA" w:rsidRDefault="00C859AD" w:rsidP="00C859AD">
            <w:pPr>
              <w:rPr>
                <w:lang w:val="en-US"/>
              </w:rPr>
            </w:pPr>
            <w:r w:rsidRPr="00A23AF1">
              <w:rPr>
                <w:lang w:val="en-US"/>
              </w:rPr>
              <w:t xml:space="preserve">Performance of Bedside </w:t>
            </w:r>
            <w:proofErr w:type="spellStart"/>
            <w:r w:rsidRPr="00A23AF1">
              <w:rPr>
                <w:lang w:val="en-US"/>
              </w:rPr>
              <w:t>Transpulmonary</w:t>
            </w:r>
            <w:proofErr w:type="spellEnd"/>
            <w:r w:rsidRPr="00A23AF1">
              <w:rPr>
                <w:lang w:val="en-US"/>
              </w:rPr>
              <w:t xml:space="preserve"> </w:t>
            </w:r>
            <w:proofErr w:type="spellStart"/>
            <w:r w:rsidRPr="00A23AF1">
              <w:rPr>
                <w:lang w:val="en-US"/>
              </w:rPr>
              <w:t>Thermodiluition</w:t>
            </w:r>
            <w:proofErr w:type="spellEnd"/>
            <w:r w:rsidRPr="00A23AF1">
              <w:rPr>
                <w:lang w:val="en-US"/>
              </w:rPr>
              <w:t xml:space="preserve"> Monitoring for Goal-Directed Hemodynamic Management after </w:t>
            </w:r>
            <w:proofErr w:type="spellStart"/>
            <w:r w:rsidRPr="00A23AF1">
              <w:rPr>
                <w:lang w:val="en-US"/>
              </w:rPr>
              <w:t>Subarchnoid</w:t>
            </w:r>
            <w:proofErr w:type="spellEnd"/>
            <w:r w:rsidRPr="00A23AF1">
              <w:rPr>
                <w:lang w:val="en-US"/>
              </w:rPr>
              <w:t xml:space="preserve"> Hemorrhage</w:t>
            </w:r>
          </w:p>
        </w:tc>
        <w:tc>
          <w:tcPr>
            <w:tcW w:w="307" w:type="pct"/>
          </w:tcPr>
          <w:p w14:paraId="7994C243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Mutoh et al. 2009</w:t>
            </w:r>
          </w:p>
        </w:tc>
        <w:tc>
          <w:tcPr>
            <w:tcW w:w="396" w:type="pct"/>
          </w:tcPr>
          <w:p w14:paraId="5AED78C7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Randomized clinical trial</w:t>
            </w:r>
          </w:p>
        </w:tc>
        <w:tc>
          <w:tcPr>
            <w:tcW w:w="703" w:type="pct"/>
          </w:tcPr>
          <w:p w14:paraId="633F4E9F" w14:textId="77777777" w:rsidR="00C859AD" w:rsidRPr="003C04FA" w:rsidRDefault="00C859AD" w:rsidP="00C859AD">
            <w:pPr>
              <w:rPr>
                <w:lang w:val="en-US"/>
              </w:rPr>
            </w:pPr>
            <w:r w:rsidRPr="002B3B24">
              <w:rPr>
                <w:lang w:val="en-US"/>
              </w:rPr>
              <w:t xml:space="preserve">Validate the usefulness of goal-directed hemodynamic management using the </w:t>
            </w:r>
            <w:proofErr w:type="spellStart"/>
            <w:r w:rsidRPr="002B3B24">
              <w:rPr>
                <w:lang w:val="en-US"/>
              </w:rPr>
              <w:t>PiCCO</w:t>
            </w:r>
            <w:proofErr w:type="spellEnd"/>
            <w:r w:rsidRPr="002B3B24">
              <w:rPr>
                <w:lang w:val="en-US"/>
              </w:rPr>
              <w:t xml:space="preserve"> system compared with the conventional fluid management protocol</w:t>
            </w:r>
          </w:p>
        </w:tc>
        <w:tc>
          <w:tcPr>
            <w:tcW w:w="484" w:type="pct"/>
          </w:tcPr>
          <w:p w14:paraId="0EB80BEC" w14:textId="77777777" w:rsidR="00C859AD" w:rsidRPr="003C04FA" w:rsidRDefault="00C859AD" w:rsidP="00C859AD">
            <w:pPr>
              <w:rPr>
                <w:lang w:val="en-US"/>
              </w:rPr>
            </w:pPr>
            <w:r w:rsidRPr="003C2205">
              <w:rPr>
                <w:lang w:val="en-US"/>
              </w:rPr>
              <w:t>within 24 h from SAH onset up to day 14</w:t>
            </w:r>
          </w:p>
        </w:tc>
        <w:tc>
          <w:tcPr>
            <w:tcW w:w="353" w:type="pct"/>
          </w:tcPr>
          <w:p w14:paraId="45AE0E43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100 (50 in CG; 50 in IG)</w:t>
            </w:r>
          </w:p>
        </w:tc>
        <w:tc>
          <w:tcPr>
            <w:tcW w:w="352" w:type="pct"/>
          </w:tcPr>
          <w:p w14:paraId="4165FCA7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CVP/Fluid intake (Swan-Ganz placement only if DCI)</w:t>
            </w:r>
          </w:p>
        </w:tc>
        <w:tc>
          <w:tcPr>
            <w:tcW w:w="264" w:type="pct"/>
          </w:tcPr>
          <w:p w14:paraId="009A641F" w14:textId="77777777" w:rsidR="00C859AD" w:rsidRPr="003C04FA" w:rsidRDefault="00C859AD" w:rsidP="00C859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PiCCO</w:t>
            </w:r>
            <w:proofErr w:type="spellEnd"/>
          </w:p>
        </w:tc>
        <w:tc>
          <w:tcPr>
            <w:tcW w:w="165" w:type="pct"/>
          </w:tcPr>
          <w:p w14:paraId="3DFF9762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65" w:type="pct"/>
          </w:tcPr>
          <w:p w14:paraId="115F6532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65" w:type="pct"/>
          </w:tcPr>
          <w:p w14:paraId="13B9DEE5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65" w:type="pct"/>
          </w:tcPr>
          <w:p w14:paraId="5CA8C5B7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65" w:type="pct"/>
            <w:gridSpan w:val="2"/>
          </w:tcPr>
          <w:p w14:paraId="51B5E51B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65" w:type="pct"/>
          </w:tcPr>
          <w:p w14:paraId="4A231EAA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65" w:type="pct"/>
            <w:gridSpan w:val="2"/>
          </w:tcPr>
          <w:p w14:paraId="405C4224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65" w:type="pct"/>
          </w:tcPr>
          <w:p w14:paraId="2E622583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C859AD" w:rsidRPr="003C04FA" w14:paraId="72568A8A" w14:textId="77777777" w:rsidTr="00C859AD">
        <w:tc>
          <w:tcPr>
            <w:tcW w:w="824" w:type="pct"/>
          </w:tcPr>
          <w:p w14:paraId="42109AB4" w14:textId="77777777" w:rsidR="00C859AD" w:rsidRPr="003C04FA" w:rsidRDefault="00C859AD" w:rsidP="00C859AD">
            <w:pPr>
              <w:rPr>
                <w:lang w:val="en-US"/>
              </w:rPr>
            </w:pPr>
            <w:proofErr w:type="spellStart"/>
            <w:r w:rsidRPr="00A23AF1">
              <w:rPr>
                <w:lang w:val="en-US"/>
              </w:rPr>
              <w:t>Performarnce</w:t>
            </w:r>
            <w:proofErr w:type="spellEnd"/>
            <w:r w:rsidRPr="00A23AF1">
              <w:rPr>
                <w:lang w:val="en-US"/>
              </w:rPr>
              <w:t xml:space="preserve"> of Thir</w:t>
            </w:r>
            <w:r>
              <w:rPr>
                <w:lang w:val="en-US"/>
              </w:rPr>
              <w:t>d</w:t>
            </w:r>
            <w:r w:rsidRPr="00A23AF1">
              <w:rPr>
                <w:lang w:val="en-US"/>
              </w:rPr>
              <w:t xml:space="preserve">-generation </w:t>
            </w:r>
            <w:proofErr w:type="spellStart"/>
            <w:r w:rsidRPr="00A23AF1">
              <w:rPr>
                <w:lang w:val="en-US"/>
              </w:rPr>
              <w:t>FloTrac</w:t>
            </w:r>
            <w:proofErr w:type="spellEnd"/>
            <w:r w:rsidRPr="00A23AF1">
              <w:rPr>
                <w:lang w:val="en-US"/>
              </w:rPr>
              <w:t>/</w:t>
            </w:r>
            <w:proofErr w:type="spellStart"/>
            <w:r w:rsidRPr="00A23AF1">
              <w:rPr>
                <w:lang w:val="en-US"/>
              </w:rPr>
              <w:t>Vigileo</w:t>
            </w:r>
            <w:proofErr w:type="spellEnd"/>
            <w:r w:rsidRPr="00A23AF1">
              <w:rPr>
                <w:lang w:val="en-US"/>
              </w:rPr>
              <w:t xml:space="preserve"> system during </w:t>
            </w:r>
            <w:proofErr w:type="spellStart"/>
            <w:r w:rsidRPr="00A23AF1">
              <w:rPr>
                <w:lang w:val="en-US"/>
              </w:rPr>
              <w:t>hyperdynamic</w:t>
            </w:r>
            <w:proofErr w:type="spellEnd"/>
            <w:r w:rsidRPr="00A23AF1">
              <w:rPr>
                <w:lang w:val="en-US"/>
              </w:rPr>
              <w:t xml:space="preserve"> therapy for delayed cerebral ischemia after </w:t>
            </w:r>
            <w:proofErr w:type="spellStart"/>
            <w:r w:rsidRPr="00A23AF1">
              <w:rPr>
                <w:lang w:val="en-US"/>
              </w:rPr>
              <w:t>subarchnoid</w:t>
            </w:r>
            <w:proofErr w:type="spellEnd"/>
            <w:r w:rsidRPr="00A23AF1">
              <w:rPr>
                <w:lang w:val="en-US"/>
              </w:rPr>
              <w:t xml:space="preserve"> hemorrhage</w:t>
            </w:r>
          </w:p>
        </w:tc>
        <w:tc>
          <w:tcPr>
            <w:tcW w:w="307" w:type="pct"/>
          </w:tcPr>
          <w:p w14:paraId="120BCBAD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Mutoh et al. 2012</w:t>
            </w:r>
          </w:p>
        </w:tc>
        <w:tc>
          <w:tcPr>
            <w:tcW w:w="396" w:type="pct"/>
          </w:tcPr>
          <w:p w14:paraId="69916EFB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Pilot clinical trial</w:t>
            </w:r>
          </w:p>
        </w:tc>
        <w:tc>
          <w:tcPr>
            <w:tcW w:w="703" w:type="pct"/>
          </w:tcPr>
          <w:p w14:paraId="0B5B89CC" w14:textId="77777777" w:rsidR="00C859AD" w:rsidRPr="003C04FA" w:rsidRDefault="00C859AD" w:rsidP="00C859AD">
            <w:pPr>
              <w:rPr>
                <w:lang w:val="en-US"/>
              </w:rPr>
            </w:pPr>
            <w:r w:rsidRPr="002B3B24">
              <w:rPr>
                <w:lang w:val="en-US"/>
              </w:rPr>
              <w:t>Investigate the reliability of the refined third</w:t>
            </w:r>
            <w:r>
              <w:rPr>
                <w:lang w:val="en-US"/>
              </w:rPr>
              <w:t xml:space="preserve"> </w:t>
            </w:r>
            <w:r w:rsidRPr="002B3B24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2B3B24">
              <w:rPr>
                <w:lang w:val="en-US"/>
              </w:rPr>
              <w:t xml:space="preserve">generation </w:t>
            </w:r>
            <w:proofErr w:type="spellStart"/>
            <w:r w:rsidRPr="002B3B24">
              <w:rPr>
                <w:lang w:val="en-US"/>
              </w:rPr>
              <w:t>FloTrac</w:t>
            </w:r>
            <w:proofErr w:type="spellEnd"/>
            <w:r w:rsidRPr="002B3B24">
              <w:rPr>
                <w:lang w:val="en-US"/>
              </w:rPr>
              <w:t>/</w:t>
            </w:r>
            <w:proofErr w:type="spellStart"/>
            <w:r w:rsidRPr="002B3B24">
              <w:rPr>
                <w:lang w:val="en-US"/>
              </w:rPr>
              <w:t>Vigileo</w:t>
            </w:r>
            <w:proofErr w:type="spellEnd"/>
            <w:r w:rsidRPr="002B3B24">
              <w:rPr>
                <w:lang w:val="en-US"/>
              </w:rPr>
              <w:t xml:space="preserve"> system during </w:t>
            </w:r>
            <w:proofErr w:type="spellStart"/>
            <w:r w:rsidRPr="002B3B24">
              <w:rPr>
                <w:lang w:val="en-US"/>
              </w:rPr>
              <w:t>hyperdynamic</w:t>
            </w:r>
            <w:proofErr w:type="spellEnd"/>
            <w:r w:rsidRPr="002B3B24">
              <w:rPr>
                <w:lang w:val="en-US"/>
              </w:rPr>
              <w:t xml:space="preserve"> therapy for reversing DCI compared with TPT</w:t>
            </w:r>
          </w:p>
        </w:tc>
        <w:tc>
          <w:tcPr>
            <w:tcW w:w="484" w:type="pct"/>
          </w:tcPr>
          <w:p w14:paraId="51C21F31" w14:textId="77777777" w:rsidR="00C859AD" w:rsidRPr="003C04FA" w:rsidRDefault="00C859AD" w:rsidP="00C859AD">
            <w:pPr>
              <w:rPr>
                <w:lang w:val="en-US"/>
              </w:rPr>
            </w:pPr>
            <w:r w:rsidRPr="003C2205">
              <w:rPr>
                <w:lang w:val="en-US"/>
              </w:rPr>
              <w:t>within 24 h from SAH onset up to day 14</w:t>
            </w:r>
          </w:p>
        </w:tc>
        <w:tc>
          <w:tcPr>
            <w:tcW w:w="353" w:type="pct"/>
          </w:tcPr>
          <w:p w14:paraId="1F336A9A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48 (24 in CG; 24 in IG)</w:t>
            </w:r>
          </w:p>
        </w:tc>
        <w:tc>
          <w:tcPr>
            <w:tcW w:w="352" w:type="pct"/>
          </w:tcPr>
          <w:p w14:paraId="128D5A95" w14:textId="77777777" w:rsidR="00C859AD" w:rsidRPr="003C04FA" w:rsidRDefault="00C859AD" w:rsidP="00C859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FloTrac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Vigileo</w:t>
            </w:r>
            <w:proofErr w:type="spellEnd"/>
          </w:p>
        </w:tc>
        <w:tc>
          <w:tcPr>
            <w:tcW w:w="264" w:type="pct"/>
          </w:tcPr>
          <w:p w14:paraId="53D8C84A" w14:textId="77777777" w:rsidR="00C859AD" w:rsidRPr="003C04FA" w:rsidRDefault="00C859AD" w:rsidP="00C859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PiCCO</w:t>
            </w:r>
            <w:proofErr w:type="spellEnd"/>
          </w:p>
        </w:tc>
        <w:tc>
          <w:tcPr>
            <w:tcW w:w="165" w:type="pct"/>
          </w:tcPr>
          <w:p w14:paraId="3E88A7A2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5" w:type="pct"/>
          </w:tcPr>
          <w:p w14:paraId="1B93C925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65" w:type="pct"/>
          </w:tcPr>
          <w:p w14:paraId="0F985B5F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5" w:type="pct"/>
          </w:tcPr>
          <w:p w14:paraId="62F61790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5" w:type="pct"/>
            <w:gridSpan w:val="2"/>
          </w:tcPr>
          <w:p w14:paraId="15F2D72A" w14:textId="77777777" w:rsidR="00C859AD" w:rsidRPr="003C04FA" w:rsidRDefault="00C859AD" w:rsidP="00C859AD">
            <w:pPr>
              <w:rPr>
                <w:lang w:val="en-US"/>
              </w:rPr>
            </w:pPr>
          </w:p>
        </w:tc>
        <w:tc>
          <w:tcPr>
            <w:tcW w:w="165" w:type="pct"/>
          </w:tcPr>
          <w:p w14:paraId="203536A8" w14:textId="77777777" w:rsidR="00C859AD" w:rsidRPr="003C04FA" w:rsidRDefault="00C859AD" w:rsidP="00C859AD">
            <w:pPr>
              <w:rPr>
                <w:lang w:val="en-US"/>
              </w:rPr>
            </w:pPr>
          </w:p>
        </w:tc>
        <w:tc>
          <w:tcPr>
            <w:tcW w:w="165" w:type="pct"/>
            <w:gridSpan w:val="2"/>
          </w:tcPr>
          <w:p w14:paraId="347EA10D" w14:textId="77777777" w:rsidR="00C859AD" w:rsidRPr="003C04FA" w:rsidRDefault="00C859AD" w:rsidP="00C859AD">
            <w:pPr>
              <w:rPr>
                <w:lang w:val="en-US"/>
              </w:rPr>
            </w:pPr>
          </w:p>
        </w:tc>
        <w:tc>
          <w:tcPr>
            <w:tcW w:w="165" w:type="pct"/>
          </w:tcPr>
          <w:p w14:paraId="78F53747" w14:textId="77777777" w:rsidR="00C859AD" w:rsidRPr="003C04FA" w:rsidRDefault="00C859AD" w:rsidP="00C859AD">
            <w:pPr>
              <w:rPr>
                <w:lang w:val="en-US"/>
              </w:rPr>
            </w:pPr>
          </w:p>
        </w:tc>
      </w:tr>
      <w:tr w:rsidR="00C859AD" w:rsidRPr="003C04FA" w14:paraId="606DE655" w14:textId="77777777" w:rsidTr="00C859AD">
        <w:tc>
          <w:tcPr>
            <w:tcW w:w="824" w:type="pct"/>
          </w:tcPr>
          <w:p w14:paraId="7D0DB1C3" w14:textId="77777777" w:rsidR="00C859AD" w:rsidRPr="003C04FA" w:rsidRDefault="00C859AD" w:rsidP="00C859AD">
            <w:pPr>
              <w:rPr>
                <w:lang w:val="en-US"/>
              </w:rPr>
            </w:pPr>
            <w:r w:rsidRPr="00A23AF1">
              <w:rPr>
                <w:lang w:val="en-US"/>
              </w:rPr>
              <w:t xml:space="preserve">Blood Volume measurement to guide fluid therapy after aneurysmal </w:t>
            </w:r>
            <w:proofErr w:type="spellStart"/>
            <w:r w:rsidRPr="00A23AF1">
              <w:rPr>
                <w:lang w:val="en-US"/>
              </w:rPr>
              <w:t>subarchnoid</w:t>
            </w:r>
            <w:proofErr w:type="spellEnd"/>
            <w:r w:rsidRPr="00A23AF1">
              <w:rPr>
                <w:lang w:val="en-US"/>
              </w:rPr>
              <w:t xml:space="preserve"> hemorrhage</w:t>
            </w:r>
          </w:p>
        </w:tc>
        <w:tc>
          <w:tcPr>
            <w:tcW w:w="307" w:type="pct"/>
          </w:tcPr>
          <w:p w14:paraId="116979C2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Hoff et al. 2008</w:t>
            </w:r>
          </w:p>
        </w:tc>
        <w:tc>
          <w:tcPr>
            <w:tcW w:w="396" w:type="pct"/>
          </w:tcPr>
          <w:p w14:paraId="1670BAF5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Randomized clinical trial</w:t>
            </w:r>
          </w:p>
        </w:tc>
        <w:tc>
          <w:tcPr>
            <w:tcW w:w="703" w:type="pct"/>
          </w:tcPr>
          <w:p w14:paraId="7DC0F44F" w14:textId="77777777" w:rsidR="00C859AD" w:rsidRPr="003C04FA" w:rsidRDefault="00C859AD" w:rsidP="00C859AD">
            <w:pPr>
              <w:rPr>
                <w:lang w:val="en-US"/>
              </w:rPr>
            </w:pPr>
            <w:r w:rsidRPr="002B3B24">
              <w:rPr>
                <w:lang w:val="en-US"/>
              </w:rPr>
              <w:t>To assess whether fluid management guided by daily measurements of blood volume results in less hypovolemia after SAH conventional fluid balance guided fluid therapy.</w:t>
            </w:r>
          </w:p>
        </w:tc>
        <w:tc>
          <w:tcPr>
            <w:tcW w:w="484" w:type="pct"/>
          </w:tcPr>
          <w:p w14:paraId="6E697A73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within 72 h from SAH onset up to day 10</w:t>
            </w:r>
          </w:p>
        </w:tc>
        <w:tc>
          <w:tcPr>
            <w:tcW w:w="353" w:type="pct"/>
          </w:tcPr>
          <w:p w14:paraId="5F8B8270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102 (48 in CG; 54 in IG)</w:t>
            </w:r>
          </w:p>
        </w:tc>
        <w:tc>
          <w:tcPr>
            <w:tcW w:w="352" w:type="pct"/>
          </w:tcPr>
          <w:p w14:paraId="0617FBDA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Conventional management</w:t>
            </w:r>
          </w:p>
        </w:tc>
        <w:tc>
          <w:tcPr>
            <w:tcW w:w="264" w:type="pct"/>
          </w:tcPr>
          <w:p w14:paraId="612582A8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PDD</w:t>
            </w:r>
          </w:p>
        </w:tc>
        <w:tc>
          <w:tcPr>
            <w:tcW w:w="165" w:type="pct"/>
          </w:tcPr>
          <w:p w14:paraId="7712442A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65" w:type="pct"/>
          </w:tcPr>
          <w:p w14:paraId="12CDF6FF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65" w:type="pct"/>
          </w:tcPr>
          <w:p w14:paraId="0289524F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65" w:type="pct"/>
          </w:tcPr>
          <w:p w14:paraId="6927409E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5" w:type="pct"/>
            <w:gridSpan w:val="2"/>
          </w:tcPr>
          <w:p w14:paraId="21E6D5C7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65" w:type="pct"/>
          </w:tcPr>
          <w:p w14:paraId="2FA3FEBF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65" w:type="pct"/>
            <w:gridSpan w:val="2"/>
          </w:tcPr>
          <w:p w14:paraId="4170BBDB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65" w:type="pct"/>
          </w:tcPr>
          <w:p w14:paraId="1CE38B90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C859AD" w:rsidRPr="003C04FA" w14:paraId="34B201B8" w14:textId="77777777" w:rsidTr="00C859AD">
        <w:tc>
          <w:tcPr>
            <w:tcW w:w="824" w:type="pct"/>
          </w:tcPr>
          <w:p w14:paraId="732A2E9B" w14:textId="77777777" w:rsidR="00C859AD" w:rsidRPr="003C04FA" w:rsidRDefault="00C859AD" w:rsidP="00C859AD">
            <w:pPr>
              <w:rPr>
                <w:lang w:val="en-US"/>
              </w:rPr>
            </w:pPr>
            <w:r w:rsidRPr="00A23AF1">
              <w:rPr>
                <w:lang w:val="en-US"/>
              </w:rPr>
              <w:t>Pulmonary edema and blood volume after aneurysmal subarachnoid hemorrhage: a prospective observational study.</w:t>
            </w:r>
          </w:p>
        </w:tc>
        <w:tc>
          <w:tcPr>
            <w:tcW w:w="307" w:type="pct"/>
          </w:tcPr>
          <w:p w14:paraId="344AE772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Hoff et al. 2010</w:t>
            </w:r>
          </w:p>
        </w:tc>
        <w:tc>
          <w:tcPr>
            <w:tcW w:w="396" w:type="pct"/>
          </w:tcPr>
          <w:p w14:paraId="389DD310" w14:textId="788B1648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Prospective observational study (</w:t>
            </w:r>
            <w:proofErr w:type="spellStart"/>
            <w:r>
              <w:rPr>
                <w:lang w:val="en-US"/>
              </w:rPr>
              <w:t>Optica</w:t>
            </w:r>
            <w:proofErr w:type="spellEnd"/>
            <w:r>
              <w:rPr>
                <w:lang w:val="en-US"/>
              </w:rPr>
              <w:t xml:space="preserve"> sub-study)</w:t>
            </w:r>
          </w:p>
        </w:tc>
        <w:tc>
          <w:tcPr>
            <w:tcW w:w="703" w:type="pct"/>
          </w:tcPr>
          <w:p w14:paraId="19B6CDB4" w14:textId="77777777" w:rsidR="00C859AD" w:rsidRPr="003C04FA" w:rsidRDefault="00C859AD" w:rsidP="00C859AD">
            <w:pPr>
              <w:rPr>
                <w:lang w:val="en-US"/>
              </w:rPr>
            </w:pPr>
            <w:r w:rsidRPr="002B3B24">
              <w:rPr>
                <w:lang w:val="en-US"/>
              </w:rPr>
              <w:t xml:space="preserve">To assess intravascular volume in patients after SAH and compared it between patients in whom PED did </w:t>
            </w:r>
            <w:proofErr w:type="spellStart"/>
            <w:r w:rsidRPr="002B3B24">
              <w:rPr>
                <w:lang w:val="en-US"/>
              </w:rPr>
              <w:t>o</w:t>
            </w:r>
            <w:proofErr w:type="spellEnd"/>
            <w:r w:rsidRPr="002B3B24">
              <w:rPr>
                <w:lang w:val="en-US"/>
              </w:rPr>
              <w:t xml:space="preserve"> did not develop.</w:t>
            </w:r>
          </w:p>
        </w:tc>
        <w:tc>
          <w:tcPr>
            <w:tcW w:w="484" w:type="pct"/>
          </w:tcPr>
          <w:p w14:paraId="14FE3169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within 72 h from SAH onset up to day 10</w:t>
            </w:r>
          </w:p>
        </w:tc>
        <w:tc>
          <w:tcPr>
            <w:tcW w:w="353" w:type="pct"/>
          </w:tcPr>
          <w:p w14:paraId="76BA3367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102 (48 in CG; 54 in IG)</w:t>
            </w:r>
          </w:p>
        </w:tc>
        <w:tc>
          <w:tcPr>
            <w:tcW w:w="352" w:type="pct"/>
          </w:tcPr>
          <w:p w14:paraId="6052E157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Conventional management</w:t>
            </w:r>
          </w:p>
        </w:tc>
        <w:tc>
          <w:tcPr>
            <w:tcW w:w="264" w:type="pct"/>
          </w:tcPr>
          <w:p w14:paraId="669BA83C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PDD</w:t>
            </w:r>
          </w:p>
        </w:tc>
        <w:tc>
          <w:tcPr>
            <w:tcW w:w="165" w:type="pct"/>
          </w:tcPr>
          <w:p w14:paraId="7C91F9A2" w14:textId="77777777" w:rsidR="00C859AD" w:rsidRPr="003C04FA" w:rsidRDefault="00C859AD" w:rsidP="00C859AD">
            <w:pPr>
              <w:rPr>
                <w:lang w:val="en-US"/>
              </w:rPr>
            </w:pPr>
          </w:p>
        </w:tc>
        <w:tc>
          <w:tcPr>
            <w:tcW w:w="165" w:type="pct"/>
          </w:tcPr>
          <w:p w14:paraId="0722B504" w14:textId="77777777" w:rsidR="00C859AD" w:rsidRPr="003C04FA" w:rsidRDefault="00C859AD" w:rsidP="00C859AD">
            <w:pPr>
              <w:rPr>
                <w:lang w:val="en-US"/>
              </w:rPr>
            </w:pPr>
          </w:p>
        </w:tc>
        <w:tc>
          <w:tcPr>
            <w:tcW w:w="165" w:type="pct"/>
          </w:tcPr>
          <w:p w14:paraId="598702FD" w14:textId="77777777" w:rsidR="00C859AD" w:rsidRPr="003C04FA" w:rsidRDefault="00C859AD" w:rsidP="00C859AD">
            <w:pPr>
              <w:rPr>
                <w:lang w:val="en-US"/>
              </w:rPr>
            </w:pPr>
          </w:p>
        </w:tc>
        <w:tc>
          <w:tcPr>
            <w:tcW w:w="165" w:type="pct"/>
          </w:tcPr>
          <w:p w14:paraId="2B8A8804" w14:textId="77777777" w:rsidR="00C859AD" w:rsidRPr="003C04FA" w:rsidRDefault="00C859AD" w:rsidP="00C859AD">
            <w:pPr>
              <w:rPr>
                <w:lang w:val="en-US"/>
              </w:rPr>
            </w:pPr>
          </w:p>
        </w:tc>
        <w:tc>
          <w:tcPr>
            <w:tcW w:w="165" w:type="pct"/>
            <w:gridSpan w:val="2"/>
          </w:tcPr>
          <w:p w14:paraId="7C90CEB3" w14:textId="77777777" w:rsidR="00C859AD" w:rsidRPr="003C04FA" w:rsidRDefault="00C859AD" w:rsidP="00C859AD">
            <w:pPr>
              <w:rPr>
                <w:lang w:val="en-US"/>
              </w:rPr>
            </w:pPr>
          </w:p>
        </w:tc>
        <w:tc>
          <w:tcPr>
            <w:tcW w:w="165" w:type="pct"/>
          </w:tcPr>
          <w:p w14:paraId="5A56B3A5" w14:textId="77777777" w:rsidR="00C859AD" w:rsidRPr="003C04FA" w:rsidRDefault="00C859AD" w:rsidP="00C859AD">
            <w:pPr>
              <w:rPr>
                <w:lang w:val="en-US"/>
              </w:rPr>
            </w:pPr>
          </w:p>
        </w:tc>
        <w:tc>
          <w:tcPr>
            <w:tcW w:w="165" w:type="pct"/>
            <w:gridSpan w:val="2"/>
          </w:tcPr>
          <w:p w14:paraId="4B369C47" w14:textId="77777777" w:rsidR="00C859AD" w:rsidRPr="003C04FA" w:rsidRDefault="00C859AD" w:rsidP="00C859AD">
            <w:pPr>
              <w:rPr>
                <w:lang w:val="en-US"/>
              </w:rPr>
            </w:pPr>
          </w:p>
        </w:tc>
        <w:tc>
          <w:tcPr>
            <w:tcW w:w="165" w:type="pct"/>
          </w:tcPr>
          <w:p w14:paraId="091639BF" w14:textId="77777777" w:rsidR="00C859AD" w:rsidRPr="003C04FA" w:rsidRDefault="00C859AD" w:rsidP="00C859AD">
            <w:pPr>
              <w:rPr>
                <w:lang w:val="en-US"/>
              </w:rPr>
            </w:pPr>
          </w:p>
        </w:tc>
      </w:tr>
      <w:tr w:rsidR="00C859AD" w:rsidRPr="003C04FA" w14:paraId="12392361" w14:textId="77777777" w:rsidTr="00C859AD">
        <w:tc>
          <w:tcPr>
            <w:tcW w:w="824" w:type="pct"/>
          </w:tcPr>
          <w:p w14:paraId="2BF8C590" w14:textId="77777777" w:rsidR="00C859AD" w:rsidRPr="003C04FA" w:rsidRDefault="00C859AD" w:rsidP="00C859AD">
            <w:pPr>
              <w:rPr>
                <w:lang w:val="en-US"/>
              </w:rPr>
            </w:pPr>
            <w:r w:rsidRPr="00A23AF1">
              <w:rPr>
                <w:lang w:val="en-US"/>
              </w:rPr>
              <w:t>Accuracy and precision of calibrated arterial pulse contour analysis in patients with SAH requiring high-dose vasopressor therapy: a prospective observational clinical trial</w:t>
            </w:r>
          </w:p>
        </w:tc>
        <w:tc>
          <w:tcPr>
            <w:tcW w:w="307" w:type="pct"/>
          </w:tcPr>
          <w:p w14:paraId="01BFF75D" w14:textId="77777777" w:rsidR="00C859AD" w:rsidRPr="003C04FA" w:rsidRDefault="00C859AD" w:rsidP="00C859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Metzelder</w:t>
            </w:r>
            <w:proofErr w:type="spellEnd"/>
            <w:r>
              <w:rPr>
                <w:lang w:val="en-US"/>
              </w:rPr>
              <w:t xml:space="preserve"> et al. 2014</w:t>
            </w:r>
          </w:p>
        </w:tc>
        <w:tc>
          <w:tcPr>
            <w:tcW w:w="396" w:type="pct"/>
          </w:tcPr>
          <w:p w14:paraId="3C815A4A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Prospective observational clinical trial</w:t>
            </w:r>
          </w:p>
        </w:tc>
        <w:tc>
          <w:tcPr>
            <w:tcW w:w="703" w:type="pct"/>
          </w:tcPr>
          <w:p w14:paraId="4971A8DE" w14:textId="77777777" w:rsidR="00C859AD" w:rsidRPr="003C04FA" w:rsidRDefault="00C859AD" w:rsidP="00C859AD">
            <w:pPr>
              <w:rPr>
                <w:lang w:val="en-US"/>
              </w:rPr>
            </w:pPr>
            <w:proofErr w:type="gramStart"/>
            <w:r w:rsidRPr="002B3B24">
              <w:rPr>
                <w:lang w:val="en-US"/>
              </w:rPr>
              <w:t>to</w:t>
            </w:r>
            <w:proofErr w:type="gramEnd"/>
            <w:r w:rsidRPr="002B3B24">
              <w:rPr>
                <w:lang w:val="en-US"/>
              </w:rPr>
              <w:t xml:space="preserve"> assess the validity and precision of PCCO-measurements compared to </w:t>
            </w:r>
            <w:proofErr w:type="spellStart"/>
            <w:r w:rsidRPr="002B3B24">
              <w:rPr>
                <w:lang w:val="en-US"/>
              </w:rPr>
              <w:t>transpulmonary</w:t>
            </w:r>
            <w:proofErr w:type="spellEnd"/>
            <w:r w:rsidRPr="002B3B24">
              <w:rPr>
                <w:lang w:val="en-US"/>
              </w:rPr>
              <w:t xml:space="preserve"> </w:t>
            </w:r>
            <w:proofErr w:type="spellStart"/>
            <w:r w:rsidRPr="002B3B24">
              <w:rPr>
                <w:lang w:val="en-US"/>
              </w:rPr>
              <w:t>thermodilution</w:t>
            </w:r>
            <w:proofErr w:type="spellEnd"/>
            <w:r w:rsidRPr="002B3B24">
              <w:rPr>
                <w:lang w:val="en-US"/>
              </w:rPr>
              <w:t xml:space="preserve"> derived cardiac output (TPCO) during high-dose vasopressor-therapy.</w:t>
            </w:r>
          </w:p>
        </w:tc>
        <w:tc>
          <w:tcPr>
            <w:tcW w:w="484" w:type="pct"/>
          </w:tcPr>
          <w:p w14:paraId="28683147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up to 72h after aneurysm stabilization</w:t>
            </w:r>
          </w:p>
        </w:tc>
        <w:tc>
          <w:tcPr>
            <w:tcW w:w="353" w:type="pct"/>
          </w:tcPr>
          <w:p w14:paraId="40374876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 xml:space="preserve">20 </w:t>
            </w:r>
          </w:p>
        </w:tc>
        <w:tc>
          <w:tcPr>
            <w:tcW w:w="352" w:type="pct"/>
          </w:tcPr>
          <w:p w14:paraId="23E39E47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 xml:space="preserve">conventional management + arterial line calculating PCCO </w:t>
            </w:r>
          </w:p>
        </w:tc>
        <w:tc>
          <w:tcPr>
            <w:tcW w:w="264" w:type="pct"/>
          </w:tcPr>
          <w:p w14:paraId="6E3BC13D" w14:textId="77777777" w:rsidR="00C859AD" w:rsidRPr="003C04FA" w:rsidRDefault="00C859AD" w:rsidP="00C859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PiCCO</w:t>
            </w:r>
            <w:proofErr w:type="spellEnd"/>
            <w:r>
              <w:rPr>
                <w:lang w:val="en-US"/>
              </w:rPr>
              <w:t xml:space="preserve"> (TPCO)</w:t>
            </w:r>
          </w:p>
        </w:tc>
        <w:tc>
          <w:tcPr>
            <w:tcW w:w="165" w:type="pct"/>
          </w:tcPr>
          <w:p w14:paraId="05712AE3" w14:textId="77777777" w:rsidR="00C859AD" w:rsidRPr="003C04FA" w:rsidRDefault="00C859AD" w:rsidP="00C859AD">
            <w:pPr>
              <w:rPr>
                <w:lang w:val="en-US"/>
              </w:rPr>
            </w:pPr>
          </w:p>
        </w:tc>
        <w:tc>
          <w:tcPr>
            <w:tcW w:w="165" w:type="pct"/>
          </w:tcPr>
          <w:p w14:paraId="61870554" w14:textId="77777777" w:rsidR="00C859AD" w:rsidRPr="003C04FA" w:rsidRDefault="00C859AD" w:rsidP="00C859AD">
            <w:pPr>
              <w:rPr>
                <w:lang w:val="en-US"/>
              </w:rPr>
            </w:pPr>
          </w:p>
        </w:tc>
        <w:tc>
          <w:tcPr>
            <w:tcW w:w="165" w:type="pct"/>
          </w:tcPr>
          <w:p w14:paraId="13E45091" w14:textId="77777777" w:rsidR="00C859AD" w:rsidRPr="003C04FA" w:rsidRDefault="00C859AD" w:rsidP="00C859AD">
            <w:pPr>
              <w:rPr>
                <w:lang w:val="en-US"/>
              </w:rPr>
            </w:pPr>
          </w:p>
        </w:tc>
        <w:tc>
          <w:tcPr>
            <w:tcW w:w="165" w:type="pct"/>
          </w:tcPr>
          <w:p w14:paraId="38F3977A" w14:textId="77777777" w:rsidR="00C859AD" w:rsidRPr="003C04FA" w:rsidRDefault="00C859AD" w:rsidP="00C859AD">
            <w:pPr>
              <w:rPr>
                <w:lang w:val="en-US"/>
              </w:rPr>
            </w:pPr>
          </w:p>
        </w:tc>
        <w:tc>
          <w:tcPr>
            <w:tcW w:w="165" w:type="pct"/>
            <w:gridSpan w:val="2"/>
          </w:tcPr>
          <w:p w14:paraId="74070420" w14:textId="77777777" w:rsidR="00C859AD" w:rsidRPr="003C04FA" w:rsidRDefault="00C859AD" w:rsidP="00C859AD">
            <w:pPr>
              <w:rPr>
                <w:lang w:val="en-US"/>
              </w:rPr>
            </w:pPr>
          </w:p>
        </w:tc>
        <w:tc>
          <w:tcPr>
            <w:tcW w:w="165" w:type="pct"/>
          </w:tcPr>
          <w:p w14:paraId="4C36338A" w14:textId="77777777" w:rsidR="00C859AD" w:rsidRPr="003C04FA" w:rsidRDefault="00C859AD" w:rsidP="00C859AD">
            <w:pPr>
              <w:rPr>
                <w:lang w:val="en-US"/>
              </w:rPr>
            </w:pPr>
          </w:p>
        </w:tc>
        <w:tc>
          <w:tcPr>
            <w:tcW w:w="165" w:type="pct"/>
            <w:gridSpan w:val="2"/>
          </w:tcPr>
          <w:p w14:paraId="56640EF9" w14:textId="77777777" w:rsidR="00C859AD" w:rsidRPr="003C04FA" w:rsidRDefault="00C859AD" w:rsidP="00C859AD">
            <w:pPr>
              <w:rPr>
                <w:lang w:val="en-US"/>
              </w:rPr>
            </w:pPr>
          </w:p>
        </w:tc>
        <w:tc>
          <w:tcPr>
            <w:tcW w:w="165" w:type="pct"/>
          </w:tcPr>
          <w:p w14:paraId="579F3821" w14:textId="77777777" w:rsidR="00C859AD" w:rsidRPr="003C04FA" w:rsidRDefault="00C859AD" w:rsidP="00C859AD">
            <w:pPr>
              <w:rPr>
                <w:lang w:val="en-US"/>
              </w:rPr>
            </w:pPr>
          </w:p>
        </w:tc>
      </w:tr>
      <w:tr w:rsidR="00C859AD" w:rsidRPr="003C04FA" w14:paraId="3649C83A" w14:textId="77777777" w:rsidTr="00C859AD">
        <w:tc>
          <w:tcPr>
            <w:tcW w:w="824" w:type="pct"/>
          </w:tcPr>
          <w:p w14:paraId="350F0E77" w14:textId="77777777" w:rsidR="00C859AD" w:rsidRPr="003C04FA" w:rsidRDefault="00C859AD" w:rsidP="00C859AD">
            <w:pPr>
              <w:rPr>
                <w:lang w:val="en-US"/>
              </w:rPr>
            </w:pPr>
            <w:r w:rsidRPr="00A23AF1">
              <w:rPr>
                <w:lang w:val="en-US"/>
              </w:rPr>
              <w:t>Early intensive versus minimally invasive approach to postoperative hemodynamic management after SAH.</w:t>
            </w:r>
          </w:p>
        </w:tc>
        <w:tc>
          <w:tcPr>
            <w:tcW w:w="307" w:type="pct"/>
          </w:tcPr>
          <w:p w14:paraId="1DAAB6FC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Mutoh et al. 2014</w:t>
            </w:r>
          </w:p>
        </w:tc>
        <w:tc>
          <w:tcPr>
            <w:tcW w:w="396" w:type="pct"/>
          </w:tcPr>
          <w:p w14:paraId="393AAD86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 xml:space="preserve">Randomized clinical trial </w:t>
            </w:r>
          </w:p>
        </w:tc>
        <w:tc>
          <w:tcPr>
            <w:tcW w:w="703" w:type="pct"/>
          </w:tcPr>
          <w:p w14:paraId="1B1FCE91" w14:textId="77777777" w:rsidR="00C859AD" w:rsidRPr="002B3B24" w:rsidRDefault="00C859AD" w:rsidP="00C859AD">
            <w:pPr>
              <w:rPr>
                <w:lang w:val="en-US"/>
              </w:rPr>
            </w:pPr>
            <w:r w:rsidRPr="002B3B24">
              <w:rPr>
                <w:lang w:val="en-US"/>
              </w:rPr>
              <w:t>to determine whether EGDT improves outcomes compared with standard</w:t>
            </w:r>
          </w:p>
          <w:p w14:paraId="2E443ED5" w14:textId="77777777" w:rsidR="00C859AD" w:rsidRPr="003C04FA" w:rsidRDefault="00C859AD" w:rsidP="00C859AD">
            <w:pPr>
              <w:rPr>
                <w:lang w:val="en-US"/>
              </w:rPr>
            </w:pPr>
            <w:r w:rsidRPr="002B3B24">
              <w:rPr>
                <w:lang w:val="en-US"/>
              </w:rPr>
              <w:t>less-invasive hemodynamic therapy</w:t>
            </w:r>
          </w:p>
        </w:tc>
        <w:tc>
          <w:tcPr>
            <w:tcW w:w="484" w:type="pct"/>
          </w:tcPr>
          <w:p w14:paraId="0B2B4707" w14:textId="77777777" w:rsidR="00C859AD" w:rsidRPr="003C04FA" w:rsidRDefault="00C859AD" w:rsidP="00C859AD">
            <w:pPr>
              <w:rPr>
                <w:lang w:val="en-US"/>
              </w:rPr>
            </w:pPr>
            <w:r w:rsidRPr="007D72FD">
              <w:rPr>
                <w:lang w:val="en-US"/>
              </w:rPr>
              <w:t>within 24 h from SAH onset up to day 14</w:t>
            </w:r>
          </w:p>
        </w:tc>
        <w:tc>
          <w:tcPr>
            <w:tcW w:w="353" w:type="pct"/>
          </w:tcPr>
          <w:p w14:paraId="16507C43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160 (80 in CG, 80 in IG)</w:t>
            </w:r>
          </w:p>
        </w:tc>
        <w:tc>
          <w:tcPr>
            <w:tcW w:w="352" w:type="pct"/>
          </w:tcPr>
          <w:p w14:paraId="28BBC9F8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Conventional management</w:t>
            </w:r>
          </w:p>
        </w:tc>
        <w:tc>
          <w:tcPr>
            <w:tcW w:w="264" w:type="pct"/>
          </w:tcPr>
          <w:p w14:paraId="473FE857" w14:textId="77777777" w:rsidR="00C859AD" w:rsidRDefault="00C859AD" w:rsidP="00C859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PiCCO</w:t>
            </w:r>
            <w:proofErr w:type="spellEnd"/>
          </w:p>
        </w:tc>
        <w:tc>
          <w:tcPr>
            <w:tcW w:w="165" w:type="pct"/>
          </w:tcPr>
          <w:p w14:paraId="79C122C0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65" w:type="pct"/>
          </w:tcPr>
          <w:p w14:paraId="015F1518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65" w:type="pct"/>
          </w:tcPr>
          <w:p w14:paraId="37B8D837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65" w:type="pct"/>
          </w:tcPr>
          <w:p w14:paraId="494B8D0C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65" w:type="pct"/>
            <w:gridSpan w:val="2"/>
          </w:tcPr>
          <w:p w14:paraId="726EED35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65" w:type="pct"/>
          </w:tcPr>
          <w:p w14:paraId="248F0104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65" w:type="pct"/>
            <w:gridSpan w:val="2"/>
          </w:tcPr>
          <w:p w14:paraId="1D26CC8C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65" w:type="pct"/>
          </w:tcPr>
          <w:p w14:paraId="7481E562" w14:textId="77777777" w:rsidR="00C859AD" w:rsidRPr="003C04FA" w:rsidRDefault="00C859AD" w:rsidP="00C859AD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C859AD" w:rsidRPr="00522F50" w14:paraId="5C9B28B7" w14:textId="77777777" w:rsidTr="0015335F">
        <w:trPr>
          <w:trHeight w:val="1086"/>
        </w:trPr>
        <w:tc>
          <w:tcPr>
            <w:tcW w:w="824" w:type="pct"/>
          </w:tcPr>
          <w:p w14:paraId="47933B00" w14:textId="77777777" w:rsidR="00C859AD" w:rsidRPr="003C04FA" w:rsidRDefault="00C859AD" w:rsidP="00C859AD">
            <w:pPr>
              <w:rPr>
                <w:lang w:val="en-US"/>
              </w:rPr>
            </w:pPr>
            <w:r w:rsidRPr="00A23AF1">
              <w:rPr>
                <w:lang w:val="en-US"/>
              </w:rPr>
              <w:t>High Early Fluid Input After Aneurysmal</w:t>
            </w:r>
            <w:r>
              <w:rPr>
                <w:lang w:val="en-US"/>
              </w:rPr>
              <w:t xml:space="preserve"> </w:t>
            </w:r>
            <w:r w:rsidRPr="00A23AF1">
              <w:rPr>
                <w:lang w:val="en-US"/>
              </w:rPr>
              <w:t>Subarachnoid Hemorrhage: Combined</w:t>
            </w:r>
            <w:r>
              <w:rPr>
                <w:lang w:val="en-US"/>
              </w:rPr>
              <w:t xml:space="preserve"> </w:t>
            </w:r>
            <w:r w:rsidRPr="00A23AF1">
              <w:rPr>
                <w:lang w:val="en-US"/>
              </w:rPr>
              <w:t>Report of Association With Delayed</w:t>
            </w:r>
            <w:r>
              <w:rPr>
                <w:lang w:val="en-US"/>
              </w:rPr>
              <w:t xml:space="preserve"> </w:t>
            </w:r>
            <w:r w:rsidRPr="00A23AF1">
              <w:rPr>
                <w:lang w:val="en-US"/>
              </w:rPr>
              <w:t>Cerebral Ischemia and Feasibility of</w:t>
            </w:r>
            <w:r>
              <w:rPr>
                <w:lang w:val="en-US"/>
              </w:rPr>
              <w:t xml:space="preserve"> </w:t>
            </w:r>
            <w:r w:rsidRPr="00A23AF1">
              <w:rPr>
                <w:lang w:val="en-US"/>
              </w:rPr>
              <w:t>Cardiac</w:t>
            </w:r>
            <w:r>
              <w:rPr>
                <w:lang w:val="en-US"/>
              </w:rPr>
              <w:t xml:space="preserve"> </w:t>
            </w:r>
            <w:r w:rsidRPr="00A23AF1">
              <w:rPr>
                <w:lang w:val="en-US"/>
              </w:rPr>
              <w:t>Output–Guided Fluid Restriction</w:t>
            </w:r>
          </w:p>
        </w:tc>
        <w:tc>
          <w:tcPr>
            <w:tcW w:w="307" w:type="pct"/>
          </w:tcPr>
          <w:p w14:paraId="764B5859" w14:textId="77777777" w:rsidR="00C859AD" w:rsidRPr="003C04FA" w:rsidRDefault="00C859AD" w:rsidP="00C859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Vergouw</w:t>
            </w:r>
            <w:proofErr w:type="spellEnd"/>
            <w:r>
              <w:rPr>
                <w:lang w:val="en-US"/>
              </w:rPr>
              <w:t xml:space="preserve"> et al. 2017</w:t>
            </w:r>
          </w:p>
        </w:tc>
        <w:tc>
          <w:tcPr>
            <w:tcW w:w="396" w:type="pct"/>
          </w:tcPr>
          <w:p w14:paraId="43893702" w14:textId="77777777" w:rsidR="00C859AD" w:rsidRPr="003C04FA" w:rsidRDefault="00C859AD" w:rsidP="00C859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Restropective</w:t>
            </w:r>
            <w:proofErr w:type="spellEnd"/>
            <w:r>
              <w:rPr>
                <w:lang w:val="en-US"/>
              </w:rPr>
              <w:t xml:space="preserve"> observational study: cohort 1 and cohort 2</w:t>
            </w:r>
          </w:p>
        </w:tc>
        <w:tc>
          <w:tcPr>
            <w:tcW w:w="703" w:type="pct"/>
          </w:tcPr>
          <w:p w14:paraId="02101821" w14:textId="77777777" w:rsidR="00C859AD" w:rsidRPr="003C04FA" w:rsidRDefault="00C859AD" w:rsidP="00C859AD">
            <w:pPr>
              <w:rPr>
                <w:lang w:val="en-US"/>
              </w:rPr>
            </w:pPr>
            <w:r w:rsidRPr="002B3B24">
              <w:rPr>
                <w:lang w:val="en-US"/>
              </w:rPr>
              <w:t xml:space="preserve">1) investigate whether high early fluid input or positive fluid balances were associated with DCI 2) to assess changes in fluid input and fluid balances between TPT protocol and </w:t>
            </w:r>
            <w:r w:rsidRPr="002B3B24">
              <w:rPr>
                <w:lang w:val="en-US"/>
              </w:rPr>
              <w:lastRenderedPageBreak/>
              <w:t>normal management</w:t>
            </w:r>
          </w:p>
        </w:tc>
        <w:tc>
          <w:tcPr>
            <w:tcW w:w="484" w:type="pct"/>
          </w:tcPr>
          <w:p w14:paraId="3E7A59A5" w14:textId="77777777" w:rsidR="00C859AD" w:rsidRPr="007D72FD" w:rsidRDefault="00C859AD" w:rsidP="00C859AD">
            <w:pPr>
              <w:rPr>
                <w:lang w:val="en-US"/>
              </w:rPr>
            </w:pPr>
            <w:r w:rsidRPr="007D72FD">
              <w:rPr>
                <w:lang w:val="en-US"/>
              </w:rPr>
              <w:lastRenderedPageBreak/>
              <w:t>Cohort 1: first 3 days after admission; Cohort 2:  from the 3 days before to 3 days after starting TPT</w:t>
            </w:r>
          </w:p>
        </w:tc>
        <w:tc>
          <w:tcPr>
            <w:tcW w:w="353" w:type="pct"/>
          </w:tcPr>
          <w:p w14:paraId="76CDD67F" w14:textId="77777777" w:rsidR="00C859AD" w:rsidRDefault="00C859AD" w:rsidP="00C859AD">
            <w:pPr>
              <w:rPr>
                <w:lang w:val="en-US"/>
              </w:rPr>
            </w:pPr>
            <w:r w:rsidRPr="007D72FD">
              <w:rPr>
                <w:lang w:val="en-US"/>
              </w:rPr>
              <w:t>Cohort 1: 223;</w:t>
            </w:r>
          </w:p>
          <w:p w14:paraId="51AAC8E3" w14:textId="77777777" w:rsidR="00C859AD" w:rsidRPr="003C04FA" w:rsidRDefault="00C859AD" w:rsidP="00C859AD">
            <w:pPr>
              <w:rPr>
                <w:lang w:val="en-US"/>
              </w:rPr>
            </w:pPr>
            <w:r w:rsidRPr="007D72FD">
              <w:rPr>
                <w:lang w:val="en-US"/>
              </w:rPr>
              <w:t xml:space="preserve">Cohort 2: </w:t>
            </w:r>
            <w:r>
              <w:rPr>
                <w:lang w:val="en-US"/>
              </w:rPr>
              <w:t xml:space="preserve"> </w:t>
            </w:r>
            <w:r w:rsidRPr="007D72FD">
              <w:rPr>
                <w:lang w:val="en-US"/>
              </w:rPr>
              <w:t>23</w:t>
            </w:r>
          </w:p>
        </w:tc>
        <w:tc>
          <w:tcPr>
            <w:tcW w:w="352" w:type="pct"/>
          </w:tcPr>
          <w:p w14:paraId="1FE984F5" w14:textId="77777777" w:rsidR="00C859AD" w:rsidRPr="003C04FA" w:rsidRDefault="00C859AD" w:rsidP="00C859AD">
            <w:pPr>
              <w:rPr>
                <w:lang w:val="en-US"/>
              </w:rPr>
            </w:pPr>
            <w:r w:rsidRPr="007D72FD">
              <w:rPr>
                <w:lang w:val="en-US"/>
              </w:rPr>
              <w:t xml:space="preserve">conventional management (alone in Cohort 1; </w:t>
            </w:r>
            <w:proofErr w:type="spellStart"/>
            <w:r w:rsidRPr="007D72FD">
              <w:rPr>
                <w:lang w:val="en-US"/>
              </w:rPr>
              <w:t>vs</w:t>
            </w:r>
            <w:proofErr w:type="spellEnd"/>
            <w:r w:rsidRPr="007D72FD">
              <w:rPr>
                <w:lang w:val="en-US"/>
              </w:rPr>
              <w:t xml:space="preserve"> </w:t>
            </w:r>
            <w:proofErr w:type="spellStart"/>
            <w:r w:rsidRPr="007D72FD">
              <w:rPr>
                <w:lang w:val="en-US"/>
              </w:rPr>
              <w:t>PiCCO</w:t>
            </w:r>
            <w:proofErr w:type="spellEnd"/>
            <w:r w:rsidRPr="007D72FD">
              <w:rPr>
                <w:lang w:val="en-US"/>
              </w:rPr>
              <w:t xml:space="preserve"> in Cohort 2)</w:t>
            </w:r>
          </w:p>
        </w:tc>
        <w:tc>
          <w:tcPr>
            <w:tcW w:w="264" w:type="pct"/>
          </w:tcPr>
          <w:p w14:paraId="5C9E7256" w14:textId="77777777" w:rsidR="00C859AD" w:rsidRDefault="00C859AD" w:rsidP="00C859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PiCCO</w:t>
            </w:r>
            <w:proofErr w:type="spellEnd"/>
            <w:r>
              <w:rPr>
                <w:lang w:val="en-US"/>
              </w:rPr>
              <w:t xml:space="preserve"> (only high risk patients) used only in Cohort </w:t>
            </w: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165" w:type="pct"/>
          </w:tcPr>
          <w:p w14:paraId="45952416" w14:textId="77777777" w:rsidR="00C859AD" w:rsidRPr="003C04FA" w:rsidRDefault="00C859AD" w:rsidP="00C859AD">
            <w:pPr>
              <w:rPr>
                <w:lang w:val="en-US"/>
              </w:rPr>
            </w:pPr>
          </w:p>
        </w:tc>
        <w:tc>
          <w:tcPr>
            <w:tcW w:w="165" w:type="pct"/>
          </w:tcPr>
          <w:p w14:paraId="0596277A" w14:textId="77777777" w:rsidR="00C859AD" w:rsidRPr="003C04FA" w:rsidRDefault="00C859AD" w:rsidP="00C859AD">
            <w:pPr>
              <w:rPr>
                <w:lang w:val="en-US"/>
              </w:rPr>
            </w:pPr>
          </w:p>
        </w:tc>
        <w:tc>
          <w:tcPr>
            <w:tcW w:w="165" w:type="pct"/>
          </w:tcPr>
          <w:p w14:paraId="6C7531BC" w14:textId="77777777" w:rsidR="00C859AD" w:rsidRPr="003C04FA" w:rsidRDefault="00C859AD" w:rsidP="00C859AD">
            <w:pPr>
              <w:rPr>
                <w:lang w:val="en-US"/>
              </w:rPr>
            </w:pPr>
          </w:p>
        </w:tc>
        <w:tc>
          <w:tcPr>
            <w:tcW w:w="165" w:type="pct"/>
          </w:tcPr>
          <w:p w14:paraId="6701DEE6" w14:textId="77777777" w:rsidR="00C859AD" w:rsidRPr="003C04FA" w:rsidRDefault="00C859AD" w:rsidP="00C859AD">
            <w:pPr>
              <w:rPr>
                <w:lang w:val="en-US"/>
              </w:rPr>
            </w:pPr>
          </w:p>
        </w:tc>
        <w:tc>
          <w:tcPr>
            <w:tcW w:w="165" w:type="pct"/>
            <w:gridSpan w:val="2"/>
          </w:tcPr>
          <w:p w14:paraId="4DD10315" w14:textId="77777777" w:rsidR="00C859AD" w:rsidRPr="003C04FA" w:rsidRDefault="00C859AD" w:rsidP="00C859AD">
            <w:pPr>
              <w:rPr>
                <w:lang w:val="en-US"/>
              </w:rPr>
            </w:pPr>
          </w:p>
        </w:tc>
        <w:tc>
          <w:tcPr>
            <w:tcW w:w="165" w:type="pct"/>
          </w:tcPr>
          <w:p w14:paraId="66701B30" w14:textId="77777777" w:rsidR="00C859AD" w:rsidRPr="003C04FA" w:rsidRDefault="00C859AD" w:rsidP="00C859AD">
            <w:pPr>
              <w:rPr>
                <w:lang w:val="en-US"/>
              </w:rPr>
            </w:pPr>
          </w:p>
        </w:tc>
        <w:tc>
          <w:tcPr>
            <w:tcW w:w="165" w:type="pct"/>
            <w:gridSpan w:val="2"/>
          </w:tcPr>
          <w:p w14:paraId="75CFE31D" w14:textId="77777777" w:rsidR="00C859AD" w:rsidRPr="003C04FA" w:rsidRDefault="00C859AD" w:rsidP="00C859AD">
            <w:pPr>
              <w:rPr>
                <w:lang w:val="en-US"/>
              </w:rPr>
            </w:pPr>
          </w:p>
        </w:tc>
        <w:tc>
          <w:tcPr>
            <w:tcW w:w="165" w:type="pct"/>
          </w:tcPr>
          <w:p w14:paraId="4348D834" w14:textId="77777777" w:rsidR="00C859AD" w:rsidRPr="003C04FA" w:rsidRDefault="00C859AD" w:rsidP="00C859AD">
            <w:pPr>
              <w:rPr>
                <w:lang w:val="en-US"/>
              </w:rPr>
            </w:pPr>
          </w:p>
        </w:tc>
      </w:tr>
    </w:tbl>
    <w:p w14:paraId="4697BCAE" w14:textId="77777777" w:rsidR="00DF4F83" w:rsidRDefault="00DF4F83" w:rsidP="00BE1035">
      <w:pPr>
        <w:tabs>
          <w:tab w:val="left" w:pos="1560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zh-CN"/>
        </w:rPr>
      </w:pPr>
    </w:p>
    <w:p w14:paraId="462E4616" w14:textId="77777777" w:rsidR="00117D25" w:rsidRPr="00117D25" w:rsidRDefault="00117D25" w:rsidP="00117D25">
      <w:pPr>
        <w:tabs>
          <w:tab w:val="left" w:pos="15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val="en-US" w:eastAsia="zh-CN"/>
        </w:rPr>
      </w:pPr>
      <w:r w:rsidRPr="00117D25">
        <w:rPr>
          <w:rFonts w:eastAsia="Times New Roman"/>
          <w:b/>
          <w:sz w:val="20"/>
          <w:szCs w:val="20"/>
          <w:lang w:val="en-US" w:eastAsia="zh-CN"/>
        </w:rPr>
        <w:t xml:space="preserve">LEGEND </w:t>
      </w:r>
    </w:p>
    <w:p w14:paraId="7843A2E4" w14:textId="77777777" w:rsidR="00117D25" w:rsidRPr="00117D25" w:rsidRDefault="00117D25" w:rsidP="00117D25">
      <w:pPr>
        <w:tabs>
          <w:tab w:val="left" w:pos="1560"/>
        </w:tabs>
        <w:suppressAutoHyphens/>
        <w:spacing w:after="0"/>
        <w:jc w:val="both"/>
        <w:rPr>
          <w:rFonts w:eastAsia="Times New Roman"/>
          <w:sz w:val="24"/>
          <w:szCs w:val="24"/>
          <w:lang w:val="en-US" w:eastAsia="zh-CN"/>
        </w:rPr>
      </w:pPr>
    </w:p>
    <w:p w14:paraId="55CCEA0E" w14:textId="549248F0" w:rsidR="00117D25" w:rsidRPr="00117D25" w:rsidRDefault="00117D25" w:rsidP="00117D25">
      <w:pPr>
        <w:tabs>
          <w:tab w:val="left" w:pos="1560"/>
        </w:tabs>
        <w:suppressAutoHyphens/>
        <w:spacing w:after="0"/>
        <w:jc w:val="both"/>
        <w:rPr>
          <w:rFonts w:eastAsia="Times New Roman"/>
          <w:sz w:val="20"/>
          <w:szCs w:val="20"/>
          <w:lang w:val="en-US" w:eastAsia="zh-CN"/>
        </w:rPr>
      </w:pPr>
      <w:r w:rsidRPr="00117D25">
        <w:rPr>
          <w:rFonts w:eastAsia="Times New Roman"/>
          <w:sz w:val="20"/>
          <w:szCs w:val="20"/>
          <w:lang w:val="en-US" w:eastAsia="zh-CN"/>
        </w:rPr>
        <w:t xml:space="preserve">IG= intervention group (more advanced monitoring); CG= control group (basal invasive monitoring); TPT= </w:t>
      </w:r>
      <w:proofErr w:type="spellStart"/>
      <w:r w:rsidRPr="00117D25">
        <w:rPr>
          <w:rFonts w:eastAsia="Times New Roman"/>
          <w:sz w:val="20"/>
          <w:szCs w:val="20"/>
          <w:lang w:val="en-US" w:eastAsia="zh-CN"/>
        </w:rPr>
        <w:t>transpulmonary</w:t>
      </w:r>
      <w:proofErr w:type="spellEnd"/>
      <w:r w:rsidRPr="00117D25">
        <w:rPr>
          <w:rFonts w:eastAsia="Times New Roman"/>
          <w:sz w:val="20"/>
          <w:szCs w:val="20"/>
          <w:lang w:val="en-US" w:eastAsia="zh-CN"/>
        </w:rPr>
        <w:t xml:space="preserve"> </w:t>
      </w:r>
      <w:proofErr w:type="spellStart"/>
      <w:r w:rsidRPr="00117D25">
        <w:rPr>
          <w:rFonts w:eastAsia="Times New Roman"/>
          <w:sz w:val="20"/>
          <w:szCs w:val="20"/>
          <w:lang w:val="en-US" w:eastAsia="zh-CN"/>
        </w:rPr>
        <w:t>thermodilution</w:t>
      </w:r>
      <w:proofErr w:type="spellEnd"/>
      <w:r w:rsidRPr="00117D25">
        <w:rPr>
          <w:rFonts w:eastAsia="Times New Roman"/>
          <w:sz w:val="20"/>
          <w:szCs w:val="20"/>
          <w:lang w:val="en-US" w:eastAsia="zh-CN"/>
        </w:rPr>
        <w:t xml:space="preserve">; PE= pulmonary edema; DCI= delayed cerebral ischemia; SAH= subarachnoid hemorrhage; WFNS= world federation of neurosurgical societies; EGDT= early goal directed therapy; TPCO= </w:t>
      </w:r>
      <w:proofErr w:type="spellStart"/>
      <w:r w:rsidRPr="00117D25">
        <w:rPr>
          <w:rFonts w:eastAsia="Times New Roman"/>
          <w:sz w:val="20"/>
          <w:szCs w:val="20"/>
          <w:lang w:val="en-US" w:eastAsia="zh-CN"/>
        </w:rPr>
        <w:t>transpulmonary</w:t>
      </w:r>
      <w:proofErr w:type="spellEnd"/>
      <w:r w:rsidRPr="00117D25">
        <w:rPr>
          <w:rFonts w:eastAsia="Times New Roman"/>
          <w:sz w:val="20"/>
          <w:szCs w:val="20"/>
          <w:lang w:val="en-US" w:eastAsia="zh-CN"/>
        </w:rPr>
        <w:t xml:space="preserve"> cardiac output; PDD= pulse dye densitometry; PCCI= pulse contour cardiac index; PACI=pulmonary artery cardiac index; APCO= arterial pressure cardiac output; CO= cardiac output; NA= noradrenaline; ELWI=extra lung water index; GEDVI= global end diastolic volume index; LVEF= left ventricular ejection fraction; CVP= central venous pressure; CBV= circulating blood volume; PVPI= pulmonary vascular permeability index; TCM= </w:t>
      </w:r>
      <w:proofErr w:type="spellStart"/>
      <w:r w:rsidRPr="00117D25">
        <w:rPr>
          <w:rFonts w:eastAsia="Times New Roman"/>
          <w:sz w:val="20"/>
          <w:szCs w:val="20"/>
          <w:lang w:val="en-US" w:eastAsia="zh-CN"/>
        </w:rPr>
        <w:t>Takotsubo</w:t>
      </w:r>
      <w:proofErr w:type="spellEnd"/>
      <w:r w:rsidRPr="00117D25">
        <w:rPr>
          <w:rFonts w:eastAsia="Times New Roman"/>
          <w:sz w:val="20"/>
          <w:szCs w:val="20"/>
          <w:lang w:val="en-US" w:eastAsia="zh-CN"/>
        </w:rPr>
        <w:t xml:space="preserve"> cardiomyopathy; ICG= </w:t>
      </w:r>
      <w:proofErr w:type="spellStart"/>
      <w:r w:rsidRPr="00117D25">
        <w:rPr>
          <w:rFonts w:eastAsia="Times New Roman"/>
          <w:sz w:val="20"/>
          <w:szCs w:val="20"/>
          <w:lang w:val="en-US" w:eastAsia="zh-CN"/>
        </w:rPr>
        <w:t>indocyanine</w:t>
      </w:r>
      <w:proofErr w:type="spellEnd"/>
      <w:r w:rsidRPr="00117D25">
        <w:rPr>
          <w:rFonts w:eastAsia="Times New Roman"/>
          <w:sz w:val="20"/>
          <w:szCs w:val="20"/>
          <w:lang w:val="en-US" w:eastAsia="zh-CN"/>
        </w:rPr>
        <w:t xml:space="preserve"> green; CI= cardiac index</w:t>
      </w:r>
      <w:r w:rsidR="0002491C">
        <w:rPr>
          <w:rFonts w:eastAsia="Times New Roman"/>
          <w:sz w:val="20"/>
          <w:szCs w:val="20"/>
          <w:lang w:val="en-US" w:eastAsia="zh-CN"/>
        </w:rPr>
        <w:t xml:space="preserve">; </w:t>
      </w:r>
      <w:proofErr w:type="spellStart"/>
      <w:r w:rsidR="0002491C">
        <w:rPr>
          <w:rFonts w:eastAsia="Times New Roman"/>
          <w:sz w:val="20"/>
          <w:szCs w:val="20"/>
          <w:lang w:val="en-US" w:eastAsia="zh-CN"/>
        </w:rPr>
        <w:t>PiCCO</w:t>
      </w:r>
      <w:proofErr w:type="spellEnd"/>
      <w:r w:rsidR="0002491C">
        <w:rPr>
          <w:rFonts w:eastAsia="Times New Roman"/>
          <w:sz w:val="20"/>
          <w:szCs w:val="20"/>
          <w:lang w:val="en-US" w:eastAsia="zh-CN"/>
        </w:rPr>
        <w:t>= pulse contour continuous cardiac output.</w:t>
      </w:r>
    </w:p>
    <w:p w14:paraId="7FAA35A6" w14:textId="77777777" w:rsidR="00873B4C" w:rsidRPr="003C04FA" w:rsidRDefault="00873B4C">
      <w:pPr>
        <w:rPr>
          <w:lang w:val="en-US"/>
        </w:rPr>
      </w:pPr>
    </w:p>
    <w:sectPr w:rsidR="00873B4C" w:rsidRPr="003C04FA" w:rsidSect="0015335F">
      <w:pgSz w:w="16838" w:h="11906" w:orient="landscape"/>
      <w:pgMar w:top="709" w:right="82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6F854" w14:textId="77777777" w:rsidR="00280E3F" w:rsidRDefault="00280E3F" w:rsidP="00C859AD">
      <w:pPr>
        <w:spacing w:after="0" w:line="240" w:lineRule="auto"/>
      </w:pPr>
      <w:r>
        <w:separator/>
      </w:r>
    </w:p>
  </w:endnote>
  <w:endnote w:type="continuationSeparator" w:id="0">
    <w:p w14:paraId="2F7A87C8" w14:textId="77777777" w:rsidR="00280E3F" w:rsidRDefault="00280E3F" w:rsidP="00C8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F619D" w14:textId="77777777" w:rsidR="00280E3F" w:rsidRDefault="00280E3F" w:rsidP="00C859AD">
      <w:pPr>
        <w:spacing w:after="0" w:line="240" w:lineRule="auto"/>
      </w:pPr>
      <w:r>
        <w:separator/>
      </w:r>
    </w:p>
  </w:footnote>
  <w:footnote w:type="continuationSeparator" w:id="0">
    <w:p w14:paraId="4D11E53D" w14:textId="77777777" w:rsidR="00280E3F" w:rsidRDefault="00280E3F" w:rsidP="00C85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DA"/>
    <w:rsid w:val="0002491C"/>
    <w:rsid w:val="00071D31"/>
    <w:rsid w:val="0007647F"/>
    <w:rsid w:val="000825AB"/>
    <w:rsid w:val="000B4CD7"/>
    <w:rsid w:val="00117D25"/>
    <w:rsid w:val="001242C7"/>
    <w:rsid w:val="0015335F"/>
    <w:rsid w:val="00213B50"/>
    <w:rsid w:val="0026609A"/>
    <w:rsid w:val="00280E3F"/>
    <w:rsid w:val="00293105"/>
    <w:rsid w:val="002B3B24"/>
    <w:rsid w:val="002D4423"/>
    <w:rsid w:val="003023B5"/>
    <w:rsid w:val="003C04FA"/>
    <w:rsid w:val="003C2205"/>
    <w:rsid w:val="003F57C3"/>
    <w:rsid w:val="00400DE2"/>
    <w:rsid w:val="0041232C"/>
    <w:rsid w:val="004346AE"/>
    <w:rsid w:val="004814DA"/>
    <w:rsid w:val="004A4719"/>
    <w:rsid w:val="004B26E5"/>
    <w:rsid w:val="00522F50"/>
    <w:rsid w:val="005A3EFD"/>
    <w:rsid w:val="005C1E95"/>
    <w:rsid w:val="005E16D1"/>
    <w:rsid w:val="00605040"/>
    <w:rsid w:val="00662D10"/>
    <w:rsid w:val="00757DE0"/>
    <w:rsid w:val="007D72FD"/>
    <w:rsid w:val="008235A7"/>
    <w:rsid w:val="008326DF"/>
    <w:rsid w:val="00873B4C"/>
    <w:rsid w:val="00980828"/>
    <w:rsid w:val="009D76D8"/>
    <w:rsid w:val="00A2207C"/>
    <w:rsid w:val="00A23AF1"/>
    <w:rsid w:val="00AE13D1"/>
    <w:rsid w:val="00AF4797"/>
    <w:rsid w:val="00B27B51"/>
    <w:rsid w:val="00BA7005"/>
    <w:rsid w:val="00BC2E0C"/>
    <w:rsid w:val="00BE1035"/>
    <w:rsid w:val="00BE371F"/>
    <w:rsid w:val="00C4099B"/>
    <w:rsid w:val="00C636AC"/>
    <w:rsid w:val="00C760FC"/>
    <w:rsid w:val="00C859AD"/>
    <w:rsid w:val="00DE010B"/>
    <w:rsid w:val="00DF4F83"/>
    <w:rsid w:val="00E013DE"/>
    <w:rsid w:val="00E74429"/>
    <w:rsid w:val="00E96CB9"/>
    <w:rsid w:val="00ED2F9A"/>
    <w:rsid w:val="00F1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3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6"/>
        <w:szCs w:val="16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797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97"/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C859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9AD"/>
  </w:style>
  <w:style w:type="paragraph" w:styleId="Footer">
    <w:name w:val="footer"/>
    <w:basedOn w:val="Normal"/>
    <w:link w:val="FooterChar"/>
    <w:uiPriority w:val="99"/>
    <w:unhideWhenUsed/>
    <w:rsid w:val="00C859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6"/>
        <w:szCs w:val="16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797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97"/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C859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9AD"/>
  </w:style>
  <w:style w:type="paragraph" w:styleId="Footer">
    <w:name w:val="footer"/>
    <w:basedOn w:val="Normal"/>
    <w:link w:val="FooterChar"/>
    <w:uiPriority w:val="99"/>
    <w:unhideWhenUsed/>
    <w:rsid w:val="00C859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</dc:creator>
  <cp:lastModifiedBy>Martin &amp; David</cp:lastModifiedBy>
  <cp:revision>2</cp:revision>
  <dcterms:created xsi:type="dcterms:W3CDTF">2019-12-23T15:06:00Z</dcterms:created>
  <dcterms:modified xsi:type="dcterms:W3CDTF">2019-12-23T15:06:00Z</dcterms:modified>
</cp:coreProperties>
</file>