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57" w:rsidRPr="00FB1157" w:rsidRDefault="00FB1157" w:rsidP="00FB1157">
      <w:pPr>
        <w:rPr>
          <w:rFonts w:ascii="Times New Roman" w:hAnsi="Times New Roman" w:cs="Times New Roman"/>
          <w:b/>
          <w:sz w:val="20"/>
          <w:szCs w:val="20"/>
        </w:rPr>
      </w:pPr>
      <w:r w:rsidRPr="00FB1157">
        <w:rPr>
          <w:rFonts w:ascii="Times New Roman" w:hAnsi="Times New Roman" w:cs="Times New Roman"/>
          <w:b/>
          <w:sz w:val="20"/>
          <w:szCs w:val="20"/>
        </w:rPr>
        <w:t xml:space="preserve">Supplemental Table </w:t>
      </w:r>
      <w:r>
        <w:rPr>
          <w:rFonts w:ascii="Times New Roman" w:hAnsi="Times New Roman" w:cs="Times New Roman"/>
          <w:b/>
          <w:sz w:val="20"/>
          <w:szCs w:val="20"/>
        </w:rPr>
        <w:t>S6</w:t>
      </w:r>
      <w:bookmarkStart w:id="0" w:name="_GoBack"/>
      <w:bookmarkEnd w:id="0"/>
    </w:p>
    <w:p w:rsidR="00FB1157" w:rsidRPr="00FB1157" w:rsidRDefault="00FB1157" w:rsidP="00FB1157">
      <w:pPr>
        <w:rPr>
          <w:rFonts w:ascii="Times New Roman" w:hAnsi="Times New Roman" w:cs="Times New Roman"/>
          <w:b/>
          <w:sz w:val="20"/>
          <w:szCs w:val="20"/>
        </w:rPr>
      </w:pPr>
    </w:p>
    <w:p w:rsidR="00FB1157" w:rsidRPr="00FB1157" w:rsidRDefault="00FB1157" w:rsidP="00FB1157">
      <w:pPr>
        <w:rPr>
          <w:rFonts w:ascii="Times New Roman" w:hAnsi="Times New Roman" w:cs="Times New Roman"/>
          <w:b/>
          <w:sz w:val="20"/>
          <w:szCs w:val="20"/>
        </w:rPr>
      </w:pPr>
      <w:r w:rsidRPr="00FB1157">
        <w:rPr>
          <w:rFonts w:ascii="Times New Roman" w:hAnsi="Times New Roman" w:cs="Times New Roman"/>
          <w:b/>
          <w:sz w:val="20"/>
          <w:szCs w:val="20"/>
        </w:rPr>
        <w:t xml:space="preserve">Adjusted </w:t>
      </w:r>
      <w:r w:rsidR="0039626B" w:rsidRPr="00FB1157">
        <w:rPr>
          <w:rFonts w:ascii="Times New Roman" w:hAnsi="Times New Roman" w:cs="Times New Roman"/>
          <w:b/>
          <w:sz w:val="20"/>
          <w:szCs w:val="20"/>
        </w:rPr>
        <w:t xml:space="preserve">relative hazard of ceasing opioid utilization among geriatric patients undergoing spinal surgery for degenerative spine disease-related diagnoses – sensitivity analysis using 90-day gap between prescriptions for continuous use </w:t>
      </w:r>
    </w:p>
    <w:p w:rsidR="00FB1157" w:rsidRDefault="00FB1157" w:rsidP="00FB1157">
      <w:pPr>
        <w:rPr>
          <w:rFonts w:ascii="Times New Roman" w:hAnsi="Times New Roman" w:cs="Times New Roman"/>
          <w:sz w:val="20"/>
          <w:szCs w:val="20"/>
        </w:rPr>
      </w:pPr>
    </w:p>
    <w:p w:rsidR="00FB1157" w:rsidRPr="00367880" w:rsidRDefault="00FB1157" w:rsidP="00FB115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1960"/>
        <w:gridCol w:w="3632"/>
      </w:tblGrid>
      <w:tr w:rsidR="00FB1157" w:rsidRPr="005A0808" w:rsidTr="00585030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1157" w:rsidRPr="005A0808" w:rsidRDefault="00FB1157" w:rsidP="00585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8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B1157" w:rsidRPr="005A0808" w:rsidRDefault="00FB1157" w:rsidP="00585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8">
              <w:rPr>
                <w:rFonts w:ascii="Times New Roman" w:hAnsi="Times New Roman" w:cs="Times New Roman"/>
                <w:b/>
                <w:sz w:val="20"/>
                <w:szCs w:val="20"/>
              </w:rPr>
              <w:t>Hazard Ratio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1157" w:rsidRPr="005A0808" w:rsidRDefault="00FB1157" w:rsidP="00585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8">
              <w:rPr>
                <w:rFonts w:ascii="Times New Roman" w:hAnsi="Times New Roman" w:cs="Times New Roman"/>
                <w:b/>
                <w:sz w:val="20"/>
                <w:szCs w:val="20"/>
              </w:rPr>
              <w:t>95% Confidence Interval</w:t>
            </w:r>
          </w:p>
        </w:tc>
      </w:tr>
      <w:tr w:rsidR="00FB1157" w:rsidRPr="007F77D1" w:rsidTr="00585030">
        <w:tc>
          <w:tcPr>
            <w:tcW w:w="3685" w:type="dxa"/>
            <w:tcBorders>
              <w:top w:val="single" w:sz="4" w:space="0" w:color="auto"/>
            </w:tcBorders>
          </w:tcPr>
          <w:p w:rsidR="00FB1157" w:rsidRPr="00860E72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Surgery (Days 1-179 Post-Op)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B1157" w:rsidRPr="00860E72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B1157" w:rsidRPr="00860E72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ACDF</w:t>
            </w:r>
          </w:p>
        </w:tc>
        <w:tc>
          <w:tcPr>
            <w:tcW w:w="1980" w:type="dxa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PCF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0.77 – 0.97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Cervical Fusion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90FB9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0.74 – 1.18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Microdiscectomy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90FB9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0.52 – 0.84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Laminectomy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90FB9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0.77 – 0.86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Fusion, Posterior Approach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0.60 – 0.74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Fusion, Anterior Approach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90FB9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0.95 – 1.10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Lumbar Fusion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90FB9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0.99 – 1.13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Surgery (Days 180-365 Post-Op)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ACDF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PCF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0.37 – 1.10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Cervical Fusion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90FB9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0.68 – 3.26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Microdiscectomy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90FB9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0.32 – 1.98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Laminectomy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0.66 – 1.18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Fusion, Posterior Approach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0.70 – 1.57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Fusion, Anterior Approach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90FB9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0.78 – 1.59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860E72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Lumbar Fusion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90FB9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860E72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0.60 – 1.17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0.91 – 0.98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1.12 – 1.57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0.90 – 1.12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0.87 – 1.33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American Indian/Alaska Native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0.88 – 1.76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1.00 – 1.44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1.00 – 1.94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Age Group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&lt;70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0.98 – 1.08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75-79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1.08 – 1.20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80+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1.16 – 1.31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0.96 – 1.10</w:t>
            </w:r>
          </w:p>
        </w:tc>
      </w:tr>
      <w:tr w:rsidR="00FB1157" w:rsidRPr="00AF0C34" w:rsidTr="00585030">
        <w:tc>
          <w:tcPr>
            <w:tcW w:w="3685" w:type="dxa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1.00 – 1.17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0.93 – 1.06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Surgeon Specialty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Neurosurgery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0.99 – 1.07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Charlson</w:t>
            </w:r>
            <w:proofErr w:type="spellEnd"/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Comorbidity Index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0.95 – 1.04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0.88 – 0.99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0.92 – 1.03</w:t>
            </w:r>
          </w:p>
        </w:tc>
      </w:tr>
      <w:tr w:rsidR="00FB1157" w:rsidRPr="00AF0C34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57" w:rsidRPr="00AF0C34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eastAsia="Times New Roman" w:hAnsi="Times New Roman" w:cs="Times New Roman"/>
                <w:sz w:val="20"/>
                <w:szCs w:val="20"/>
              </w:rPr>
              <w:t>Benzodiazepine Use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0.87 – 0.98</w:t>
            </w:r>
          </w:p>
        </w:tc>
      </w:tr>
      <w:tr w:rsidR="00FB1157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Alcohol Abuse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0.71 – 1.09</w:t>
            </w:r>
          </w:p>
        </w:tc>
      </w:tr>
      <w:tr w:rsidR="00FB1157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Drug Abuse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0.76 – 1.09</w:t>
            </w:r>
          </w:p>
        </w:tc>
      </w:tr>
      <w:tr w:rsidR="00FB1157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57" w:rsidRPr="007F77D1" w:rsidRDefault="00FB1157" w:rsidP="005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Anxiety</w:t>
            </w:r>
            <w:r w:rsidRPr="00D304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0.85 – 0.95</w:t>
            </w:r>
          </w:p>
        </w:tc>
      </w:tr>
      <w:tr w:rsidR="00FB1157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Depression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0.89 – 0.99</w:t>
            </w:r>
          </w:p>
        </w:tc>
      </w:tr>
      <w:tr w:rsidR="00FB1157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History of Cancer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0.86 – 1.03</w:t>
            </w:r>
          </w:p>
        </w:tc>
      </w:tr>
      <w:tr w:rsidR="00FB1157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Active cancer treatment before surgery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0.91 – 1.15</w:t>
            </w:r>
          </w:p>
        </w:tc>
      </w:tr>
      <w:tr w:rsidR="00FB1157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Active cancer treatment after surgery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0.75 – 0.98</w:t>
            </w:r>
          </w:p>
        </w:tc>
      </w:tr>
      <w:tr w:rsidR="00FB1157" w:rsidRPr="00AF0C34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157" w:rsidRPr="00AF0C34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eastAsia="Times New Roman" w:hAnsi="Times New Roman" w:cs="Times New Roman"/>
                <w:sz w:val="20"/>
                <w:szCs w:val="20"/>
              </w:rPr>
              <w:t>Medicaid eligible at surgery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0.76 – 0.91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Quarters with Preoperative Opioid Use</w:t>
            </w:r>
            <w:r w:rsidRPr="00AF22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No Use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AF0C34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 Quarter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0.75 – 0.82</w:t>
            </w:r>
          </w:p>
        </w:tc>
      </w:tr>
      <w:tr w:rsidR="00FB1157" w:rsidRPr="00AF0C34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2 Quarters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0.61 – 0.68</w:t>
            </w:r>
          </w:p>
        </w:tc>
      </w:tr>
      <w:tr w:rsidR="00FB1157" w:rsidRPr="00AF0C34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3 Quarters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0.40 – 0.46</w:t>
            </w:r>
          </w:p>
        </w:tc>
      </w:tr>
      <w:tr w:rsidR="00FB1157" w:rsidRPr="00AF0C34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4 Quarters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AF0C34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0.17 – 0.20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Procedure Year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0.90 – 1.05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0.86 – 1.01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0.89 – 1.04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0.90 – 1.05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0.96 – 1.11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0.96 – 1.11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Urban/Rural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B1157" w:rsidRPr="007F77D1" w:rsidTr="00585030">
        <w:tc>
          <w:tcPr>
            <w:tcW w:w="3685" w:type="dxa"/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Metro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0.92 – 1.14</w:t>
            </w:r>
          </w:p>
        </w:tc>
      </w:tr>
      <w:tr w:rsidR="00FB1157" w:rsidRPr="007F77D1" w:rsidTr="00585030">
        <w:tc>
          <w:tcPr>
            <w:tcW w:w="3685" w:type="dxa"/>
            <w:tcBorders>
              <w:bottom w:val="single" w:sz="4" w:space="0" w:color="auto"/>
            </w:tcBorders>
          </w:tcPr>
          <w:p w:rsidR="00FB1157" w:rsidRPr="007F77D1" w:rsidRDefault="00FB1157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Urban, Non-metro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157" w:rsidRPr="007F77D1" w:rsidRDefault="00FB1157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B9">
              <w:rPr>
                <w:rFonts w:ascii="Times New Roman" w:hAnsi="Times New Roman" w:cs="Times New Roman"/>
                <w:sz w:val="20"/>
                <w:szCs w:val="20"/>
              </w:rPr>
              <w:t>0.86 – 1.07</w:t>
            </w:r>
          </w:p>
        </w:tc>
      </w:tr>
    </w:tbl>
    <w:p w:rsidR="00FB1157" w:rsidRDefault="00FB1157" w:rsidP="00FB1157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B1157" w:rsidRDefault="00FB1157" w:rsidP="00FB1157">
      <w:pPr>
        <w:rPr>
          <w:rFonts w:ascii="Times New Roman" w:hAnsi="Times New Roman" w:cs="Times New Roman"/>
          <w:sz w:val="20"/>
          <w:szCs w:val="20"/>
        </w:rPr>
      </w:pPr>
      <w:r w:rsidRPr="005A080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All hazards ratios were calculated over the at-risk period, which was defined as one year post-operatively for this study except in the case of surgery type because it did not meet the </w:t>
      </w:r>
      <w:r w:rsidRPr="005A0808">
        <w:rPr>
          <w:rFonts w:ascii="Times New Roman" w:hAnsi="Times New Roman" w:cs="Times New Roman"/>
          <w:sz w:val="20"/>
          <w:szCs w:val="20"/>
        </w:rPr>
        <w:t>proportional hazards assumption</w:t>
      </w:r>
      <w:r>
        <w:rPr>
          <w:rFonts w:ascii="Times New Roman" w:hAnsi="Times New Roman" w:cs="Times New Roman"/>
          <w:sz w:val="20"/>
          <w:szCs w:val="20"/>
        </w:rPr>
        <w:t xml:space="preserve"> when the at-risk period was considered the year following surgery.</w:t>
      </w:r>
    </w:p>
    <w:p w:rsidR="00FB1157" w:rsidRPr="00367880" w:rsidRDefault="00FB1157" w:rsidP="00FB11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>Measured in the 12 months prior to surgery</w:t>
      </w:r>
    </w:p>
    <w:p w:rsidR="00FB1157" w:rsidRPr="00367880" w:rsidRDefault="00FB1157" w:rsidP="00FB11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>Measured in the 12 months following surgery</w:t>
      </w:r>
    </w:p>
    <w:p w:rsidR="00FB1157" w:rsidRDefault="00FB1157" w:rsidP="00FB11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 xml:space="preserve">Measured in </w:t>
      </w:r>
      <w:r>
        <w:rPr>
          <w:rFonts w:ascii="Times New Roman" w:eastAsia="Times New Roman" w:hAnsi="Times New Roman" w:cs="Times New Roman"/>
          <w:sz w:val="20"/>
          <w:szCs w:val="20"/>
        </w:rPr>
        <w:t>days 5-365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 xml:space="preserve"> prior to surgery</w:t>
      </w:r>
    </w:p>
    <w:p w:rsidR="00FB1157" w:rsidRDefault="00FB1157" w:rsidP="00FB1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157" w:rsidRPr="00FB1157" w:rsidRDefault="00FB1157" w:rsidP="00FB1157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FB1157">
        <w:rPr>
          <w:rFonts w:ascii="Times New Roman" w:eastAsia="Times New Roman" w:hAnsi="Times New Roman" w:cs="Times New Roman"/>
          <w:i/>
          <w:sz w:val="20"/>
          <w:szCs w:val="20"/>
        </w:rPr>
        <w:t>ACDF, anterior cervical discectomy and fusion; PCF, posterior cervical fusion</w:t>
      </w:r>
    </w:p>
    <w:p w:rsidR="00FB1157" w:rsidRPr="00FB1157" w:rsidRDefault="00FB1157" w:rsidP="00FB115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C5BE1" w:rsidRPr="00FB1157" w:rsidRDefault="008C5BE1">
      <w:pPr>
        <w:rPr>
          <w:i/>
        </w:rPr>
      </w:pPr>
    </w:p>
    <w:sectPr w:rsidR="008C5BE1" w:rsidRPr="00FB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157"/>
    <w:rsid w:val="0039626B"/>
    <w:rsid w:val="008C5BE1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F7EF4-6D75-48BE-8FEA-B9FE1415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15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157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David</dc:creator>
  <cp:lastModifiedBy>Smith, Martin</cp:lastModifiedBy>
  <cp:revision>2</cp:revision>
  <dcterms:created xsi:type="dcterms:W3CDTF">2020-01-14T16:01:00Z</dcterms:created>
  <dcterms:modified xsi:type="dcterms:W3CDTF">2020-01-14T17:05:00Z</dcterms:modified>
</cp:coreProperties>
</file>