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86" w:rsidRPr="000E6807" w:rsidRDefault="003E7186" w:rsidP="00E019E8">
      <w:pPr>
        <w:pStyle w:val="NoSpacing"/>
        <w:rPr>
          <w:sz w:val="24"/>
          <w:szCs w:val="24"/>
        </w:rPr>
      </w:pPr>
      <w:r w:rsidRPr="000E6807">
        <w:rPr>
          <w:sz w:val="24"/>
          <w:szCs w:val="24"/>
        </w:rPr>
        <w:t>Table 1. Facility Characteristics</w:t>
      </w:r>
      <w:r w:rsidR="00C30F27" w:rsidRPr="000E6807">
        <w:rPr>
          <w:sz w:val="24"/>
          <w:szCs w:val="24"/>
        </w:rPr>
        <w:t xml:space="preserve"> for TDP Units</w:t>
      </w:r>
    </w:p>
    <w:p w:rsidR="00A1271A" w:rsidRPr="000E6807" w:rsidRDefault="00A1271A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9"/>
        <w:gridCol w:w="1912"/>
        <w:gridCol w:w="2322"/>
        <w:gridCol w:w="2647"/>
      </w:tblGrid>
      <w:tr w:rsidR="00A1271A" w:rsidRPr="000E6807" w:rsidTr="00981C1E">
        <w:trPr>
          <w:trHeight w:val="300"/>
        </w:trPr>
        <w:tc>
          <w:tcPr>
            <w:tcW w:w="0" w:type="auto"/>
            <w:tcBorders>
              <w:top w:val="single" w:sz="24" w:space="0" w:color="000000" w:themeColor="text1"/>
              <w:bottom w:val="single" w:sz="4" w:space="0" w:color="auto"/>
            </w:tcBorders>
            <w:noWrap/>
          </w:tcPr>
          <w:p w:rsidR="00A1271A" w:rsidRPr="000E6807" w:rsidRDefault="00A1271A" w:rsidP="00A1271A">
            <w:pPr>
              <w:jc w:val="right"/>
              <w:rPr>
                <w:b/>
                <w:sz w:val="24"/>
                <w:szCs w:val="24"/>
              </w:rPr>
            </w:pPr>
            <w:r w:rsidRPr="000E6807">
              <w:rPr>
                <w:b/>
                <w:sz w:val="24"/>
                <w:szCs w:val="24"/>
              </w:rPr>
              <w:t>Unit Type</w:t>
            </w:r>
          </w:p>
        </w:tc>
        <w:tc>
          <w:tcPr>
            <w:tcW w:w="0" w:type="auto"/>
            <w:tcBorders>
              <w:top w:val="single" w:sz="24" w:space="0" w:color="000000" w:themeColor="text1"/>
              <w:bottom w:val="single" w:sz="4" w:space="0" w:color="auto"/>
            </w:tcBorders>
            <w:noWrap/>
          </w:tcPr>
          <w:p w:rsidR="00A1271A" w:rsidRPr="000E6807" w:rsidRDefault="00A1271A" w:rsidP="00A1271A">
            <w:pPr>
              <w:jc w:val="right"/>
              <w:rPr>
                <w:b/>
                <w:sz w:val="24"/>
                <w:szCs w:val="24"/>
              </w:rPr>
            </w:pPr>
            <w:r w:rsidRPr="000E6807">
              <w:rPr>
                <w:b/>
                <w:sz w:val="24"/>
                <w:szCs w:val="24"/>
              </w:rPr>
              <w:t>Complexity Level</w:t>
            </w:r>
          </w:p>
        </w:tc>
        <w:tc>
          <w:tcPr>
            <w:tcW w:w="0" w:type="auto"/>
            <w:tcBorders>
              <w:top w:val="single" w:sz="24" w:space="0" w:color="000000" w:themeColor="text1"/>
              <w:bottom w:val="single" w:sz="4" w:space="0" w:color="auto"/>
            </w:tcBorders>
          </w:tcPr>
          <w:p w:rsidR="00A1271A" w:rsidRPr="000E6807" w:rsidRDefault="00A1271A" w:rsidP="00A1271A">
            <w:pPr>
              <w:jc w:val="right"/>
              <w:rPr>
                <w:b/>
                <w:sz w:val="24"/>
                <w:szCs w:val="24"/>
              </w:rPr>
            </w:pPr>
            <w:r w:rsidRPr="000E6807">
              <w:rPr>
                <w:b/>
                <w:sz w:val="24"/>
                <w:szCs w:val="24"/>
              </w:rPr>
              <w:t>Number of TDP Units</w:t>
            </w:r>
          </w:p>
        </w:tc>
        <w:tc>
          <w:tcPr>
            <w:tcW w:w="0" w:type="auto"/>
            <w:tcBorders>
              <w:top w:val="single" w:sz="24" w:space="0" w:color="000000" w:themeColor="text1"/>
              <w:bottom w:val="single" w:sz="4" w:space="0" w:color="auto"/>
            </w:tcBorders>
          </w:tcPr>
          <w:p w:rsidR="00A1271A" w:rsidRPr="000E6807" w:rsidRDefault="00A1271A" w:rsidP="00A1271A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0E6807">
              <w:rPr>
                <w:b/>
                <w:sz w:val="24"/>
                <w:szCs w:val="24"/>
              </w:rPr>
              <w:t>Number of Patient Stays</w:t>
            </w:r>
          </w:p>
        </w:tc>
      </w:tr>
      <w:tr w:rsidR="00A1271A" w:rsidRPr="000E6807" w:rsidTr="00981C1E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A1271A" w:rsidRPr="000E6807" w:rsidRDefault="00A1271A" w:rsidP="00A1271A">
            <w:pPr>
              <w:jc w:val="right"/>
              <w:rPr>
                <w:sz w:val="24"/>
                <w:szCs w:val="24"/>
              </w:rPr>
            </w:pPr>
            <w:r w:rsidRPr="000E6807">
              <w:rPr>
                <w:sz w:val="24"/>
                <w:szCs w:val="24"/>
              </w:rPr>
              <w:t>Medical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A1271A" w:rsidRPr="000E6807" w:rsidRDefault="00A1271A" w:rsidP="00A1271A">
            <w:pPr>
              <w:jc w:val="right"/>
              <w:rPr>
                <w:sz w:val="24"/>
                <w:szCs w:val="24"/>
              </w:rPr>
            </w:pPr>
            <w:r w:rsidRPr="000E680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1271A" w:rsidRPr="000E6807" w:rsidRDefault="00A1271A" w:rsidP="00A1271A">
            <w:pPr>
              <w:jc w:val="right"/>
              <w:rPr>
                <w:sz w:val="24"/>
                <w:szCs w:val="24"/>
              </w:rPr>
            </w:pPr>
            <w:r w:rsidRPr="000E680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1271A" w:rsidRPr="000E6807" w:rsidRDefault="00A1271A" w:rsidP="00A1271A">
            <w:pPr>
              <w:pStyle w:val="NoSpacing"/>
              <w:jc w:val="right"/>
              <w:rPr>
                <w:sz w:val="24"/>
                <w:szCs w:val="24"/>
              </w:rPr>
            </w:pPr>
            <w:r w:rsidRPr="000E6807">
              <w:rPr>
                <w:sz w:val="24"/>
                <w:szCs w:val="24"/>
              </w:rPr>
              <w:t>4,491</w:t>
            </w:r>
          </w:p>
        </w:tc>
      </w:tr>
      <w:tr w:rsidR="00A1271A" w:rsidRPr="000E6807" w:rsidTr="00981C1E">
        <w:trPr>
          <w:trHeight w:val="300"/>
        </w:trPr>
        <w:tc>
          <w:tcPr>
            <w:tcW w:w="0" w:type="auto"/>
            <w:noWrap/>
            <w:vAlign w:val="center"/>
          </w:tcPr>
          <w:p w:rsidR="00A1271A" w:rsidRPr="000E6807" w:rsidRDefault="00A1271A" w:rsidP="00A1271A">
            <w:pPr>
              <w:jc w:val="right"/>
              <w:rPr>
                <w:sz w:val="24"/>
                <w:szCs w:val="24"/>
              </w:rPr>
            </w:pPr>
            <w:r w:rsidRPr="000E6807">
              <w:rPr>
                <w:sz w:val="24"/>
                <w:szCs w:val="24"/>
              </w:rPr>
              <w:t>Medical</w:t>
            </w:r>
          </w:p>
        </w:tc>
        <w:tc>
          <w:tcPr>
            <w:tcW w:w="0" w:type="auto"/>
            <w:noWrap/>
            <w:vAlign w:val="center"/>
          </w:tcPr>
          <w:p w:rsidR="00A1271A" w:rsidRPr="000E6807" w:rsidRDefault="00A1271A" w:rsidP="00A1271A">
            <w:pPr>
              <w:jc w:val="right"/>
              <w:rPr>
                <w:sz w:val="24"/>
                <w:szCs w:val="24"/>
              </w:rPr>
            </w:pPr>
            <w:r w:rsidRPr="000E680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1271A" w:rsidRPr="000E6807" w:rsidRDefault="00A1271A" w:rsidP="00A1271A">
            <w:pPr>
              <w:jc w:val="right"/>
              <w:rPr>
                <w:sz w:val="24"/>
                <w:szCs w:val="24"/>
              </w:rPr>
            </w:pPr>
            <w:r w:rsidRPr="000E680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A1271A" w:rsidRPr="000E6807" w:rsidRDefault="00A1271A" w:rsidP="00A1271A">
            <w:pPr>
              <w:pStyle w:val="NoSpacing"/>
              <w:jc w:val="right"/>
              <w:rPr>
                <w:sz w:val="24"/>
                <w:szCs w:val="24"/>
              </w:rPr>
            </w:pPr>
            <w:r w:rsidRPr="000E6807">
              <w:rPr>
                <w:sz w:val="24"/>
                <w:szCs w:val="24"/>
              </w:rPr>
              <w:t>3,523</w:t>
            </w:r>
          </w:p>
        </w:tc>
      </w:tr>
      <w:tr w:rsidR="00A1271A" w:rsidRPr="000E6807" w:rsidTr="00981C1E">
        <w:trPr>
          <w:trHeight w:val="300"/>
        </w:trPr>
        <w:tc>
          <w:tcPr>
            <w:tcW w:w="0" w:type="auto"/>
            <w:noWrap/>
            <w:vAlign w:val="center"/>
          </w:tcPr>
          <w:p w:rsidR="00A1271A" w:rsidRPr="000E6807" w:rsidRDefault="00A1271A" w:rsidP="00A1271A">
            <w:pPr>
              <w:jc w:val="right"/>
              <w:rPr>
                <w:sz w:val="24"/>
                <w:szCs w:val="24"/>
              </w:rPr>
            </w:pPr>
            <w:r w:rsidRPr="000E6807">
              <w:rPr>
                <w:sz w:val="24"/>
                <w:szCs w:val="24"/>
              </w:rPr>
              <w:t>Medical and Surgical</w:t>
            </w:r>
          </w:p>
        </w:tc>
        <w:tc>
          <w:tcPr>
            <w:tcW w:w="0" w:type="auto"/>
            <w:noWrap/>
            <w:vAlign w:val="center"/>
          </w:tcPr>
          <w:p w:rsidR="00A1271A" w:rsidRPr="000E6807" w:rsidRDefault="00A1271A" w:rsidP="00A1271A">
            <w:pPr>
              <w:jc w:val="right"/>
              <w:rPr>
                <w:sz w:val="24"/>
                <w:szCs w:val="24"/>
              </w:rPr>
            </w:pPr>
            <w:r w:rsidRPr="000E680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1271A" w:rsidRPr="000E6807" w:rsidRDefault="00A1271A" w:rsidP="00A1271A">
            <w:pPr>
              <w:jc w:val="right"/>
              <w:rPr>
                <w:sz w:val="24"/>
                <w:szCs w:val="24"/>
              </w:rPr>
            </w:pPr>
            <w:r w:rsidRPr="000E6807">
              <w:rPr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</w:tcPr>
          <w:p w:rsidR="00A1271A" w:rsidRPr="000E6807" w:rsidRDefault="00A1271A" w:rsidP="00A1271A">
            <w:pPr>
              <w:pStyle w:val="NoSpacing"/>
              <w:jc w:val="right"/>
              <w:rPr>
                <w:sz w:val="24"/>
                <w:szCs w:val="24"/>
              </w:rPr>
            </w:pPr>
            <w:r w:rsidRPr="000E6807">
              <w:rPr>
                <w:sz w:val="24"/>
                <w:szCs w:val="24"/>
              </w:rPr>
              <w:t>101,435</w:t>
            </w:r>
          </w:p>
        </w:tc>
      </w:tr>
      <w:tr w:rsidR="00A1271A" w:rsidRPr="000E6807" w:rsidTr="00981C1E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A1271A" w:rsidRPr="000E6807" w:rsidRDefault="00A1271A" w:rsidP="00A1271A">
            <w:pPr>
              <w:jc w:val="right"/>
              <w:rPr>
                <w:sz w:val="24"/>
                <w:szCs w:val="24"/>
              </w:rPr>
            </w:pPr>
            <w:r w:rsidRPr="000E6807">
              <w:rPr>
                <w:sz w:val="24"/>
                <w:szCs w:val="24"/>
              </w:rPr>
              <w:t>Surgical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A1271A" w:rsidRPr="000E6807" w:rsidRDefault="00A1271A" w:rsidP="00A1271A">
            <w:pPr>
              <w:jc w:val="right"/>
              <w:rPr>
                <w:sz w:val="24"/>
                <w:szCs w:val="24"/>
              </w:rPr>
            </w:pPr>
            <w:r w:rsidRPr="000E680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1271A" w:rsidRPr="000E6807" w:rsidRDefault="00A1271A" w:rsidP="00A1271A">
            <w:pPr>
              <w:jc w:val="right"/>
              <w:rPr>
                <w:sz w:val="24"/>
                <w:szCs w:val="24"/>
              </w:rPr>
            </w:pPr>
            <w:r w:rsidRPr="000E680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A1271A" w:rsidRPr="000E6807" w:rsidRDefault="00A1271A" w:rsidP="00A1271A">
            <w:pPr>
              <w:pStyle w:val="NoSpacing"/>
              <w:jc w:val="right"/>
              <w:rPr>
                <w:sz w:val="24"/>
                <w:szCs w:val="24"/>
              </w:rPr>
            </w:pPr>
            <w:r w:rsidRPr="000E6807">
              <w:rPr>
                <w:sz w:val="24"/>
                <w:szCs w:val="24"/>
              </w:rPr>
              <w:t>10,275</w:t>
            </w:r>
          </w:p>
        </w:tc>
      </w:tr>
      <w:tr w:rsidR="00A1271A" w:rsidRPr="000E6807" w:rsidTr="00981C1E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24" w:space="0" w:color="000000" w:themeColor="text1"/>
            </w:tcBorders>
            <w:noWrap/>
            <w:vAlign w:val="center"/>
          </w:tcPr>
          <w:p w:rsidR="00A1271A" w:rsidRPr="000E6807" w:rsidRDefault="00A1271A" w:rsidP="00A1271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000000" w:themeColor="text1"/>
            </w:tcBorders>
            <w:noWrap/>
            <w:vAlign w:val="center"/>
          </w:tcPr>
          <w:p w:rsidR="00A1271A" w:rsidRPr="000E6807" w:rsidRDefault="00A1271A" w:rsidP="00A1271A">
            <w:pPr>
              <w:jc w:val="right"/>
              <w:rPr>
                <w:b/>
                <w:sz w:val="24"/>
                <w:szCs w:val="24"/>
              </w:rPr>
            </w:pPr>
            <w:r w:rsidRPr="000E6807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000000" w:themeColor="text1"/>
            </w:tcBorders>
            <w:vAlign w:val="center"/>
          </w:tcPr>
          <w:p w:rsidR="00A1271A" w:rsidRPr="000E6807" w:rsidRDefault="00A1271A" w:rsidP="00A1271A">
            <w:pPr>
              <w:jc w:val="right"/>
              <w:rPr>
                <w:b/>
                <w:sz w:val="24"/>
                <w:szCs w:val="24"/>
              </w:rPr>
            </w:pPr>
            <w:r w:rsidRPr="000E6807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4" w:space="0" w:color="000000" w:themeColor="text1"/>
            </w:tcBorders>
            <w:vAlign w:val="center"/>
          </w:tcPr>
          <w:p w:rsidR="00A1271A" w:rsidRPr="000E6807" w:rsidRDefault="00A1271A" w:rsidP="00A1271A">
            <w:pPr>
              <w:pStyle w:val="NoSpacing"/>
              <w:jc w:val="right"/>
              <w:rPr>
                <w:b/>
                <w:sz w:val="24"/>
                <w:szCs w:val="24"/>
              </w:rPr>
            </w:pPr>
            <w:r w:rsidRPr="000E6807">
              <w:rPr>
                <w:b/>
                <w:sz w:val="24"/>
                <w:szCs w:val="24"/>
              </w:rPr>
              <w:t>119,724</w:t>
            </w:r>
          </w:p>
        </w:tc>
      </w:tr>
    </w:tbl>
    <w:p w:rsidR="00EB748C" w:rsidRPr="000E6807" w:rsidRDefault="00EB748C" w:rsidP="00EB748C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E6807">
        <w:rPr>
          <w:sz w:val="24"/>
          <w:szCs w:val="24"/>
        </w:rPr>
        <w:t xml:space="preserve">Note: </w:t>
      </w:r>
      <w:r w:rsidRPr="000E6807">
        <w:rPr>
          <w:rFonts w:ascii="Calibri" w:eastAsia="Times New Roman" w:hAnsi="Calibri" w:cs="Times New Roman"/>
          <w:color w:val="000000"/>
          <w:sz w:val="24"/>
          <w:szCs w:val="24"/>
        </w:rPr>
        <w:t>Complexity levels 1a-1c collapsed into 1</w:t>
      </w:r>
    </w:p>
    <w:p w:rsidR="005259E4" w:rsidRPr="000E6807" w:rsidRDefault="005259E4">
      <w:pPr>
        <w:rPr>
          <w:sz w:val="24"/>
          <w:szCs w:val="24"/>
        </w:rPr>
      </w:pPr>
      <w:bookmarkStart w:id="0" w:name="_GoBack"/>
      <w:bookmarkEnd w:id="0"/>
    </w:p>
    <w:sectPr w:rsidR="005259E4" w:rsidRPr="000E6807" w:rsidSect="00EE2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50E" w:rsidRDefault="0032450E" w:rsidP="00BF1D30">
      <w:pPr>
        <w:spacing w:after="0" w:line="240" w:lineRule="auto"/>
      </w:pPr>
      <w:r>
        <w:separator/>
      </w:r>
    </w:p>
  </w:endnote>
  <w:endnote w:type="continuationSeparator" w:id="0">
    <w:p w:rsidR="0032450E" w:rsidRDefault="0032450E" w:rsidP="00BF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50E" w:rsidRDefault="0032450E" w:rsidP="00BF1D30">
      <w:pPr>
        <w:spacing w:after="0" w:line="240" w:lineRule="auto"/>
      </w:pPr>
      <w:r>
        <w:separator/>
      </w:r>
    </w:p>
  </w:footnote>
  <w:footnote w:type="continuationSeparator" w:id="0">
    <w:p w:rsidR="0032450E" w:rsidRDefault="0032450E" w:rsidP="00BF1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1A1"/>
    <w:multiLevelType w:val="hybridMultilevel"/>
    <w:tmpl w:val="13A03C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9496D"/>
    <w:multiLevelType w:val="multilevel"/>
    <w:tmpl w:val="2952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896708"/>
    <w:multiLevelType w:val="hybridMultilevel"/>
    <w:tmpl w:val="0106A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0aepzw2t2d096ew9vpvetxf9pdpe5de2sex&quot;&gt;My EndNote Library&lt;record-ids&gt;&lt;item&gt;401&lt;/item&gt;&lt;item&gt;1077&lt;/item&gt;&lt;item&gt;1339&lt;/item&gt;&lt;item&gt;1340&lt;/item&gt;&lt;item&gt;1341&lt;/item&gt;&lt;item&gt;1342&lt;/item&gt;&lt;item&gt;1343&lt;/item&gt;&lt;item&gt;1370&lt;/item&gt;&lt;item&gt;1371&lt;/item&gt;&lt;item&gt;1374&lt;/item&gt;&lt;item&gt;1375&lt;/item&gt;&lt;item&gt;1376&lt;/item&gt;&lt;item&gt;1377&lt;/item&gt;&lt;item&gt;1381&lt;/item&gt;&lt;/record-ids&gt;&lt;/item&gt;&lt;/Libraries&gt;"/>
  </w:docVars>
  <w:rsids>
    <w:rsidRoot w:val="0074554A"/>
    <w:rsid w:val="00000A80"/>
    <w:rsid w:val="00007304"/>
    <w:rsid w:val="00007F69"/>
    <w:rsid w:val="000148CE"/>
    <w:rsid w:val="00023B6A"/>
    <w:rsid w:val="00025568"/>
    <w:rsid w:val="000327E1"/>
    <w:rsid w:val="000411CF"/>
    <w:rsid w:val="0004180D"/>
    <w:rsid w:val="00042362"/>
    <w:rsid w:val="0004407E"/>
    <w:rsid w:val="00053A16"/>
    <w:rsid w:val="00054090"/>
    <w:rsid w:val="000607CE"/>
    <w:rsid w:val="000706CD"/>
    <w:rsid w:val="00075F72"/>
    <w:rsid w:val="00076462"/>
    <w:rsid w:val="00085928"/>
    <w:rsid w:val="000860FA"/>
    <w:rsid w:val="000967B9"/>
    <w:rsid w:val="000A44FC"/>
    <w:rsid w:val="000A72B7"/>
    <w:rsid w:val="000A7F12"/>
    <w:rsid w:val="000B359F"/>
    <w:rsid w:val="000C3E54"/>
    <w:rsid w:val="000C6935"/>
    <w:rsid w:val="000D3C89"/>
    <w:rsid w:val="000D4366"/>
    <w:rsid w:val="000D57A3"/>
    <w:rsid w:val="000E09AE"/>
    <w:rsid w:val="000E4E36"/>
    <w:rsid w:val="000E555E"/>
    <w:rsid w:val="000E6807"/>
    <w:rsid w:val="000E6F18"/>
    <w:rsid w:val="000E741B"/>
    <w:rsid w:val="000F296C"/>
    <w:rsid w:val="000F6660"/>
    <w:rsid w:val="001029FD"/>
    <w:rsid w:val="001042E9"/>
    <w:rsid w:val="00107D65"/>
    <w:rsid w:val="00111CB6"/>
    <w:rsid w:val="00113169"/>
    <w:rsid w:val="0011426A"/>
    <w:rsid w:val="00114AAE"/>
    <w:rsid w:val="00120772"/>
    <w:rsid w:val="00121546"/>
    <w:rsid w:val="001220EF"/>
    <w:rsid w:val="00123D85"/>
    <w:rsid w:val="00127AAB"/>
    <w:rsid w:val="001331C1"/>
    <w:rsid w:val="00135810"/>
    <w:rsid w:val="001374A0"/>
    <w:rsid w:val="001404A6"/>
    <w:rsid w:val="0014060E"/>
    <w:rsid w:val="00146A9E"/>
    <w:rsid w:val="00152341"/>
    <w:rsid w:val="00157261"/>
    <w:rsid w:val="00163B0F"/>
    <w:rsid w:val="001643B6"/>
    <w:rsid w:val="0017480B"/>
    <w:rsid w:val="001752F5"/>
    <w:rsid w:val="001838E9"/>
    <w:rsid w:val="00186F14"/>
    <w:rsid w:val="00196C3C"/>
    <w:rsid w:val="001B2880"/>
    <w:rsid w:val="001B3C34"/>
    <w:rsid w:val="001B4E08"/>
    <w:rsid w:val="001B7D65"/>
    <w:rsid w:val="001D4D56"/>
    <w:rsid w:val="001D7B2C"/>
    <w:rsid w:val="001E2910"/>
    <w:rsid w:val="001E4F88"/>
    <w:rsid w:val="001E63BB"/>
    <w:rsid w:val="001F0433"/>
    <w:rsid w:val="001F1BBF"/>
    <w:rsid w:val="001F2D92"/>
    <w:rsid w:val="001F467E"/>
    <w:rsid w:val="001F7203"/>
    <w:rsid w:val="00205747"/>
    <w:rsid w:val="00215801"/>
    <w:rsid w:val="0023199A"/>
    <w:rsid w:val="00240442"/>
    <w:rsid w:val="0025420E"/>
    <w:rsid w:val="002566BB"/>
    <w:rsid w:val="002602CB"/>
    <w:rsid w:val="00261E11"/>
    <w:rsid w:val="002631B2"/>
    <w:rsid w:val="002656B9"/>
    <w:rsid w:val="0027025A"/>
    <w:rsid w:val="0027463C"/>
    <w:rsid w:val="00274957"/>
    <w:rsid w:val="00276B0A"/>
    <w:rsid w:val="00281B37"/>
    <w:rsid w:val="00286B72"/>
    <w:rsid w:val="00290AC8"/>
    <w:rsid w:val="00297B0A"/>
    <w:rsid w:val="002A0D7A"/>
    <w:rsid w:val="002A5D90"/>
    <w:rsid w:val="002B181A"/>
    <w:rsid w:val="002B64ED"/>
    <w:rsid w:val="002C0913"/>
    <w:rsid w:val="002C17C4"/>
    <w:rsid w:val="002C2A44"/>
    <w:rsid w:val="002C5D30"/>
    <w:rsid w:val="002C7F4E"/>
    <w:rsid w:val="002D203A"/>
    <w:rsid w:val="002D2286"/>
    <w:rsid w:val="002D4E6F"/>
    <w:rsid w:val="002D6133"/>
    <w:rsid w:val="002E2332"/>
    <w:rsid w:val="002E2D96"/>
    <w:rsid w:val="002F2E77"/>
    <w:rsid w:val="002F5A28"/>
    <w:rsid w:val="0030162D"/>
    <w:rsid w:val="00314320"/>
    <w:rsid w:val="003145D9"/>
    <w:rsid w:val="00322E3B"/>
    <w:rsid w:val="0032450E"/>
    <w:rsid w:val="00326B73"/>
    <w:rsid w:val="00337FED"/>
    <w:rsid w:val="003426BB"/>
    <w:rsid w:val="00355741"/>
    <w:rsid w:val="003607A6"/>
    <w:rsid w:val="003635E7"/>
    <w:rsid w:val="0036482A"/>
    <w:rsid w:val="00367535"/>
    <w:rsid w:val="00374B51"/>
    <w:rsid w:val="00380DCC"/>
    <w:rsid w:val="0038184A"/>
    <w:rsid w:val="00381BE8"/>
    <w:rsid w:val="00383B77"/>
    <w:rsid w:val="00384E1E"/>
    <w:rsid w:val="003871A0"/>
    <w:rsid w:val="00393B4F"/>
    <w:rsid w:val="003A0330"/>
    <w:rsid w:val="003A1DD9"/>
    <w:rsid w:val="003A2BC3"/>
    <w:rsid w:val="003D2D2F"/>
    <w:rsid w:val="003D42CB"/>
    <w:rsid w:val="003D6CB8"/>
    <w:rsid w:val="003D7DD8"/>
    <w:rsid w:val="003E00A2"/>
    <w:rsid w:val="003E4B45"/>
    <w:rsid w:val="003E7186"/>
    <w:rsid w:val="003F101B"/>
    <w:rsid w:val="003F3503"/>
    <w:rsid w:val="003F3B7C"/>
    <w:rsid w:val="003F4C84"/>
    <w:rsid w:val="00400D43"/>
    <w:rsid w:val="00412696"/>
    <w:rsid w:val="00413025"/>
    <w:rsid w:val="004219BF"/>
    <w:rsid w:val="0042491C"/>
    <w:rsid w:val="0042554A"/>
    <w:rsid w:val="00432B56"/>
    <w:rsid w:val="00437523"/>
    <w:rsid w:val="0044441D"/>
    <w:rsid w:val="00446B28"/>
    <w:rsid w:val="00447205"/>
    <w:rsid w:val="00447EFF"/>
    <w:rsid w:val="00451364"/>
    <w:rsid w:val="00456A42"/>
    <w:rsid w:val="004610AA"/>
    <w:rsid w:val="00465B2D"/>
    <w:rsid w:val="00471CD9"/>
    <w:rsid w:val="00471DB5"/>
    <w:rsid w:val="00472A3E"/>
    <w:rsid w:val="00474E30"/>
    <w:rsid w:val="00492241"/>
    <w:rsid w:val="0049239B"/>
    <w:rsid w:val="00494444"/>
    <w:rsid w:val="004954A3"/>
    <w:rsid w:val="004964EE"/>
    <w:rsid w:val="004A2028"/>
    <w:rsid w:val="004A53A9"/>
    <w:rsid w:val="004A7430"/>
    <w:rsid w:val="004B1438"/>
    <w:rsid w:val="004B226E"/>
    <w:rsid w:val="004B5925"/>
    <w:rsid w:val="004C1D83"/>
    <w:rsid w:val="004D02D8"/>
    <w:rsid w:val="004D1792"/>
    <w:rsid w:val="004D386C"/>
    <w:rsid w:val="004E5AF7"/>
    <w:rsid w:val="004F36D7"/>
    <w:rsid w:val="004F594B"/>
    <w:rsid w:val="00502924"/>
    <w:rsid w:val="005057B6"/>
    <w:rsid w:val="00514231"/>
    <w:rsid w:val="00523BD8"/>
    <w:rsid w:val="005259E4"/>
    <w:rsid w:val="00527C80"/>
    <w:rsid w:val="0053084B"/>
    <w:rsid w:val="005456E8"/>
    <w:rsid w:val="00546632"/>
    <w:rsid w:val="0054716C"/>
    <w:rsid w:val="00551B59"/>
    <w:rsid w:val="00552013"/>
    <w:rsid w:val="00554BD5"/>
    <w:rsid w:val="005555D9"/>
    <w:rsid w:val="005600EB"/>
    <w:rsid w:val="0056104C"/>
    <w:rsid w:val="00561745"/>
    <w:rsid w:val="00582CAC"/>
    <w:rsid w:val="00583F3A"/>
    <w:rsid w:val="00593CAD"/>
    <w:rsid w:val="005A0404"/>
    <w:rsid w:val="005A0B66"/>
    <w:rsid w:val="005A1FCC"/>
    <w:rsid w:val="005A4F4C"/>
    <w:rsid w:val="005B3CAD"/>
    <w:rsid w:val="005B5A9C"/>
    <w:rsid w:val="005B5F57"/>
    <w:rsid w:val="005C639E"/>
    <w:rsid w:val="005C6DB1"/>
    <w:rsid w:val="005C7A0B"/>
    <w:rsid w:val="005D0695"/>
    <w:rsid w:val="005D16A4"/>
    <w:rsid w:val="005D3273"/>
    <w:rsid w:val="005D3A91"/>
    <w:rsid w:val="005D5629"/>
    <w:rsid w:val="005D6EDF"/>
    <w:rsid w:val="005E5501"/>
    <w:rsid w:val="005E6A86"/>
    <w:rsid w:val="005E6B04"/>
    <w:rsid w:val="005F7566"/>
    <w:rsid w:val="00603C8C"/>
    <w:rsid w:val="00607BD0"/>
    <w:rsid w:val="00607C8D"/>
    <w:rsid w:val="00607CC2"/>
    <w:rsid w:val="0061133E"/>
    <w:rsid w:val="00612C64"/>
    <w:rsid w:val="00620918"/>
    <w:rsid w:val="00621228"/>
    <w:rsid w:val="006217D3"/>
    <w:rsid w:val="00625299"/>
    <w:rsid w:val="00633DBC"/>
    <w:rsid w:val="00641DD0"/>
    <w:rsid w:val="00646DED"/>
    <w:rsid w:val="00651BB9"/>
    <w:rsid w:val="006533C0"/>
    <w:rsid w:val="00654695"/>
    <w:rsid w:val="0065489B"/>
    <w:rsid w:val="0065680C"/>
    <w:rsid w:val="00666093"/>
    <w:rsid w:val="00666253"/>
    <w:rsid w:val="00680972"/>
    <w:rsid w:val="006852EE"/>
    <w:rsid w:val="00696DAB"/>
    <w:rsid w:val="006A2109"/>
    <w:rsid w:val="006A640F"/>
    <w:rsid w:val="006A77F5"/>
    <w:rsid w:val="006B0507"/>
    <w:rsid w:val="006B26CA"/>
    <w:rsid w:val="006B6ED7"/>
    <w:rsid w:val="006B7ED7"/>
    <w:rsid w:val="006C793C"/>
    <w:rsid w:val="006D0CE0"/>
    <w:rsid w:val="006D376A"/>
    <w:rsid w:val="006D70F1"/>
    <w:rsid w:val="006E1276"/>
    <w:rsid w:val="006E1F19"/>
    <w:rsid w:val="006E7730"/>
    <w:rsid w:val="006E7947"/>
    <w:rsid w:val="006F2669"/>
    <w:rsid w:val="006F7DD6"/>
    <w:rsid w:val="007023C8"/>
    <w:rsid w:val="00707AA8"/>
    <w:rsid w:val="00711B89"/>
    <w:rsid w:val="007161B5"/>
    <w:rsid w:val="00723D14"/>
    <w:rsid w:val="007273D2"/>
    <w:rsid w:val="007301A6"/>
    <w:rsid w:val="00736F8D"/>
    <w:rsid w:val="00737D61"/>
    <w:rsid w:val="007402C7"/>
    <w:rsid w:val="00742BA5"/>
    <w:rsid w:val="0074554A"/>
    <w:rsid w:val="00751162"/>
    <w:rsid w:val="0075615C"/>
    <w:rsid w:val="00762DE8"/>
    <w:rsid w:val="00764346"/>
    <w:rsid w:val="00771721"/>
    <w:rsid w:val="00771B56"/>
    <w:rsid w:val="007764CB"/>
    <w:rsid w:val="0077761E"/>
    <w:rsid w:val="00783A8C"/>
    <w:rsid w:val="007855CE"/>
    <w:rsid w:val="007911B4"/>
    <w:rsid w:val="00791904"/>
    <w:rsid w:val="00795E72"/>
    <w:rsid w:val="007B0BA5"/>
    <w:rsid w:val="007B2C7C"/>
    <w:rsid w:val="007B3D75"/>
    <w:rsid w:val="007B60EE"/>
    <w:rsid w:val="007B7EF8"/>
    <w:rsid w:val="007C3786"/>
    <w:rsid w:val="007C7097"/>
    <w:rsid w:val="007D0395"/>
    <w:rsid w:val="007D21C2"/>
    <w:rsid w:val="007E08D6"/>
    <w:rsid w:val="007E7B93"/>
    <w:rsid w:val="007F5120"/>
    <w:rsid w:val="007F7FFD"/>
    <w:rsid w:val="00802BDB"/>
    <w:rsid w:val="008063FF"/>
    <w:rsid w:val="00812D02"/>
    <w:rsid w:val="00813354"/>
    <w:rsid w:val="00816D6E"/>
    <w:rsid w:val="008242EF"/>
    <w:rsid w:val="00825A18"/>
    <w:rsid w:val="00833E1F"/>
    <w:rsid w:val="00842993"/>
    <w:rsid w:val="0084450D"/>
    <w:rsid w:val="00851AAD"/>
    <w:rsid w:val="008565FC"/>
    <w:rsid w:val="00863009"/>
    <w:rsid w:val="00871686"/>
    <w:rsid w:val="00883110"/>
    <w:rsid w:val="00893696"/>
    <w:rsid w:val="00896597"/>
    <w:rsid w:val="008969C5"/>
    <w:rsid w:val="00896DE0"/>
    <w:rsid w:val="008A1854"/>
    <w:rsid w:val="008A6146"/>
    <w:rsid w:val="008C0B33"/>
    <w:rsid w:val="008C1DB4"/>
    <w:rsid w:val="008C2947"/>
    <w:rsid w:val="008C4554"/>
    <w:rsid w:val="008D17C3"/>
    <w:rsid w:val="008D5087"/>
    <w:rsid w:val="008D568E"/>
    <w:rsid w:val="008E2AB6"/>
    <w:rsid w:val="008E4336"/>
    <w:rsid w:val="008E6461"/>
    <w:rsid w:val="008E693E"/>
    <w:rsid w:val="008F0B83"/>
    <w:rsid w:val="008F179D"/>
    <w:rsid w:val="008F3311"/>
    <w:rsid w:val="008F43CA"/>
    <w:rsid w:val="008F604E"/>
    <w:rsid w:val="008F63F7"/>
    <w:rsid w:val="008F641D"/>
    <w:rsid w:val="0091208A"/>
    <w:rsid w:val="0092054D"/>
    <w:rsid w:val="00923E2B"/>
    <w:rsid w:val="009256A4"/>
    <w:rsid w:val="00930491"/>
    <w:rsid w:val="00936B00"/>
    <w:rsid w:val="009466EE"/>
    <w:rsid w:val="00952071"/>
    <w:rsid w:val="00956954"/>
    <w:rsid w:val="009617EA"/>
    <w:rsid w:val="009659F4"/>
    <w:rsid w:val="00970E90"/>
    <w:rsid w:val="00973319"/>
    <w:rsid w:val="00975082"/>
    <w:rsid w:val="00981C1E"/>
    <w:rsid w:val="009836FC"/>
    <w:rsid w:val="0099027B"/>
    <w:rsid w:val="00992826"/>
    <w:rsid w:val="009A592F"/>
    <w:rsid w:val="009B0F22"/>
    <w:rsid w:val="009B760B"/>
    <w:rsid w:val="009C368C"/>
    <w:rsid w:val="009C42CF"/>
    <w:rsid w:val="009C5FAA"/>
    <w:rsid w:val="009D01F6"/>
    <w:rsid w:val="009E1DCD"/>
    <w:rsid w:val="009E330B"/>
    <w:rsid w:val="009E6DD7"/>
    <w:rsid w:val="00A0472A"/>
    <w:rsid w:val="00A06DA6"/>
    <w:rsid w:val="00A10BE9"/>
    <w:rsid w:val="00A1271A"/>
    <w:rsid w:val="00A20F76"/>
    <w:rsid w:val="00A248FF"/>
    <w:rsid w:val="00A30F6D"/>
    <w:rsid w:val="00A31823"/>
    <w:rsid w:val="00A31F38"/>
    <w:rsid w:val="00A32C59"/>
    <w:rsid w:val="00A350B7"/>
    <w:rsid w:val="00A54586"/>
    <w:rsid w:val="00A54A55"/>
    <w:rsid w:val="00A63084"/>
    <w:rsid w:val="00A72B95"/>
    <w:rsid w:val="00A75C8B"/>
    <w:rsid w:val="00A76102"/>
    <w:rsid w:val="00A76479"/>
    <w:rsid w:val="00A82C79"/>
    <w:rsid w:val="00A850EF"/>
    <w:rsid w:val="00A8643D"/>
    <w:rsid w:val="00A901BD"/>
    <w:rsid w:val="00AA769D"/>
    <w:rsid w:val="00AB113C"/>
    <w:rsid w:val="00AC1DE9"/>
    <w:rsid w:val="00AC2038"/>
    <w:rsid w:val="00AC2C9D"/>
    <w:rsid w:val="00AC3C0E"/>
    <w:rsid w:val="00AC44CE"/>
    <w:rsid w:val="00AC540A"/>
    <w:rsid w:val="00AD4230"/>
    <w:rsid w:val="00AE4D15"/>
    <w:rsid w:val="00AE7C25"/>
    <w:rsid w:val="00AF3CB8"/>
    <w:rsid w:val="00AF4040"/>
    <w:rsid w:val="00AF4A19"/>
    <w:rsid w:val="00B027B6"/>
    <w:rsid w:val="00B0374F"/>
    <w:rsid w:val="00B0510F"/>
    <w:rsid w:val="00B10E75"/>
    <w:rsid w:val="00B14EF3"/>
    <w:rsid w:val="00B179F1"/>
    <w:rsid w:val="00B23F4A"/>
    <w:rsid w:val="00B25FB0"/>
    <w:rsid w:val="00B32A34"/>
    <w:rsid w:val="00B37100"/>
    <w:rsid w:val="00B420CF"/>
    <w:rsid w:val="00B42F56"/>
    <w:rsid w:val="00B45EC5"/>
    <w:rsid w:val="00B46170"/>
    <w:rsid w:val="00B500F2"/>
    <w:rsid w:val="00B57312"/>
    <w:rsid w:val="00B64562"/>
    <w:rsid w:val="00B73638"/>
    <w:rsid w:val="00B80593"/>
    <w:rsid w:val="00B87C8B"/>
    <w:rsid w:val="00B975F8"/>
    <w:rsid w:val="00BA0360"/>
    <w:rsid w:val="00BB2615"/>
    <w:rsid w:val="00BB313F"/>
    <w:rsid w:val="00BB7F28"/>
    <w:rsid w:val="00BC6292"/>
    <w:rsid w:val="00BC70CA"/>
    <w:rsid w:val="00BC711C"/>
    <w:rsid w:val="00BD1276"/>
    <w:rsid w:val="00BD2284"/>
    <w:rsid w:val="00BD2C13"/>
    <w:rsid w:val="00BD4754"/>
    <w:rsid w:val="00BD5699"/>
    <w:rsid w:val="00BE0278"/>
    <w:rsid w:val="00BE4062"/>
    <w:rsid w:val="00BE76FC"/>
    <w:rsid w:val="00BF1490"/>
    <w:rsid w:val="00BF1D30"/>
    <w:rsid w:val="00BF5541"/>
    <w:rsid w:val="00C05F15"/>
    <w:rsid w:val="00C06D75"/>
    <w:rsid w:val="00C07A15"/>
    <w:rsid w:val="00C1364A"/>
    <w:rsid w:val="00C17558"/>
    <w:rsid w:val="00C30C54"/>
    <w:rsid w:val="00C30F27"/>
    <w:rsid w:val="00C4246E"/>
    <w:rsid w:val="00C44259"/>
    <w:rsid w:val="00C45D57"/>
    <w:rsid w:val="00C524C2"/>
    <w:rsid w:val="00C538FE"/>
    <w:rsid w:val="00C57B15"/>
    <w:rsid w:val="00C6334D"/>
    <w:rsid w:val="00C645F5"/>
    <w:rsid w:val="00C656F2"/>
    <w:rsid w:val="00C72B0C"/>
    <w:rsid w:val="00C81140"/>
    <w:rsid w:val="00C8262F"/>
    <w:rsid w:val="00C835E5"/>
    <w:rsid w:val="00C841C3"/>
    <w:rsid w:val="00C86103"/>
    <w:rsid w:val="00C90748"/>
    <w:rsid w:val="00C934DE"/>
    <w:rsid w:val="00CA0132"/>
    <w:rsid w:val="00CA3BE3"/>
    <w:rsid w:val="00CA6576"/>
    <w:rsid w:val="00CB1D50"/>
    <w:rsid w:val="00CB3119"/>
    <w:rsid w:val="00CB5DE8"/>
    <w:rsid w:val="00CC2A48"/>
    <w:rsid w:val="00CC3798"/>
    <w:rsid w:val="00CD22C1"/>
    <w:rsid w:val="00CD6567"/>
    <w:rsid w:val="00CE2924"/>
    <w:rsid w:val="00CE5BDF"/>
    <w:rsid w:val="00CF04FF"/>
    <w:rsid w:val="00CF31F6"/>
    <w:rsid w:val="00CF6152"/>
    <w:rsid w:val="00CF639D"/>
    <w:rsid w:val="00CF7B86"/>
    <w:rsid w:val="00D0652F"/>
    <w:rsid w:val="00D12A82"/>
    <w:rsid w:val="00D17873"/>
    <w:rsid w:val="00D208A8"/>
    <w:rsid w:val="00D25810"/>
    <w:rsid w:val="00D32049"/>
    <w:rsid w:val="00D36C6C"/>
    <w:rsid w:val="00D405E4"/>
    <w:rsid w:val="00D45452"/>
    <w:rsid w:val="00D52186"/>
    <w:rsid w:val="00D5288F"/>
    <w:rsid w:val="00D52EC4"/>
    <w:rsid w:val="00D543C4"/>
    <w:rsid w:val="00D572F1"/>
    <w:rsid w:val="00D57ECE"/>
    <w:rsid w:val="00D62E14"/>
    <w:rsid w:val="00D701AB"/>
    <w:rsid w:val="00D83F60"/>
    <w:rsid w:val="00D84E0F"/>
    <w:rsid w:val="00D85958"/>
    <w:rsid w:val="00D864C0"/>
    <w:rsid w:val="00D90C97"/>
    <w:rsid w:val="00D917D7"/>
    <w:rsid w:val="00D92CC2"/>
    <w:rsid w:val="00D92D01"/>
    <w:rsid w:val="00D93352"/>
    <w:rsid w:val="00D94031"/>
    <w:rsid w:val="00D94BAA"/>
    <w:rsid w:val="00D94F7F"/>
    <w:rsid w:val="00D9675B"/>
    <w:rsid w:val="00DA06F9"/>
    <w:rsid w:val="00DA0923"/>
    <w:rsid w:val="00DA16AC"/>
    <w:rsid w:val="00DA207D"/>
    <w:rsid w:val="00DA4559"/>
    <w:rsid w:val="00DC0B1D"/>
    <w:rsid w:val="00DC13FE"/>
    <w:rsid w:val="00DC1D46"/>
    <w:rsid w:val="00DC692A"/>
    <w:rsid w:val="00DD0B5B"/>
    <w:rsid w:val="00DD1B49"/>
    <w:rsid w:val="00DD63D4"/>
    <w:rsid w:val="00DE34B3"/>
    <w:rsid w:val="00DE51C6"/>
    <w:rsid w:val="00DF0022"/>
    <w:rsid w:val="00DF1FF2"/>
    <w:rsid w:val="00DF32BB"/>
    <w:rsid w:val="00DF543F"/>
    <w:rsid w:val="00DF6E2A"/>
    <w:rsid w:val="00E019E8"/>
    <w:rsid w:val="00E02650"/>
    <w:rsid w:val="00E05CA9"/>
    <w:rsid w:val="00E06976"/>
    <w:rsid w:val="00E166BF"/>
    <w:rsid w:val="00E16F75"/>
    <w:rsid w:val="00E24B14"/>
    <w:rsid w:val="00E2738B"/>
    <w:rsid w:val="00E31274"/>
    <w:rsid w:val="00E447DE"/>
    <w:rsid w:val="00E44CE3"/>
    <w:rsid w:val="00E45B20"/>
    <w:rsid w:val="00E51D47"/>
    <w:rsid w:val="00E61C00"/>
    <w:rsid w:val="00E624FB"/>
    <w:rsid w:val="00E63316"/>
    <w:rsid w:val="00E66195"/>
    <w:rsid w:val="00E8432F"/>
    <w:rsid w:val="00E871C5"/>
    <w:rsid w:val="00E915AD"/>
    <w:rsid w:val="00E97E58"/>
    <w:rsid w:val="00EA1926"/>
    <w:rsid w:val="00EA2E8A"/>
    <w:rsid w:val="00EA432C"/>
    <w:rsid w:val="00EB094C"/>
    <w:rsid w:val="00EB748C"/>
    <w:rsid w:val="00EC2028"/>
    <w:rsid w:val="00EC35E8"/>
    <w:rsid w:val="00ED1DF5"/>
    <w:rsid w:val="00ED30D2"/>
    <w:rsid w:val="00ED46F3"/>
    <w:rsid w:val="00ED543F"/>
    <w:rsid w:val="00EE14B7"/>
    <w:rsid w:val="00EE15D0"/>
    <w:rsid w:val="00EE2C90"/>
    <w:rsid w:val="00EF1590"/>
    <w:rsid w:val="00F03534"/>
    <w:rsid w:val="00F07280"/>
    <w:rsid w:val="00F25426"/>
    <w:rsid w:val="00F271BE"/>
    <w:rsid w:val="00F35F19"/>
    <w:rsid w:val="00F36F74"/>
    <w:rsid w:val="00F41F4E"/>
    <w:rsid w:val="00F43653"/>
    <w:rsid w:val="00F469AF"/>
    <w:rsid w:val="00F46F92"/>
    <w:rsid w:val="00F54E88"/>
    <w:rsid w:val="00F64BA8"/>
    <w:rsid w:val="00F67725"/>
    <w:rsid w:val="00F7222B"/>
    <w:rsid w:val="00F75085"/>
    <w:rsid w:val="00F76ED9"/>
    <w:rsid w:val="00F86498"/>
    <w:rsid w:val="00F939D2"/>
    <w:rsid w:val="00F96125"/>
    <w:rsid w:val="00FA5C8D"/>
    <w:rsid w:val="00FA71C7"/>
    <w:rsid w:val="00FA7C49"/>
    <w:rsid w:val="00FA7E6B"/>
    <w:rsid w:val="00FB0C90"/>
    <w:rsid w:val="00FC6F49"/>
    <w:rsid w:val="00FD03AE"/>
    <w:rsid w:val="00FD2476"/>
    <w:rsid w:val="00FD768A"/>
    <w:rsid w:val="00FE072A"/>
    <w:rsid w:val="00FE2D7B"/>
    <w:rsid w:val="00FF43C8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6C420CC-0238-466A-B0A2-4E65E22D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61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1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56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75615C"/>
  </w:style>
  <w:style w:type="paragraph" w:styleId="Header">
    <w:name w:val="header"/>
    <w:basedOn w:val="Normal"/>
    <w:link w:val="HeaderChar"/>
    <w:uiPriority w:val="99"/>
    <w:semiHidden/>
    <w:unhideWhenUsed/>
    <w:rsid w:val="00BF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D30"/>
  </w:style>
  <w:style w:type="paragraph" w:styleId="Footer">
    <w:name w:val="footer"/>
    <w:basedOn w:val="Normal"/>
    <w:link w:val="FooterChar"/>
    <w:uiPriority w:val="99"/>
    <w:unhideWhenUsed/>
    <w:rsid w:val="00BF1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D30"/>
  </w:style>
  <w:style w:type="character" w:styleId="CommentReference">
    <w:name w:val="annotation reference"/>
    <w:basedOn w:val="DefaultParagraphFont"/>
    <w:uiPriority w:val="99"/>
    <w:semiHidden/>
    <w:unhideWhenUsed/>
    <w:rsid w:val="00936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B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B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B00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BB"/>
    <w:pPr>
      <w:spacing w:after="0" w:line="240" w:lineRule="auto"/>
    </w:pPr>
  </w:style>
  <w:style w:type="paragraph" w:styleId="Revision">
    <w:name w:val="Revision"/>
    <w:hidden/>
    <w:uiPriority w:val="99"/>
    <w:semiHidden/>
    <w:rsid w:val="00816D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313F"/>
    <w:pPr>
      <w:ind w:left="720"/>
      <w:contextualSpacing/>
    </w:pPr>
  </w:style>
  <w:style w:type="paragraph" w:customStyle="1" w:styleId="Default">
    <w:name w:val="Default"/>
    <w:rsid w:val="009569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F604E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65680C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5680C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5680C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5680C"/>
    <w:rPr>
      <w:rFonts w:ascii="Calibri" w:hAnsi="Calibri"/>
      <w:noProof/>
    </w:rPr>
  </w:style>
  <w:style w:type="table" w:styleId="TableGrid">
    <w:name w:val="Table Grid"/>
    <w:basedOn w:val="TableNormal"/>
    <w:uiPriority w:val="59"/>
    <w:rsid w:val="00CF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Nat16</b:Tag>
    <b:SourceType>Report</b:SourceType>
    <b:Guid>{0CC16197-1614-4EF1-BCE5-9F879ACA107B}</b:Guid>
    <b:Title>VA Benefits &amp; Health Care Utilization</b:Title>
    <b:Year>2016</b:Year>
    <b:City>Washington, DC</b:City>
    <b:Publisher>Department of Veterans Affairs</b:Publisher>
    <b:Author>
      <b:Author>
        <b:Corporate>National Center for Veterans Analysis and Statistics</b:Corporate>
      </b:Author>
    </b:Author>
    <b:RefOrder>7</b:RefOrder>
  </b:Source>
  <b:Source>
    <b:Tag>Pre14</b:Tag>
    <b:SourceType>ConferenceProceedings</b:SourceType>
    <b:Guid>{7725C1AD-148D-45EF-BEDF-79FE44B0D133}</b:Guid>
    <b:Author>
      <b:Author>
        <b:NameList>
          <b:Person>
            <b:Last>Prey</b:Last>
            <b:First>Jennifer</b:First>
            <b:Middle>E.</b:Middle>
          </b:Person>
          <b:Person>
            <b:Last>Restaino</b:Last>
            <b:First>Susan</b:First>
          </b:Person>
          <b:Person>
            <b:Last>Vawdrey</b:Last>
            <b:Middle>K.</b:Middle>
            <b:First>David</b:First>
          </b:Person>
        </b:NameList>
      </b:Author>
    </b:Author>
    <b:Title>Providing Hospital Patients with Access to their Medical Records</b:Title>
    <b:Year>2014</b:Year>
    <b:ConferenceName>AMIA Annu Symp Proc.</b:ConferenceName>
    <b:City>Washington, DC</b:City>
    <b:RefOrder>5</b:RefOrder>
  </b:Source>
  <b:Source>
    <b:Tag>Ent07</b:Tag>
    <b:SourceType>JournalArticle</b:SourceType>
    <b:Guid>{E1F5C243-A0F2-4AC8-8C8C-8214363F9A40}</b:Guid>
    <b:Author>
      <b:Author>
        <b:NameList>
          <b:Person>
            <b:Last>Entwistle</b:Last>
            <b:First>VA</b:First>
          </b:Person>
        </b:NameList>
      </b:Author>
    </b:Author>
    <b:Title>Differing perspectives on patient involvement in patient safety</b:Title>
    <b:JournalName>Quality and Safety in Health Care</b:JournalName>
    <b:Year>2007</b:Year>
    <b:Pages>82-83</b:Pages>
    <b:Volume>16</b:Volume>
    <b:RefOrder>2</b:RefOrder>
  </b:Source>
  <b:Source>
    <b:Tag>Pat04</b:Tag>
    <b:SourceType>Book</b:SourceType>
    <b:Guid>{7E8A4AEC-814B-42F9-9F57-D0523A960AB8}</b:Guid>
    <b:Author>
      <b:Author>
        <b:NameList>
          <b:Person>
            <b:Last>Spath</b:Last>
            <b:First>Patrice</b:First>
            <b:Middle>L.</b:Middle>
          </b:Person>
        </b:NameList>
      </b:Author>
    </b:Author>
    <b:Title>Partnering with Patients to Reduce Medical Errors</b:Title>
    <b:Year>2004</b:Year>
    <b:City>Chicago</b:City>
    <b:Publisher>AHA Press</b:Publisher>
    <b:RefOrder>1</b:RefOrder>
  </b:Source>
  <b:Source>
    <b:Tag>Ins00</b:Tag>
    <b:SourceType>Report</b:SourceType>
    <b:Guid>{6E69C635-F6A3-4BEB-BB99-A2CC4CFC99BD}</b:Guid>
    <b:Title>To Err Is Human: Building A Safer Health System</b:Title>
    <b:Year>2000</b:Year>
    <b:City>Washington, DC</b:City>
    <b:Publisher>National Academy Press</b:Publisher>
    <b:Author>
      <b:Author>
        <b:Corporate>Institute of Medicine</b:Corporate>
      </b:Author>
    </b:Author>
    <b:RefOrder>3</b:RefOrder>
  </b:Source>
  <b:Source>
    <b:Tag>Ent05</b:Tag>
    <b:SourceType>JournalArticle</b:SourceType>
    <b:Guid>{78BB6972-A93E-44DC-B061-24A43765C57D}</b:Guid>
    <b:Title>Advising patients about patient safety: current initiatives risk shifting responsibility</b:Title>
    <b:Year>2005</b:Year>
    <b:Author>
      <b:Author>
        <b:NameList>
          <b:Person>
            <b:Last>Entwistle</b:Last>
            <b:First>VA</b:First>
          </b:Person>
          <b:Person>
            <b:Last>Mello</b:Last>
            <b:First>MM</b:First>
          </b:Person>
          <b:Person>
            <b:Last>Brennan</b:Last>
            <b:First>TA</b:First>
          </b:Person>
        </b:NameList>
      </b:Author>
    </b:Author>
    <b:JournalName>Jt Comm J Qual Patient Saf.</b:JournalName>
    <b:Pages>483-494</b:Pages>
    <b:Volume>31</b:Volume>
    <b:Issue>9</b:Issue>
    <b:RefOrder>4</b:RefOrder>
  </b:Source>
  <b:Source>
    <b:Tag>Hib13</b:Tag>
    <b:SourceType>JournalArticle</b:SourceType>
    <b:Guid>{A381CCC6-51AA-4997-B2A6-C313BD204C1F}</b:Guid>
    <b:Author>
      <b:Author>
        <b:NameList>
          <b:Person>
            <b:Last>Hibbard</b:Last>
            <b:First>JH</b:First>
          </b:Person>
          <b:Person>
            <b:Last>Greene</b:Last>
            <b:First>J</b:First>
          </b:Person>
        </b:NameList>
      </b:Author>
    </b:Author>
    <b:Title>What The Evidence Shows About Patient Activation: Better Health Outcomes And Care Experiences; Fewer Data On Costs</b:Title>
    <b:JournalName>Health Affairs</b:JournalName>
    <b:Year>2013</b:Year>
    <b:Pages>207-214</b:Pages>
    <b:Volume>32</b:Volume>
    <b:Issue>2</b:Issue>
    <b:RefOrder>6</b:RefOrder>
  </b:Source>
  <b:Source>
    <b:Tag>Kin12</b:Tag>
    <b:SourceType>JournalArticle</b:SourceType>
    <b:Guid>{3B8D064A-3315-47E3-8079-C198200AA7AE}</b:Guid>
    <b:Author>
      <b:Author>
        <b:NameList>
          <b:Person>
            <b:Last>King</b:Last>
            <b:First>Beth</b:First>
            <b:Middle>J.</b:Middle>
          </b:Person>
          <b:Person>
            <b:Last>Mills</b:Last>
            <b:Middle>D.</b:Middle>
            <b:First>Peter</b:First>
          </b:Person>
          <b:Person>
            <b:Last>Fore</b:Last>
            <b:First>Amanda</b:First>
          </b:Person>
          <b:Person>
            <b:Last>Mitchell</b:Last>
            <b:First>Cheryl</b:First>
          </b:Person>
        </b:NameList>
      </b:Author>
    </b:Author>
    <b:Title>The Daily Plan: Including patients for safety's sake</b:Title>
    <b:JournalName>Nursing Management</b:JournalName>
    <b:Year>2012</b:Year>
    <b:Pages>15-18</b:Pages>
    <b:Volume>43</b:Volume>
    <b:Issue>3</b:Issue>
    <b:RefOrder>9</b:RefOrder>
  </b:Source>
  <b:Source>
    <b:Tag>Vet12</b:Tag>
    <b:SourceType>Report</b:SourceType>
    <b:Guid>{E8D23FEE-4C84-4F3F-9B1F-6CD41889B865}</b:Guid>
    <b:Author>
      <b:Author>
        <b:Corporate>Veterans Health Administration</b:Corporate>
      </b:Author>
    </b:Author>
    <b:Title>2012 VHA Facility Quality and Safety Report</b:Title>
    <b:Year>2012</b:Year>
    <b:Publisher>Department of Veterans Affairs</b:Publisher>
    <b:City>Washington, DC</b:City>
    <b:RefOrder>10</b:RefOrder>
  </b:Source>
  <b:Source>
    <b:Tag>Cha87</b:Tag>
    <b:SourceType>JournalArticle</b:SourceType>
    <b:Guid>{15F398A3-42D4-4369-8DB9-50A4DBFD9B95}</b:Guid>
    <b:Title>A new method of classifying prognostic comorbidity in longitudinal studies: Development and validation</b:Title>
    <b:Year>1987</b:Year>
    <b:Author>
      <b:Author>
        <b:NameList>
          <b:Person>
            <b:Last>Charlson</b:Last>
            <b:First>ME</b:First>
          </b:Person>
          <b:Person>
            <b:Last>Pompei</b:Last>
            <b:First>P</b:First>
          </b:Person>
          <b:Person>
            <b:Last>Ales</b:Last>
            <b:First>KL</b:First>
          </b:Person>
          <b:Person>
            <b:Last>et al.</b:Last>
          </b:Person>
        </b:NameList>
      </b:Author>
    </b:Author>
    <b:JournalName>J Chronic Dis</b:JournalName>
    <b:Pages>373-383</b:Pages>
    <b:Volume>40</b:Volume>
    <b:RefOrder>12</b:RefOrder>
  </b:Source>
  <b:Source>
    <b:Tag>Eli98</b:Tag>
    <b:SourceType>JournalArticle</b:SourceType>
    <b:Guid>{9A2B76D3-1B89-4735-B602-48BA96401C2B}</b:Guid>
    <b:Author>
      <b:Author>
        <b:NameList>
          <b:Person>
            <b:Last>Elixhauser</b:Last>
            <b:First>A</b:First>
          </b:Person>
          <b:Person>
            <b:Last>Steiner</b:Last>
            <b:First>C</b:First>
          </b:Person>
          <b:Person>
            <b:Last>Harris</b:Last>
            <b:First>DR</b:First>
          </b:Person>
          <b:Person>
            <b:Last>et al.</b:Last>
          </b:Person>
        </b:NameList>
      </b:Author>
    </b:Author>
    <b:Title>Comorbidity measures for use with administrative data</b:Title>
    <b:JournalName>Med Care</b:JournalName>
    <b:Year>1998</b:Year>
    <b:Pages>8-27</b:Pages>
    <b:Volume>36</b:Volume>
    <b:RefOrder>13</b:RefOrder>
  </b:Source>
  <b:Source>
    <b:Tag>Gag11</b:Tag>
    <b:SourceType>JournalArticle</b:SourceType>
    <b:Guid>{68D14EF1-39AF-4B18-B4F6-1E4A976BE2AB}</b:Guid>
    <b:Author>
      <b:Author>
        <b:NameList>
          <b:Person>
            <b:Last>Gagne</b:Last>
            <b:First>Joshua</b:First>
            <b:Middle>J.</b:Middle>
          </b:Person>
          <b:Person>
            <b:Last>Glynn</b:Last>
            <b:Middle>J.</b:Middle>
            <b:First>Robert</b:First>
          </b:Person>
          <b:Person>
            <b:Last>Avorn</b:Last>
            <b:First>Jerry</b:First>
          </b:Person>
          <b:Person>
            <b:Last>Levin</b:Last>
            <b:First>Raisa</b:First>
          </b:Person>
          <b:Person>
            <b:Last>Schneeweiss</b:Last>
            <b:First>Sebastian</b:First>
          </b:Person>
        </b:NameList>
      </b:Author>
    </b:Author>
    <b:Title>A combined comorbidity score predicted mortality in elderly patients better than existing scores</b:Title>
    <b:JournalName>J Clin Epidemiol</b:JournalName>
    <b:Year>2011</b:Year>
    <b:Pages>749-759</b:Pages>
    <b:Volume>64</b:Volume>
    <b:Issue>7</b:Issue>
    <b:RefOrder>14</b:RefOrder>
  </b:Source>
  <b:Source>
    <b:Tag>Yal14</b:Tag>
    <b:SourceType>Report</b:SourceType>
    <b:Guid>{F5213FD6-2327-4BD5-81DF-009496DAB409}</b:Guid>
    <b:Title>CMS Hospital Quality Chartbook 2014</b:Title>
    <b:Year>2014</b:Year>
    <b:Author>
      <b:Author>
        <b:Corporate>Yale New Haven Health Services Corporation</b:Corporate>
      </b:Author>
    </b:Author>
    <b:Publisher>Centers for Medicare and Medicaid Services</b:Publisher>
    <b:City>Baltimore, MD</b:City>
    <b:RefOrder>11</b:RefOrder>
  </b:Source>
  <b:Source>
    <b:Tag>Qua05</b:Tag>
    <b:SourceType>JournalArticle</b:SourceType>
    <b:Guid>{AD67A033-5813-4E1D-92C5-4A7452963240}</b:Guid>
    <b:Title>Coding Algorithms for Defining Comorbidities in ICD-9-CM and ICD-10 Administrative Data</b:Title>
    <b:Year>2005</b:Year>
    <b:Author>
      <b:Author>
        <b:NameList>
          <b:Person>
            <b:Last>Quan</b:Last>
            <b:First>Hude</b:First>
          </b:Person>
          <b:Person>
            <b:Last>Sundararajan</b:Last>
            <b:First>Vijaya</b:First>
          </b:Person>
          <b:Person>
            <b:Last>Halfon</b:Last>
            <b:First>Patricia</b:First>
          </b:Person>
          <b:Person>
            <b:Last>Fong</b:Last>
            <b:First>Andrew</b:First>
          </b:Person>
          <b:Person>
            <b:Last>Burnand</b:Last>
            <b:First>Bernard</b:First>
          </b:Person>
          <b:Person>
            <b:Last>Luthi</b:Last>
            <b:First>Jean-Christophe</b:First>
          </b:Person>
          <b:Person>
            <b:Last>Saunders</b:Last>
            <b:Middle>Duncan</b:Middle>
            <b:First>L.</b:First>
          </b:Person>
          <b:Person>
            <b:Last>Beck</b:Last>
            <b:Middle>A.</b:Middle>
            <b:First>Cynthia</b:First>
          </b:Person>
          <b:Person>
            <b:Last>Feasby</b:Last>
            <b:Middle>E.</b:Middle>
            <b:First>Thomas</b:First>
          </b:Person>
          <b:Person>
            <b:Last>Ghali</b:Last>
            <b:Middle>A.</b:Middle>
            <b:First>William</b:First>
          </b:Person>
        </b:NameList>
      </b:Author>
    </b:Author>
    <b:JournalName>Medical Care</b:JournalName>
    <b:Pages>1130-1139</b:Pages>
    <b:Volume>43</b:Volume>
    <b:Issue>11</b:Issue>
    <b:RefOrder>15</b:RefOrder>
  </b:Source>
  <b:Source>
    <b:Tag>Bet08</b:Tag>
    <b:SourceType>JournalArticle</b:SourceType>
    <b:Guid>{1DF6DDD9-4390-46B0-A9AA-16FE24891076}</b:Guid>
    <b:Title>The Daily Plan: Synopsis of a Study on the Initial Pilot</b:Title>
    <b:Year>2008</b:Year>
    <b:Author>
      <b:Author>
        <b:NameList>
          <b:Person>
            <b:Last>King</b:Last>
            <b:First>Beth</b:First>
            <b:Middle>J.</b:Middle>
          </b:Person>
        </b:NameList>
      </b:Author>
    </b:Author>
    <b:JournalName>Topics in Patient Safety</b:JournalName>
    <b:Pages>3</b:Pages>
    <b:Volume>8</b:Volume>
    <b:Issue>6</b:Issue>
    <b:RefOrder>8</b:RefOrder>
  </b:Source>
</b:Sources>
</file>

<file path=customXml/itemProps1.xml><?xml version="1.0" encoding="utf-8"?>
<ds:datastoreItem xmlns:ds="http://schemas.openxmlformats.org/officeDocument/2006/customXml" ds:itemID="{0F8B9310-2CC7-449F-A649-73C435A6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Marilyn</cp:lastModifiedBy>
  <cp:revision>2</cp:revision>
  <cp:lastPrinted>2016-11-22T18:22:00Z</cp:lastPrinted>
  <dcterms:created xsi:type="dcterms:W3CDTF">2017-04-29T15:55:00Z</dcterms:created>
  <dcterms:modified xsi:type="dcterms:W3CDTF">2017-04-29T15:55:00Z</dcterms:modified>
</cp:coreProperties>
</file>