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86E" w:rsidRPr="0014732D" w:rsidRDefault="00D2186E" w:rsidP="00D2186E">
      <w:pPr>
        <w:rPr>
          <w:rFonts w:ascii="Times New Roman" w:hAnsi="Times New Roman" w:cs="Times New Roman"/>
        </w:rPr>
      </w:pPr>
      <w:r w:rsidRPr="0014732D">
        <w:rPr>
          <w:rFonts w:ascii="Times New Roman" w:hAnsi="Times New Roman" w:cs="Times New Roman"/>
        </w:rPr>
        <w:t xml:space="preserve">Table 2. Multivariable Model to Examine Predictors of Nursing Unit Fall </w:t>
      </w:r>
      <w:r w:rsidR="0014732D">
        <w:rPr>
          <w:rFonts w:ascii="Times New Roman" w:hAnsi="Times New Roman" w:cs="Times New Roman"/>
        </w:rPr>
        <w:t>R</w:t>
      </w:r>
      <w:r w:rsidRPr="0014732D">
        <w:rPr>
          <w:rFonts w:ascii="Times New Roman" w:hAnsi="Times New Roman" w:cs="Times New Roman"/>
        </w:rPr>
        <w:t xml:space="preserve">ates </w:t>
      </w:r>
    </w:p>
    <w:tbl>
      <w:tblPr>
        <w:tblStyle w:val="TableGrid"/>
        <w:tblW w:w="0" w:type="auto"/>
        <w:tblLook w:val="04A0" w:firstRow="1" w:lastRow="0" w:firstColumn="1" w:lastColumn="0" w:noHBand="0" w:noVBand="1"/>
      </w:tblPr>
      <w:tblGrid>
        <w:gridCol w:w="5035"/>
        <w:gridCol w:w="1620"/>
        <w:gridCol w:w="1710"/>
        <w:gridCol w:w="985"/>
      </w:tblGrid>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Variable</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Rate Ratio</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95% CI</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P value</w:t>
            </w:r>
          </w:p>
        </w:tc>
      </w:tr>
      <w:tr w:rsidR="00D2186E" w:rsidRPr="0014732D" w:rsidTr="003C76E3">
        <w:tc>
          <w:tcPr>
            <w:tcW w:w="5035" w:type="dxa"/>
          </w:tcPr>
          <w:p w:rsidR="00D2186E" w:rsidRPr="0014732D" w:rsidRDefault="00D2186E" w:rsidP="003C76E3">
            <w:pPr>
              <w:rPr>
                <w:rFonts w:ascii="Times New Roman" w:hAnsi="Times New Roman" w:cs="Times New Roman"/>
                <w:b/>
              </w:rPr>
            </w:pPr>
            <w:r w:rsidRPr="0014732D">
              <w:rPr>
                <w:rFonts w:ascii="Times New Roman" w:hAnsi="Times New Roman" w:cs="Times New Roman"/>
                <w:b/>
              </w:rPr>
              <w:t>GEOGRAPHIC LOCATION</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Rural (vs. urban)</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1.01</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.91-1.11</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.893</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Region</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Midwest</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1.13</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1.05-1.23</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.002</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South</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1.16</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1.07-1.25</w:t>
            </w:r>
          </w:p>
        </w:tc>
        <w:tc>
          <w:tcPr>
            <w:tcW w:w="985" w:type="dxa"/>
          </w:tcPr>
          <w:p w:rsidR="00D2186E" w:rsidRPr="0014732D" w:rsidRDefault="00A76DAC" w:rsidP="003C76E3">
            <w:pPr>
              <w:rPr>
                <w:rFonts w:ascii="Times New Roman" w:hAnsi="Times New Roman" w:cs="Times New Roman"/>
              </w:rPr>
            </w:pPr>
            <w:r w:rsidRPr="0014732D">
              <w:rPr>
                <w:rFonts w:ascii="Times New Roman" w:hAnsi="Times New Roman" w:cs="Times New Roman"/>
              </w:rPr>
              <w:t>&lt;.001</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West</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1.14</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1.03-1.26</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.008</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Northeast</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1.00</w:t>
            </w: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b/>
              </w:rPr>
              <w:t>HOSPITAL CHARACTERISTICS</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Number of beds </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&lt;100 </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1.02</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.92-1.13</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.744</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100-199</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1.06</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.99-1.13</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.100</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&gt;=200</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1.00</w:t>
            </w: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b/>
              </w:rPr>
            </w:pPr>
            <w:r w:rsidRPr="0014732D">
              <w:rPr>
                <w:rFonts w:ascii="Times New Roman" w:hAnsi="Times New Roman" w:cs="Times New Roman"/>
                <w:b/>
              </w:rPr>
              <w:t>NURSING UNIT CHARACTERISTICS</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Unit type </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Critical care</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.45</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.41-.50</w:t>
            </w:r>
          </w:p>
        </w:tc>
        <w:tc>
          <w:tcPr>
            <w:tcW w:w="985" w:type="dxa"/>
          </w:tcPr>
          <w:p w:rsidR="00D2186E" w:rsidRPr="0014732D" w:rsidRDefault="00A76DAC" w:rsidP="003C76E3">
            <w:pPr>
              <w:rPr>
                <w:rFonts w:ascii="Times New Roman" w:hAnsi="Times New Roman" w:cs="Times New Roman"/>
              </w:rPr>
            </w:pPr>
            <w:r w:rsidRPr="0014732D">
              <w:rPr>
                <w:rFonts w:ascii="Times New Roman" w:hAnsi="Times New Roman" w:cs="Times New Roman"/>
              </w:rPr>
              <w:t>&lt;.001</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Medical/surgical</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.50</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.46-.55</w:t>
            </w:r>
          </w:p>
        </w:tc>
        <w:tc>
          <w:tcPr>
            <w:tcW w:w="985" w:type="dxa"/>
          </w:tcPr>
          <w:p w:rsidR="00D2186E" w:rsidRPr="0014732D" w:rsidRDefault="00C4398C" w:rsidP="003C76E3">
            <w:pPr>
              <w:rPr>
                <w:rFonts w:ascii="Times New Roman" w:hAnsi="Times New Roman" w:cs="Times New Roman"/>
              </w:rPr>
            </w:pPr>
            <w:r w:rsidRPr="0014732D">
              <w:rPr>
                <w:rFonts w:ascii="Times New Roman" w:hAnsi="Times New Roman" w:cs="Times New Roman"/>
              </w:rPr>
              <w:t>&lt;.001</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Rehabilitation</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1.00</w:t>
            </w: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Staffing</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All nursing staff  hours per patient-day (per 1 hour)</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.92</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.91-.93</w:t>
            </w:r>
          </w:p>
        </w:tc>
        <w:tc>
          <w:tcPr>
            <w:tcW w:w="985" w:type="dxa"/>
          </w:tcPr>
          <w:p w:rsidR="00D2186E" w:rsidRPr="0014732D" w:rsidRDefault="00C4398C" w:rsidP="003C76E3">
            <w:pPr>
              <w:rPr>
                <w:rFonts w:ascii="Times New Roman" w:hAnsi="Times New Roman" w:cs="Times New Roman"/>
              </w:rPr>
            </w:pPr>
            <w:r w:rsidRPr="0014732D">
              <w:rPr>
                <w:rFonts w:ascii="Times New Roman" w:hAnsi="Times New Roman" w:cs="Times New Roman"/>
              </w:rPr>
              <w:t>&lt;.001</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RN hours per patient-day  (per 1 hour)</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.90</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.89-.91</w:t>
            </w:r>
          </w:p>
        </w:tc>
        <w:tc>
          <w:tcPr>
            <w:tcW w:w="985" w:type="dxa"/>
          </w:tcPr>
          <w:p w:rsidR="00D2186E" w:rsidRPr="0014732D" w:rsidRDefault="00C4398C" w:rsidP="003C76E3">
            <w:pPr>
              <w:rPr>
                <w:rFonts w:ascii="Times New Roman" w:hAnsi="Times New Roman" w:cs="Times New Roman"/>
              </w:rPr>
            </w:pPr>
            <w:r w:rsidRPr="0014732D">
              <w:rPr>
                <w:rFonts w:ascii="Times New Roman" w:hAnsi="Times New Roman" w:cs="Times New Roman"/>
              </w:rPr>
              <w:t>&lt;.001</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Education </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BSN and above (per 10%)</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.99</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.98-1.00</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.072</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Experience </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In practice &lt; 2 years (per 10%)</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1.04</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1.02-1.05</w:t>
            </w:r>
          </w:p>
        </w:tc>
        <w:tc>
          <w:tcPr>
            <w:tcW w:w="985" w:type="dxa"/>
          </w:tcPr>
          <w:p w:rsidR="00D2186E" w:rsidRPr="0014732D" w:rsidRDefault="00C4398C" w:rsidP="003C76E3">
            <w:pPr>
              <w:rPr>
                <w:rFonts w:ascii="Times New Roman" w:hAnsi="Times New Roman" w:cs="Times New Roman"/>
              </w:rPr>
            </w:pPr>
            <w:r w:rsidRPr="0014732D">
              <w:rPr>
                <w:rFonts w:ascii="Times New Roman" w:hAnsi="Times New Roman" w:cs="Times New Roman"/>
              </w:rPr>
              <w:t>&lt;.001</w:t>
            </w:r>
          </w:p>
        </w:tc>
      </w:tr>
      <w:tr w:rsidR="00D2186E" w:rsidRPr="0014732D" w:rsidTr="003C76E3">
        <w:tc>
          <w:tcPr>
            <w:tcW w:w="503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In practice &gt;10 years (per 10%)</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.98</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.97-.99</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.003</w:t>
            </w:r>
          </w:p>
        </w:tc>
      </w:tr>
      <w:tr w:rsidR="00D2186E" w:rsidRPr="0014732D" w:rsidTr="003C76E3">
        <w:tc>
          <w:tcPr>
            <w:tcW w:w="5035" w:type="dxa"/>
            <w:shd w:val="clear" w:color="auto" w:fill="auto"/>
          </w:tcPr>
          <w:p w:rsidR="00D2186E" w:rsidRPr="0014732D" w:rsidRDefault="00D2186E" w:rsidP="003C76E3">
            <w:pPr>
              <w:tabs>
                <w:tab w:val="left" w:pos="156"/>
              </w:tabs>
              <w:rPr>
                <w:rFonts w:ascii="Times New Roman" w:hAnsi="Times New Roman" w:cs="Times New Roman"/>
              </w:rPr>
            </w:pPr>
            <w:r w:rsidRPr="0014732D">
              <w:rPr>
                <w:rFonts w:ascii="Times New Roman" w:hAnsi="Times New Roman" w:cs="Times New Roman"/>
              </w:rPr>
              <w:t>Practice Environment  (per 1-point score)</w:t>
            </w:r>
            <w:r w:rsidRPr="0014732D">
              <w:rPr>
                <w:rFonts w:ascii="Times New Roman" w:hAnsi="Times New Roman" w:cs="Times New Roman"/>
                <w:vertAlign w:val="superscript"/>
              </w:rPr>
              <w:t xml:space="preserve"> a</w:t>
            </w:r>
            <w:r w:rsidRPr="0014732D">
              <w:rPr>
                <w:rFonts w:ascii="Times New Roman" w:hAnsi="Times New Roman" w:cs="Times New Roman"/>
              </w:rPr>
              <w:t xml:space="preserve">  </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shd w:val="clear" w:color="auto" w:fill="auto"/>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Nurse participation in hospital affairs</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.98</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.88-1.10</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.775</w:t>
            </w:r>
          </w:p>
        </w:tc>
      </w:tr>
      <w:tr w:rsidR="00D2186E" w:rsidRPr="0014732D" w:rsidTr="003C76E3">
        <w:tc>
          <w:tcPr>
            <w:tcW w:w="5035" w:type="dxa"/>
            <w:shd w:val="clear" w:color="auto" w:fill="auto"/>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Nursing foundations for quality of care</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.87</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.74</w:t>
            </w:r>
            <w:r w:rsidRPr="0014732D">
              <w:rPr>
                <w:rFonts w:ascii="Times New Roman" w:hAnsi="Times New Roman" w:cs="Times New Roman"/>
                <w:color w:val="1F497D"/>
              </w:rPr>
              <w:t xml:space="preserve"> -1.01</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.074</w:t>
            </w:r>
          </w:p>
        </w:tc>
      </w:tr>
      <w:tr w:rsidR="00D2186E" w:rsidRPr="0014732D" w:rsidTr="003C76E3">
        <w:tc>
          <w:tcPr>
            <w:tcW w:w="5035" w:type="dxa"/>
            <w:shd w:val="clear" w:color="auto" w:fill="auto"/>
          </w:tcPr>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Nurse manager ability, leadership, and</w:t>
            </w:r>
          </w:p>
          <w:p w:rsidR="00D2186E" w:rsidRPr="0014732D" w:rsidRDefault="00D2186E" w:rsidP="003C76E3">
            <w:pPr>
              <w:rPr>
                <w:rFonts w:ascii="Times New Roman" w:hAnsi="Times New Roman" w:cs="Times New Roman"/>
              </w:rPr>
            </w:pPr>
            <w:r w:rsidRPr="0014732D">
              <w:rPr>
                <w:rFonts w:ascii="Times New Roman" w:hAnsi="Times New Roman" w:cs="Times New Roman"/>
              </w:rPr>
              <w:t xml:space="preserve">     support of nurses</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.96</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.89-1.04</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.340</w:t>
            </w:r>
          </w:p>
        </w:tc>
      </w:tr>
      <w:tr w:rsidR="00D2186E" w:rsidRPr="0014732D" w:rsidTr="003C76E3">
        <w:tc>
          <w:tcPr>
            <w:tcW w:w="5035" w:type="dxa"/>
            <w:shd w:val="clear" w:color="auto" w:fill="auto"/>
          </w:tcPr>
          <w:p w:rsidR="00D2186E" w:rsidRPr="0014732D" w:rsidRDefault="00D2186E" w:rsidP="003C76E3">
            <w:pPr>
              <w:tabs>
                <w:tab w:val="left" w:pos="1665"/>
              </w:tabs>
              <w:rPr>
                <w:rFonts w:ascii="Times New Roman" w:hAnsi="Times New Roman" w:cs="Times New Roman"/>
              </w:rPr>
            </w:pPr>
            <w:r w:rsidRPr="0014732D">
              <w:rPr>
                <w:rFonts w:ascii="Times New Roman" w:hAnsi="Times New Roman" w:cs="Times New Roman"/>
              </w:rPr>
              <w:t xml:space="preserve">     Nurse staffing and resource adequacy</w:t>
            </w:r>
            <w:r w:rsidRPr="0014732D">
              <w:rPr>
                <w:rFonts w:ascii="Times New Roman" w:hAnsi="Times New Roman" w:cs="Times New Roman"/>
              </w:rPr>
              <w:tab/>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.93</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.85-1.02</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.111</w:t>
            </w:r>
          </w:p>
        </w:tc>
      </w:tr>
      <w:tr w:rsidR="00D2186E" w:rsidRPr="0014732D" w:rsidTr="003C76E3">
        <w:tc>
          <w:tcPr>
            <w:tcW w:w="5035" w:type="dxa"/>
            <w:shd w:val="clear" w:color="auto" w:fill="auto"/>
          </w:tcPr>
          <w:p w:rsidR="00D2186E" w:rsidRPr="0014732D" w:rsidRDefault="00D2186E" w:rsidP="003C76E3">
            <w:pPr>
              <w:tabs>
                <w:tab w:val="left" w:pos="1665"/>
              </w:tabs>
              <w:rPr>
                <w:rFonts w:ascii="Times New Roman" w:hAnsi="Times New Roman" w:cs="Times New Roman"/>
              </w:rPr>
            </w:pPr>
            <w:r w:rsidRPr="0014732D">
              <w:rPr>
                <w:rFonts w:ascii="Times New Roman" w:hAnsi="Times New Roman" w:cs="Times New Roman"/>
              </w:rPr>
              <w:t xml:space="preserve">     Collegial nurse-physician relations</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.94</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.84-1.06</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.321</w:t>
            </w:r>
          </w:p>
        </w:tc>
      </w:tr>
      <w:tr w:rsidR="00D2186E" w:rsidRPr="0014732D" w:rsidTr="003C76E3">
        <w:tc>
          <w:tcPr>
            <w:tcW w:w="5035" w:type="dxa"/>
            <w:shd w:val="clear" w:color="auto" w:fill="auto"/>
          </w:tcPr>
          <w:p w:rsidR="00D2186E" w:rsidRPr="0014732D" w:rsidRDefault="00D2186E" w:rsidP="003C76E3">
            <w:pPr>
              <w:tabs>
                <w:tab w:val="left" w:pos="1665"/>
              </w:tabs>
              <w:rPr>
                <w:rFonts w:ascii="Times New Roman" w:hAnsi="Times New Roman" w:cs="Times New Roman"/>
              </w:rPr>
            </w:pPr>
            <w:r w:rsidRPr="0014732D">
              <w:rPr>
                <w:rFonts w:ascii="Times New Roman" w:hAnsi="Times New Roman" w:cs="Times New Roman"/>
              </w:rPr>
              <w:t xml:space="preserve">     Composite score</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.92</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.82-1.05</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.224</w:t>
            </w:r>
          </w:p>
        </w:tc>
      </w:tr>
      <w:tr w:rsidR="00D2186E" w:rsidRPr="0014732D" w:rsidTr="003C76E3">
        <w:tc>
          <w:tcPr>
            <w:tcW w:w="5035" w:type="dxa"/>
          </w:tcPr>
          <w:p w:rsidR="00D2186E" w:rsidRPr="0014732D" w:rsidRDefault="00D2186E" w:rsidP="003C76E3">
            <w:pPr>
              <w:rPr>
                <w:rFonts w:ascii="Times New Roman" w:hAnsi="Times New Roman" w:cs="Times New Roman"/>
                <w:b/>
              </w:rPr>
            </w:pPr>
            <w:r w:rsidRPr="0014732D">
              <w:rPr>
                <w:rFonts w:ascii="Times New Roman" w:hAnsi="Times New Roman" w:cs="Times New Roman"/>
                <w:b/>
              </w:rPr>
              <w:t>NURSE OUTCOMES</w:t>
            </w:r>
          </w:p>
        </w:tc>
        <w:tc>
          <w:tcPr>
            <w:tcW w:w="1620" w:type="dxa"/>
          </w:tcPr>
          <w:p w:rsidR="00D2186E" w:rsidRPr="0014732D" w:rsidRDefault="00D2186E" w:rsidP="003C76E3">
            <w:pPr>
              <w:rPr>
                <w:rFonts w:ascii="Times New Roman" w:hAnsi="Times New Roman" w:cs="Times New Roman"/>
              </w:rPr>
            </w:pPr>
          </w:p>
        </w:tc>
        <w:tc>
          <w:tcPr>
            <w:tcW w:w="1710" w:type="dxa"/>
          </w:tcPr>
          <w:p w:rsidR="00D2186E" w:rsidRPr="0014732D" w:rsidRDefault="00D2186E" w:rsidP="003C76E3">
            <w:pPr>
              <w:rPr>
                <w:rFonts w:ascii="Times New Roman" w:hAnsi="Times New Roman" w:cs="Times New Roman"/>
              </w:rPr>
            </w:pPr>
          </w:p>
        </w:tc>
        <w:tc>
          <w:tcPr>
            <w:tcW w:w="985" w:type="dxa"/>
          </w:tcPr>
          <w:p w:rsidR="00D2186E" w:rsidRPr="0014732D" w:rsidRDefault="00D2186E" w:rsidP="003C76E3">
            <w:pPr>
              <w:rPr>
                <w:rFonts w:ascii="Times New Roman" w:hAnsi="Times New Roman" w:cs="Times New Roman"/>
              </w:rPr>
            </w:pPr>
          </w:p>
        </w:tc>
      </w:tr>
      <w:tr w:rsidR="00D2186E" w:rsidRPr="0014732D" w:rsidTr="003C76E3">
        <w:tc>
          <w:tcPr>
            <w:tcW w:w="5035" w:type="dxa"/>
          </w:tcPr>
          <w:p w:rsidR="00D2186E" w:rsidRPr="0014732D" w:rsidRDefault="00D2186E" w:rsidP="003C76E3">
            <w:pPr>
              <w:ind w:left="180"/>
              <w:rPr>
                <w:rFonts w:ascii="Times New Roman" w:hAnsi="Times New Roman" w:cs="Times New Roman"/>
              </w:rPr>
            </w:pPr>
            <w:r w:rsidRPr="0014732D">
              <w:rPr>
                <w:rFonts w:ascii="Times New Roman" w:hAnsi="Times New Roman" w:cs="Times New Roman"/>
              </w:rPr>
              <w:t>Job satisfaction (per 1-point score)</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.94</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.91-.98</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.005</w:t>
            </w:r>
          </w:p>
        </w:tc>
      </w:tr>
      <w:tr w:rsidR="00D2186E" w:rsidRPr="0014732D" w:rsidTr="003C76E3">
        <w:tc>
          <w:tcPr>
            <w:tcW w:w="5035" w:type="dxa"/>
          </w:tcPr>
          <w:p w:rsidR="00D2186E" w:rsidRPr="0014732D" w:rsidRDefault="00D2186E" w:rsidP="003C76E3">
            <w:pPr>
              <w:ind w:left="180"/>
              <w:rPr>
                <w:rFonts w:ascii="Times New Roman" w:hAnsi="Times New Roman" w:cs="Times New Roman"/>
              </w:rPr>
            </w:pPr>
            <w:r w:rsidRPr="0014732D">
              <w:rPr>
                <w:rFonts w:ascii="Times New Roman" w:hAnsi="Times New Roman" w:cs="Times New Roman"/>
              </w:rPr>
              <w:t>Intent to stay (per 10%)</w:t>
            </w:r>
          </w:p>
        </w:tc>
        <w:tc>
          <w:tcPr>
            <w:tcW w:w="162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.98</w:t>
            </w:r>
          </w:p>
        </w:tc>
        <w:tc>
          <w:tcPr>
            <w:tcW w:w="1710"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.97-.99</w:t>
            </w:r>
          </w:p>
        </w:tc>
        <w:tc>
          <w:tcPr>
            <w:tcW w:w="985" w:type="dxa"/>
          </w:tcPr>
          <w:p w:rsidR="00D2186E" w:rsidRPr="0014732D" w:rsidRDefault="00D2186E" w:rsidP="003C76E3">
            <w:pPr>
              <w:rPr>
                <w:rFonts w:ascii="Times New Roman" w:hAnsi="Times New Roman" w:cs="Times New Roman"/>
              </w:rPr>
            </w:pPr>
            <w:r w:rsidRPr="0014732D">
              <w:rPr>
                <w:rFonts w:ascii="Times New Roman" w:hAnsi="Times New Roman" w:cs="Times New Roman"/>
              </w:rPr>
              <w:t>.002</w:t>
            </w:r>
          </w:p>
        </w:tc>
      </w:tr>
    </w:tbl>
    <w:p w:rsidR="00D2186E" w:rsidRPr="0014732D" w:rsidRDefault="00D2186E" w:rsidP="00D2186E">
      <w:pPr>
        <w:spacing w:after="0" w:line="240" w:lineRule="auto"/>
        <w:rPr>
          <w:rFonts w:ascii="Times New Roman" w:hAnsi="Times New Roman" w:cs="Times New Roman"/>
          <w:vertAlign w:val="superscript"/>
        </w:rPr>
      </w:pPr>
      <w:r w:rsidRPr="0014732D">
        <w:rPr>
          <w:rFonts w:ascii="Times New Roman" w:hAnsi="Times New Roman" w:cs="Times New Roman"/>
        </w:rPr>
        <w:t xml:space="preserve">Note: </w:t>
      </w:r>
    </w:p>
    <w:p w:rsidR="00D2186E" w:rsidRPr="0014732D" w:rsidRDefault="00D2186E" w:rsidP="00D2186E">
      <w:pPr>
        <w:spacing w:after="0" w:line="240" w:lineRule="auto"/>
        <w:rPr>
          <w:rFonts w:ascii="Times New Roman" w:hAnsi="Times New Roman" w:cs="Times New Roman"/>
        </w:rPr>
      </w:pPr>
      <w:r w:rsidRPr="0014732D">
        <w:rPr>
          <w:rFonts w:ascii="Times New Roman" w:hAnsi="Times New Roman" w:cs="Times New Roman"/>
        </w:rPr>
        <w:t xml:space="preserve">All the variables listed but the six practice environment variables were based on the full sample (N=4,496). They were included in the same model, where one of the two staffing variables and one of the two nurse outcome variables were included at a time to avoid collinearity. </w:t>
      </w:r>
    </w:p>
    <w:p w:rsidR="00D2186E" w:rsidRPr="0014732D" w:rsidRDefault="00D2186E" w:rsidP="00D2186E">
      <w:pPr>
        <w:spacing w:after="0" w:line="240" w:lineRule="auto"/>
        <w:rPr>
          <w:rFonts w:ascii="Times New Roman" w:hAnsi="Times New Roman" w:cs="Times New Roman"/>
          <w:vertAlign w:val="superscript"/>
        </w:rPr>
      </w:pPr>
    </w:p>
    <w:p w:rsidR="00D2186E" w:rsidRPr="0014732D" w:rsidRDefault="00D2186E" w:rsidP="00D2186E">
      <w:pPr>
        <w:spacing w:after="0" w:line="240" w:lineRule="auto"/>
        <w:rPr>
          <w:rFonts w:ascii="Times New Roman" w:hAnsi="Times New Roman" w:cs="Times New Roman"/>
        </w:rPr>
      </w:pPr>
      <w:r w:rsidRPr="0014732D">
        <w:rPr>
          <w:rFonts w:ascii="Times New Roman" w:hAnsi="Times New Roman" w:cs="Times New Roman"/>
          <w:vertAlign w:val="superscript"/>
        </w:rPr>
        <w:t xml:space="preserve">a </w:t>
      </w:r>
      <w:r w:rsidRPr="0014732D">
        <w:rPr>
          <w:rFonts w:ascii="Times New Roman" w:hAnsi="Times New Roman" w:cs="Times New Roman"/>
        </w:rPr>
        <w:t xml:space="preserve"> Results for the six practice environment variables were based on the reduced sample (N=2,265) that had the data available. These six variables were individually included in the models, together with the other variables listed (i.e.,  rural, region, number of beds in the hospital, unit type, all nursing staff hours, education, experience, and job satisfaction).</w:t>
      </w:r>
    </w:p>
    <w:p w:rsidR="00D2186E" w:rsidRPr="0014732D" w:rsidRDefault="00D2186E" w:rsidP="00D2186E">
      <w:pPr>
        <w:spacing w:after="0" w:line="240" w:lineRule="auto"/>
        <w:rPr>
          <w:rFonts w:ascii="Times New Roman" w:hAnsi="Times New Roman" w:cs="Times New Roman"/>
        </w:rPr>
      </w:pPr>
    </w:p>
    <w:p w:rsidR="002E5507" w:rsidRPr="0014732D" w:rsidRDefault="00D2186E" w:rsidP="0014732D">
      <w:pPr>
        <w:spacing w:after="0" w:line="240" w:lineRule="auto"/>
        <w:rPr>
          <w:rFonts w:ascii="Times New Roman" w:hAnsi="Times New Roman" w:cs="Times New Roman"/>
        </w:rPr>
      </w:pPr>
      <w:r w:rsidRPr="0014732D">
        <w:rPr>
          <w:rFonts w:ascii="Times New Roman" w:hAnsi="Times New Roman" w:cs="Times New Roman"/>
        </w:rPr>
        <w:t xml:space="preserve">CI: confidence interval. </w:t>
      </w:r>
      <w:bookmarkStart w:id="0" w:name="_GoBack"/>
      <w:bookmarkEnd w:id="0"/>
    </w:p>
    <w:sectPr w:rsidR="002E5507" w:rsidRPr="00147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6E"/>
    <w:rsid w:val="000058CB"/>
    <w:rsid w:val="00045DB8"/>
    <w:rsid w:val="000D7B15"/>
    <w:rsid w:val="0014732D"/>
    <w:rsid w:val="00250693"/>
    <w:rsid w:val="00276912"/>
    <w:rsid w:val="002A7759"/>
    <w:rsid w:val="004E60AB"/>
    <w:rsid w:val="0052021D"/>
    <w:rsid w:val="0066226B"/>
    <w:rsid w:val="00703E72"/>
    <w:rsid w:val="0093591C"/>
    <w:rsid w:val="00A76DAC"/>
    <w:rsid w:val="00AD405B"/>
    <w:rsid w:val="00C4398C"/>
    <w:rsid w:val="00D2186E"/>
    <w:rsid w:val="00DC287D"/>
    <w:rsid w:val="00D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ECEB"/>
  <w15:chartTrackingRefBased/>
  <w15:docId w15:val="{8F6B624C-5887-464D-819D-FC54EC58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Baernholdt</dc:creator>
  <cp:keywords/>
  <dc:description/>
  <cp:lastModifiedBy>Marilyn Oermann, Ph.D.</cp:lastModifiedBy>
  <cp:revision>3</cp:revision>
  <dcterms:created xsi:type="dcterms:W3CDTF">2017-11-09T16:28:00Z</dcterms:created>
  <dcterms:modified xsi:type="dcterms:W3CDTF">2017-11-24T13:15:00Z</dcterms:modified>
</cp:coreProperties>
</file>