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E5587" w14:textId="5FC44CF3" w:rsidR="00FF516F" w:rsidRPr="007E4FA1" w:rsidRDefault="003B5EFF" w:rsidP="00FF516F">
      <w:pPr>
        <w:rPr>
          <w:rFonts w:ascii="Times New Roman" w:hAnsi="Times New Roman" w:cs="Times New Roman"/>
          <w:sz w:val="24"/>
          <w:szCs w:val="24"/>
        </w:rPr>
      </w:pPr>
      <w:r w:rsidRPr="006B4050">
        <w:rPr>
          <w:rFonts w:ascii="Times New Roman" w:hAnsi="Times New Roman" w:cs="Times New Roman"/>
          <w:sz w:val="24"/>
          <w:szCs w:val="24"/>
        </w:rPr>
        <w:t xml:space="preserve">Supplemental Digital Content, </w:t>
      </w:r>
      <w:r w:rsidR="00FF516F" w:rsidRPr="006B4050">
        <w:rPr>
          <w:rFonts w:ascii="Times New Roman" w:hAnsi="Times New Roman" w:cs="Times New Roman"/>
          <w:sz w:val="24"/>
          <w:szCs w:val="24"/>
        </w:rPr>
        <w:t>Table 2</w:t>
      </w:r>
      <w:r w:rsidR="00FF516F" w:rsidRPr="00EF7499">
        <w:rPr>
          <w:rFonts w:ascii="Times New Roman" w:hAnsi="Times New Roman" w:cs="Times New Roman"/>
          <w:sz w:val="24"/>
          <w:szCs w:val="24"/>
        </w:rPr>
        <w:t>.</w:t>
      </w:r>
      <w:r w:rsidR="00FF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16F" w:rsidRPr="007E4FA1">
        <w:rPr>
          <w:rFonts w:ascii="Times New Roman" w:hAnsi="Times New Roman" w:cs="Times New Roman"/>
          <w:sz w:val="24"/>
          <w:szCs w:val="24"/>
        </w:rPr>
        <w:t xml:space="preserve">Comparisons between </w:t>
      </w:r>
      <w:r w:rsidR="00EF7499">
        <w:rPr>
          <w:rFonts w:ascii="Times New Roman" w:hAnsi="Times New Roman" w:cs="Times New Roman"/>
          <w:sz w:val="24"/>
          <w:szCs w:val="24"/>
        </w:rPr>
        <w:t>patients with</w:t>
      </w:r>
      <w:r w:rsidR="00FF516F" w:rsidRPr="007E4FA1">
        <w:rPr>
          <w:rFonts w:ascii="Times New Roman" w:hAnsi="Times New Roman" w:cs="Times New Roman"/>
          <w:sz w:val="24"/>
          <w:szCs w:val="24"/>
        </w:rPr>
        <w:t xml:space="preserve"> </w:t>
      </w:r>
      <w:r w:rsidR="006B4050">
        <w:rPr>
          <w:rFonts w:ascii="Times New Roman" w:hAnsi="Times New Roman" w:cs="Times New Roman"/>
          <w:sz w:val="24"/>
          <w:szCs w:val="24"/>
        </w:rPr>
        <w:t>none or 1 readmission to</w:t>
      </w:r>
      <w:r w:rsidR="00FF516F">
        <w:rPr>
          <w:rFonts w:ascii="Times New Roman" w:hAnsi="Times New Roman" w:cs="Times New Roman"/>
          <w:sz w:val="24"/>
          <w:szCs w:val="24"/>
        </w:rPr>
        <w:t xml:space="preserve"> those with </w:t>
      </w:r>
      <w:r w:rsidR="00EF7499">
        <w:rPr>
          <w:rFonts w:ascii="Times New Roman" w:hAnsi="Times New Roman" w:cs="Times New Roman"/>
          <w:sz w:val="24"/>
          <w:szCs w:val="24"/>
        </w:rPr>
        <w:t>multiple</w:t>
      </w:r>
      <w:r w:rsidR="00FF516F">
        <w:rPr>
          <w:rFonts w:ascii="Times New Roman" w:hAnsi="Times New Roman" w:cs="Times New Roman"/>
          <w:sz w:val="24"/>
          <w:szCs w:val="24"/>
        </w:rPr>
        <w:t xml:space="preserve"> readmissions </w:t>
      </w:r>
      <w:r w:rsidR="006B4050">
        <w:rPr>
          <w:rFonts w:ascii="Times New Roman" w:hAnsi="Times New Roman" w:cs="Times New Roman"/>
          <w:sz w:val="24"/>
          <w:szCs w:val="24"/>
        </w:rPr>
        <w:t>(</w:t>
      </w:r>
      <w:r w:rsidR="00FF516F" w:rsidRPr="007E4FA1">
        <w:rPr>
          <w:rFonts w:ascii="Times New Roman" w:hAnsi="Times New Roman" w:cs="Times New Roman"/>
          <w:sz w:val="24"/>
          <w:szCs w:val="24"/>
        </w:rPr>
        <w:t>August-October 2017</w:t>
      </w:r>
      <w:r w:rsidR="006B4050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W w:w="893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9"/>
        <w:gridCol w:w="2009"/>
        <w:gridCol w:w="1606"/>
        <w:gridCol w:w="864"/>
        <w:gridCol w:w="864"/>
      </w:tblGrid>
      <w:tr w:rsidR="00EF7499" w:rsidRPr="007E4FA1" w14:paraId="08861596" w14:textId="5F8B261F" w:rsidTr="006B4050"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14:paraId="55840CF5" w14:textId="77777777" w:rsidR="00EF7499" w:rsidRPr="007E4FA1" w:rsidRDefault="00EF7499" w:rsidP="00EB037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5F20904" w14:textId="77777777" w:rsidR="00EF7499" w:rsidRPr="007E4FA1" w:rsidRDefault="00EF7499" w:rsidP="00EB037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b/>
                <w:sz w:val="23"/>
                <w:szCs w:val="23"/>
              </w:rPr>
              <w:t>Characteristic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7150BB83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0-1</w:t>
            </w:r>
            <w:r w:rsidRPr="007E4F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readmit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  <w:p w14:paraId="4136815B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(n=2,075; 95.8%</w:t>
            </w:r>
            <w:r w:rsidRPr="007E4FA1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14:paraId="630D6822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≥2</w:t>
            </w:r>
            <w:r w:rsidRPr="007E4F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readmit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</w:p>
          <w:p w14:paraId="1460C5A8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b/>
                <w:sz w:val="23"/>
                <w:szCs w:val="23"/>
              </w:rPr>
              <w:t>(n=90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; 4.2%</w:t>
            </w:r>
            <w:r w:rsidRPr="007E4FA1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5F8B87AF" w14:textId="77777777" w:rsidR="00EF7499" w:rsidRDefault="00EF7499" w:rsidP="00EB0372">
            <w:pPr>
              <w:jc w:val="righ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14:paraId="06E1339F" w14:textId="77777777" w:rsidR="00EF7499" w:rsidRPr="003B5EFF" w:rsidRDefault="00EF7499" w:rsidP="00EB0372">
            <w:pPr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B4050">
              <w:rPr>
                <w:rFonts w:ascii="Times New Roman" w:hAnsi="Times New Roman" w:cs="Times New Roman"/>
                <w:b/>
                <w:sz w:val="23"/>
                <w:szCs w:val="23"/>
              </w:rPr>
              <w:t>p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14:paraId="784259FC" w14:textId="77777777" w:rsidR="00EF7499" w:rsidRDefault="00EF7499" w:rsidP="00EB0372">
            <w:pPr>
              <w:jc w:val="right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</w:tr>
      <w:tr w:rsidR="00EF7499" w:rsidRPr="007E4FA1" w14:paraId="15878C50" w14:textId="248319E0" w:rsidTr="006B4050">
        <w:tc>
          <w:tcPr>
            <w:tcW w:w="3589" w:type="dxa"/>
            <w:tcBorders>
              <w:top w:val="single" w:sz="4" w:space="0" w:color="auto"/>
            </w:tcBorders>
          </w:tcPr>
          <w:p w14:paraId="1AF6BF29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Age in years, mean (SD)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7104D0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63.7 (17.4)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14:paraId="1768DEAA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61.5 (16.8)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2D32EBA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.243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54846DA2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2C031B76" w14:textId="776EAFB9" w:rsidTr="006B4050">
        <w:tc>
          <w:tcPr>
            <w:tcW w:w="3589" w:type="dxa"/>
          </w:tcPr>
          <w:p w14:paraId="0C1E8B58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Male, n (%)</w:t>
            </w:r>
          </w:p>
        </w:tc>
        <w:tc>
          <w:tcPr>
            <w:tcW w:w="2009" w:type="dxa"/>
          </w:tcPr>
          <w:p w14:paraId="0AD45DE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1,018 (49.1)</w:t>
            </w:r>
          </w:p>
        </w:tc>
        <w:tc>
          <w:tcPr>
            <w:tcW w:w="1606" w:type="dxa"/>
          </w:tcPr>
          <w:p w14:paraId="102228FA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47 (52.2)</w:t>
            </w:r>
          </w:p>
        </w:tc>
        <w:tc>
          <w:tcPr>
            <w:tcW w:w="864" w:type="dxa"/>
          </w:tcPr>
          <w:p w14:paraId="098AC70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.557</w:t>
            </w:r>
          </w:p>
        </w:tc>
        <w:tc>
          <w:tcPr>
            <w:tcW w:w="864" w:type="dxa"/>
          </w:tcPr>
          <w:p w14:paraId="6C583E2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2A2C1C87" w14:textId="10560277" w:rsidTr="006B4050">
        <w:tc>
          <w:tcPr>
            <w:tcW w:w="3589" w:type="dxa"/>
          </w:tcPr>
          <w:p w14:paraId="0E413A43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Race, n (%)</w:t>
            </w:r>
          </w:p>
        </w:tc>
        <w:tc>
          <w:tcPr>
            <w:tcW w:w="2009" w:type="dxa"/>
          </w:tcPr>
          <w:p w14:paraId="7764DF3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6" w:type="dxa"/>
          </w:tcPr>
          <w:p w14:paraId="73D57BF4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60013A72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</w:tcPr>
          <w:p w14:paraId="4EA9590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73E345E2" w14:textId="51C984E3" w:rsidTr="006B4050">
        <w:tc>
          <w:tcPr>
            <w:tcW w:w="3589" w:type="dxa"/>
          </w:tcPr>
          <w:p w14:paraId="794F3D35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Black</w:t>
            </w:r>
          </w:p>
        </w:tc>
        <w:tc>
          <w:tcPr>
            <w:tcW w:w="2009" w:type="dxa"/>
          </w:tcPr>
          <w:p w14:paraId="6FEC161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1,293 (62.3)</w:t>
            </w:r>
          </w:p>
        </w:tc>
        <w:tc>
          <w:tcPr>
            <w:tcW w:w="1606" w:type="dxa"/>
          </w:tcPr>
          <w:p w14:paraId="4F1913C0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82 (91.1)</w:t>
            </w:r>
          </w:p>
        </w:tc>
        <w:tc>
          <w:tcPr>
            <w:tcW w:w="864" w:type="dxa"/>
          </w:tcPr>
          <w:p w14:paraId="10179607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3AFBD168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183236E8" w14:textId="699D4D8F" w:rsidTr="006B4050">
        <w:tc>
          <w:tcPr>
            <w:tcW w:w="3589" w:type="dxa"/>
          </w:tcPr>
          <w:p w14:paraId="70FCE9E8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White</w:t>
            </w:r>
          </w:p>
        </w:tc>
        <w:tc>
          <w:tcPr>
            <w:tcW w:w="2009" w:type="dxa"/>
          </w:tcPr>
          <w:p w14:paraId="31A65E65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652 (31.4)</w:t>
            </w:r>
          </w:p>
        </w:tc>
        <w:tc>
          <w:tcPr>
            <w:tcW w:w="1606" w:type="dxa"/>
          </w:tcPr>
          <w:p w14:paraId="56801EE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3 (3.3)</w:t>
            </w:r>
          </w:p>
        </w:tc>
        <w:tc>
          <w:tcPr>
            <w:tcW w:w="864" w:type="dxa"/>
          </w:tcPr>
          <w:p w14:paraId="0C2F934A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52B54B6D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762A8E53" w14:textId="101B84B2" w:rsidTr="006B4050">
        <w:tc>
          <w:tcPr>
            <w:tcW w:w="3589" w:type="dxa"/>
          </w:tcPr>
          <w:p w14:paraId="59711E86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Other</w:t>
            </w:r>
          </w:p>
        </w:tc>
        <w:tc>
          <w:tcPr>
            <w:tcW w:w="2009" w:type="dxa"/>
          </w:tcPr>
          <w:p w14:paraId="63ACD604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129 (6.2)</w:t>
            </w:r>
          </w:p>
        </w:tc>
        <w:tc>
          <w:tcPr>
            <w:tcW w:w="1606" w:type="dxa"/>
          </w:tcPr>
          <w:p w14:paraId="789B4166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5 (5.6)</w:t>
            </w:r>
          </w:p>
        </w:tc>
        <w:tc>
          <w:tcPr>
            <w:tcW w:w="864" w:type="dxa"/>
          </w:tcPr>
          <w:p w14:paraId="7728E01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0ABE49F4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27DF0281" w14:textId="4127CC57" w:rsidTr="006B4050">
        <w:tc>
          <w:tcPr>
            <w:tcW w:w="3589" w:type="dxa"/>
            <w:tcBorders>
              <w:bottom w:val="nil"/>
            </w:tcBorders>
          </w:tcPr>
          <w:p w14:paraId="59A3059B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Hispanic, n (%)</w:t>
            </w:r>
          </w:p>
        </w:tc>
        <w:tc>
          <w:tcPr>
            <w:tcW w:w="2009" w:type="dxa"/>
            <w:tcBorders>
              <w:bottom w:val="nil"/>
            </w:tcBorders>
          </w:tcPr>
          <w:p w14:paraId="5E1AE41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 (2.3)</w:t>
            </w:r>
          </w:p>
        </w:tc>
        <w:tc>
          <w:tcPr>
            <w:tcW w:w="1606" w:type="dxa"/>
            <w:tcBorders>
              <w:bottom w:val="nil"/>
            </w:tcBorders>
          </w:tcPr>
          <w:p w14:paraId="48AD764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2 (2.2)</w:t>
            </w:r>
          </w:p>
        </w:tc>
        <w:tc>
          <w:tcPr>
            <w:tcW w:w="864" w:type="dxa"/>
            <w:tcBorders>
              <w:bottom w:val="nil"/>
            </w:tcBorders>
          </w:tcPr>
          <w:p w14:paraId="419FBB3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.950</w:t>
            </w:r>
          </w:p>
        </w:tc>
        <w:tc>
          <w:tcPr>
            <w:tcW w:w="864" w:type="dxa"/>
            <w:tcBorders>
              <w:bottom w:val="nil"/>
            </w:tcBorders>
          </w:tcPr>
          <w:p w14:paraId="2ED6F003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3D6E6027" w14:textId="06C264BB" w:rsidTr="006B4050"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316FE58E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English Speaking, n (%)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CC6587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2,038 (98.2)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03DC6CB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85 (94.4)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D003E9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A9F11E7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033B1FF9" w14:textId="737EBF0E" w:rsidTr="006B4050"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4E6B99A6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Married, n (%)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0F25B36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671 (32.3)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3CA1DB4B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10 (11.1)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8669A53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0746AC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18F04495" w14:textId="6D3052E4" w:rsidTr="006B4050">
        <w:tc>
          <w:tcPr>
            <w:tcW w:w="3589" w:type="dxa"/>
            <w:tcBorders>
              <w:top w:val="nil"/>
              <w:bottom w:val="nil"/>
            </w:tcBorders>
          </w:tcPr>
          <w:p w14:paraId="0E464151" w14:textId="4544657A" w:rsidR="00EF7499" w:rsidRPr="007E4FA1" w:rsidRDefault="00EF74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Resides in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metropolitan area</w:t>
            </w: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, n (%)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14:paraId="38447A33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939 (45.2)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3610C2BB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58 (64.4)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3C0B4F5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71E8DA6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5979571C" w14:textId="0D10937E" w:rsidTr="006B4050">
        <w:trPr>
          <w:trHeight w:val="288"/>
        </w:trPr>
        <w:tc>
          <w:tcPr>
            <w:tcW w:w="3589" w:type="dxa"/>
            <w:tcBorders>
              <w:top w:val="nil"/>
              <w:bottom w:val="nil"/>
            </w:tcBorders>
          </w:tcPr>
          <w:p w14:paraId="5483B888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Payer, n (%)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14:paraId="5C4B2048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4922530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4D92550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4FF7010B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328A37DE" w14:textId="51EFECA5" w:rsidTr="006B4050"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1F0FC057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Medicare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A52840D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1,204 (59.0)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0AA0B447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31 (34.4)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230BB3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C56541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04C80BB9" w14:textId="16E635D4" w:rsidTr="006B4050">
        <w:trPr>
          <w:trHeight w:val="233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7B8E1D28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Medicaid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16017BB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461 (22.6)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51F51DB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58 (64.4)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3829CD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ABD69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14E3CEEF" w14:textId="13533645" w:rsidTr="006B4050"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14:paraId="09767859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Commercial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0F3B464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375 (18.4)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05C33C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1 (1.1)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C3C004A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55B46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273245C5" w14:textId="44F5D9BC" w:rsidTr="006B4050">
        <w:tc>
          <w:tcPr>
            <w:tcW w:w="3589" w:type="dxa"/>
          </w:tcPr>
          <w:p w14:paraId="02865535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Admitted through ED, n (%)</w:t>
            </w:r>
          </w:p>
        </w:tc>
        <w:tc>
          <w:tcPr>
            <w:tcW w:w="2009" w:type="dxa"/>
          </w:tcPr>
          <w:p w14:paraId="767F9670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1,587 (76.5)</w:t>
            </w:r>
          </w:p>
        </w:tc>
        <w:tc>
          <w:tcPr>
            <w:tcW w:w="1606" w:type="dxa"/>
          </w:tcPr>
          <w:p w14:paraId="17BB2BC5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 (93</w:t>
            </w: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.3)</w:t>
            </w:r>
          </w:p>
        </w:tc>
        <w:tc>
          <w:tcPr>
            <w:tcW w:w="864" w:type="dxa"/>
          </w:tcPr>
          <w:p w14:paraId="028AF053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864" w:type="dxa"/>
          </w:tcPr>
          <w:p w14:paraId="26AEDBBD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7769719C" w14:textId="1D309E5B" w:rsidTr="006B4050">
        <w:tc>
          <w:tcPr>
            <w:tcW w:w="3589" w:type="dxa"/>
          </w:tcPr>
          <w:p w14:paraId="4EAB5116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Discharge disposition, n (%):</w:t>
            </w:r>
          </w:p>
        </w:tc>
        <w:tc>
          <w:tcPr>
            <w:tcW w:w="2009" w:type="dxa"/>
          </w:tcPr>
          <w:p w14:paraId="1D52A484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6" w:type="dxa"/>
          </w:tcPr>
          <w:p w14:paraId="067E288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30E5B54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.309</w:t>
            </w:r>
          </w:p>
        </w:tc>
        <w:tc>
          <w:tcPr>
            <w:tcW w:w="864" w:type="dxa"/>
          </w:tcPr>
          <w:p w14:paraId="6D37C17A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5AD9FCDF" w14:textId="0F065CE9" w:rsidTr="006B4050">
        <w:tc>
          <w:tcPr>
            <w:tcW w:w="3589" w:type="dxa"/>
          </w:tcPr>
          <w:p w14:paraId="23386CAD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No additional supports</w:t>
            </w:r>
          </w:p>
        </w:tc>
        <w:tc>
          <w:tcPr>
            <w:tcW w:w="2009" w:type="dxa"/>
          </w:tcPr>
          <w:p w14:paraId="46ADFE3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1,009 (48.6)</w:t>
            </w:r>
          </w:p>
        </w:tc>
        <w:tc>
          <w:tcPr>
            <w:tcW w:w="1606" w:type="dxa"/>
          </w:tcPr>
          <w:p w14:paraId="1BFD735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36 (40.0)</w:t>
            </w:r>
          </w:p>
        </w:tc>
        <w:tc>
          <w:tcPr>
            <w:tcW w:w="864" w:type="dxa"/>
          </w:tcPr>
          <w:p w14:paraId="653FC79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0227063A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19B5ED07" w14:textId="2E269FA9" w:rsidTr="006B4050">
        <w:tc>
          <w:tcPr>
            <w:tcW w:w="3589" w:type="dxa"/>
          </w:tcPr>
          <w:p w14:paraId="77C6D63E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Home care</w:t>
            </w:r>
          </w:p>
        </w:tc>
        <w:tc>
          <w:tcPr>
            <w:tcW w:w="2009" w:type="dxa"/>
          </w:tcPr>
          <w:p w14:paraId="2216038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539 (26.0)</w:t>
            </w:r>
          </w:p>
        </w:tc>
        <w:tc>
          <w:tcPr>
            <w:tcW w:w="1606" w:type="dxa"/>
          </w:tcPr>
          <w:p w14:paraId="4193425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29 (32.2)</w:t>
            </w:r>
          </w:p>
        </w:tc>
        <w:tc>
          <w:tcPr>
            <w:tcW w:w="864" w:type="dxa"/>
          </w:tcPr>
          <w:p w14:paraId="4963EE33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1AC7DFE7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77490516" w14:textId="00E572AB" w:rsidTr="006B4050">
        <w:tc>
          <w:tcPr>
            <w:tcW w:w="3589" w:type="dxa"/>
          </w:tcPr>
          <w:p w14:paraId="7352D87E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Skilled nursing facility</w:t>
            </w:r>
          </w:p>
        </w:tc>
        <w:tc>
          <w:tcPr>
            <w:tcW w:w="2009" w:type="dxa"/>
          </w:tcPr>
          <w:p w14:paraId="4C484765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319 (15.4)</w:t>
            </w:r>
          </w:p>
        </w:tc>
        <w:tc>
          <w:tcPr>
            <w:tcW w:w="1606" w:type="dxa"/>
          </w:tcPr>
          <w:p w14:paraId="0BE7BDA5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13 (14.4)</w:t>
            </w:r>
          </w:p>
        </w:tc>
        <w:tc>
          <w:tcPr>
            <w:tcW w:w="864" w:type="dxa"/>
          </w:tcPr>
          <w:p w14:paraId="54630F26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7D6CC41D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327159CA" w14:textId="50AC7D01" w:rsidTr="006B4050">
        <w:tc>
          <w:tcPr>
            <w:tcW w:w="3589" w:type="dxa"/>
          </w:tcPr>
          <w:p w14:paraId="4755067E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Other</w:t>
            </w:r>
          </w:p>
        </w:tc>
        <w:tc>
          <w:tcPr>
            <w:tcW w:w="2009" w:type="dxa"/>
          </w:tcPr>
          <w:p w14:paraId="23E6E006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208 (10.0)</w:t>
            </w:r>
          </w:p>
        </w:tc>
        <w:tc>
          <w:tcPr>
            <w:tcW w:w="1606" w:type="dxa"/>
          </w:tcPr>
          <w:p w14:paraId="6B2D0E42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12 (13.3)</w:t>
            </w:r>
          </w:p>
        </w:tc>
        <w:tc>
          <w:tcPr>
            <w:tcW w:w="864" w:type="dxa"/>
          </w:tcPr>
          <w:p w14:paraId="3A88F024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0444671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2BE884F3" w14:textId="4F34452F" w:rsidTr="006B4050">
        <w:tc>
          <w:tcPr>
            <w:tcW w:w="3589" w:type="dxa"/>
            <w:tcBorders>
              <w:top w:val="nil"/>
              <w:bottom w:val="nil"/>
            </w:tcBorders>
          </w:tcPr>
          <w:p w14:paraId="418E6383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Comorbidities, mean (SD)</w:t>
            </w:r>
          </w:p>
        </w:tc>
        <w:tc>
          <w:tcPr>
            <w:tcW w:w="2009" w:type="dxa"/>
            <w:tcBorders>
              <w:top w:val="nil"/>
              <w:bottom w:val="nil"/>
            </w:tcBorders>
          </w:tcPr>
          <w:p w14:paraId="0E8C7D3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 (3.0)</w:t>
            </w:r>
          </w:p>
        </w:tc>
        <w:tc>
          <w:tcPr>
            <w:tcW w:w="1606" w:type="dxa"/>
            <w:tcBorders>
              <w:top w:val="nil"/>
              <w:bottom w:val="nil"/>
            </w:tcBorders>
          </w:tcPr>
          <w:p w14:paraId="3EACA503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8.5 (3.0)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00432B80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234EF5C4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5CA6F56C" w14:textId="273723F1" w:rsidTr="006B4050">
        <w:tc>
          <w:tcPr>
            <w:tcW w:w="3589" w:type="dxa"/>
          </w:tcPr>
          <w:p w14:paraId="124121A4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Top Five Comorbidities, n (%)</w:t>
            </w:r>
          </w:p>
        </w:tc>
        <w:tc>
          <w:tcPr>
            <w:tcW w:w="2009" w:type="dxa"/>
          </w:tcPr>
          <w:p w14:paraId="67B45DC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6" w:type="dxa"/>
          </w:tcPr>
          <w:p w14:paraId="0D7D9267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2566325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14:paraId="096A8FD3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3F2B45E2" w14:textId="581C38C4" w:rsidTr="006B4050">
        <w:tc>
          <w:tcPr>
            <w:tcW w:w="3589" w:type="dxa"/>
          </w:tcPr>
          <w:p w14:paraId="0C220FB2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Fluid and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</w:t>
            </w: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lectrolyte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d</w:t>
            </w: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isorders</w:t>
            </w:r>
          </w:p>
        </w:tc>
        <w:tc>
          <w:tcPr>
            <w:tcW w:w="2009" w:type="dxa"/>
          </w:tcPr>
          <w:p w14:paraId="11C0E2E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1,043 (50.3)</w:t>
            </w:r>
          </w:p>
        </w:tc>
        <w:tc>
          <w:tcPr>
            <w:tcW w:w="1606" w:type="dxa"/>
          </w:tcPr>
          <w:p w14:paraId="2FCC8298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74 (82.2)</w:t>
            </w:r>
          </w:p>
        </w:tc>
        <w:tc>
          <w:tcPr>
            <w:tcW w:w="864" w:type="dxa"/>
          </w:tcPr>
          <w:p w14:paraId="53BAC52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</w:tcPr>
          <w:p w14:paraId="4DBA8A00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0A314F8F" w14:textId="084CF0D4" w:rsidTr="006B4050">
        <w:tc>
          <w:tcPr>
            <w:tcW w:w="3589" w:type="dxa"/>
          </w:tcPr>
          <w:p w14:paraId="7A24D693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Hypertension - complicated</w:t>
            </w:r>
          </w:p>
        </w:tc>
        <w:tc>
          <w:tcPr>
            <w:tcW w:w="2009" w:type="dxa"/>
          </w:tcPr>
          <w:p w14:paraId="7248BFA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995 (47.9)</w:t>
            </w:r>
          </w:p>
        </w:tc>
        <w:tc>
          <w:tcPr>
            <w:tcW w:w="1606" w:type="dxa"/>
          </w:tcPr>
          <w:p w14:paraId="6BEE8732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67 (74.4)</w:t>
            </w:r>
          </w:p>
        </w:tc>
        <w:tc>
          <w:tcPr>
            <w:tcW w:w="864" w:type="dxa"/>
          </w:tcPr>
          <w:p w14:paraId="38C5754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</w:tcPr>
          <w:p w14:paraId="0ABFABCB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6B3CEBEF" w14:textId="762E35C1" w:rsidTr="006B4050">
        <w:tc>
          <w:tcPr>
            <w:tcW w:w="3589" w:type="dxa"/>
          </w:tcPr>
          <w:p w14:paraId="20C5D2DB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Cardiac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rrhythmias</w:t>
            </w:r>
          </w:p>
        </w:tc>
        <w:tc>
          <w:tcPr>
            <w:tcW w:w="2009" w:type="dxa"/>
          </w:tcPr>
          <w:p w14:paraId="6036CDFC" w14:textId="77777777" w:rsidR="00EF7499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949 (45.7)</w:t>
            </w:r>
          </w:p>
        </w:tc>
        <w:tc>
          <w:tcPr>
            <w:tcW w:w="1606" w:type="dxa"/>
          </w:tcPr>
          <w:p w14:paraId="31891FC1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69 (76.7)</w:t>
            </w:r>
          </w:p>
        </w:tc>
        <w:tc>
          <w:tcPr>
            <w:tcW w:w="864" w:type="dxa"/>
          </w:tcPr>
          <w:p w14:paraId="7493F578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</w:tcPr>
          <w:p w14:paraId="65D110F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7BCCFEED" w14:textId="2085BF0F" w:rsidTr="006B4050">
        <w:tc>
          <w:tcPr>
            <w:tcW w:w="3589" w:type="dxa"/>
          </w:tcPr>
          <w:p w14:paraId="1B342D08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Hypertension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ncomplicated</w:t>
            </w:r>
          </w:p>
        </w:tc>
        <w:tc>
          <w:tcPr>
            <w:tcW w:w="2009" w:type="dxa"/>
          </w:tcPr>
          <w:p w14:paraId="3BB05377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918 (44.2)</w:t>
            </w:r>
          </w:p>
        </w:tc>
        <w:tc>
          <w:tcPr>
            <w:tcW w:w="1606" w:type="dxa"/>
          </w:tcPr>
          <w:p w14:paraId="767EC19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59 (65.6)</w:t>
            </w:r>
          </w:p>
        </w:tc>
        <w:tc>
          <w:tcPr>
            <w:tcW w:w="864" w:type="dxa"/>
          </w:tcPr>
          <w:p w14:paraId="77D68584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</w:tcPr>
          <w:p w14:paraId="45FF73A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6B75C5A6" w14:textId="7405636D" w:rsidTr="006B4050">
        <w:tc>
          <w:tcPr>
            <w:tcW w:w="3589" w:type="dxa"/>
          </w:tcPr>
          <w:p w14:paraId="025CD28C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     Congestive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h</w:t>
            </w: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 xml:space="preserve">eart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ailure</w:t>
            </w:r>
          </w:p>
        </w:tc>
        <w:tc>
          <w:tcPr>
            <w:tcW w:w="2009" w:type="dxa"/>
          </w:tcPr>
          <w:p w14:paraId="3E05EF7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859 (41.4)</w:t>
            </w:r>
          </w:p>
        </w:tc>
        <w:tc>
          <w:tcPr>
            <w:tcW w:w="1606" w:type="dxa"/>
          </w:tcPr>
          <w:p w14:paraId="04C19C2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63 (70.0)</w:t>
            </w:r>
          </w:p>
        </w:tc>
        <w:tc>
          <w:tcPr>
            <w:tcW w:w="864" w:type="dxa"/>
          </w:tcPr>
          <w:p w14:paraId="12914E4E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</w:tcPr>
          <w:p w14:paraId="0DC4338D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184B05CA" w14:textId="3AFA71E1" w:rsidTr="006B4050">
        <w:tc>
          <w:tcPr>
            <w:tcW w:w="3589" w:type="dxa"/>
            <w:tcBorders>
              <w:top w:val="nil"/>
            </w:tcBorders>
          </w:tcPr>
          <w:p w14:paraId="202C5DCE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ED visits, mean (SD)</w:t>
            </w:r>
          </w:p>
        </w:tc>
        <w:tc>
          <w:tcPr>
            <w:tcW w:w="2009" w:type="dxa"/>
            <w:tcBorders>
              <w:top w:val="nil"/>
            </w:tcBorders>
          </w:tcPr>
          <w:p w14:paraId="61175BE9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0.5 (1.2)</w:t>
            </w:r>
          </w:p>
        </w:tc>
        <w:tc>
          <w:tcPr>
            <w:tcW w:w="1606" w:type="dxa"/>
            <w:tcBorders>
              <w:top w:val="nil"/>
            </w:tcBorders>
          </w:tcPr>
          <w:p w14:paraId="582DDCB3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3.7 (4.6)</w:t>
            </w:r>
          </w:p>
        </w:tc>
        <w:tc>
          <w:tcPr>
            <w:tcW w:w="864" w:type="dxa"/>
            <w:tcBorders>
              <w:top w:val="nil"/>
            </w:tcBorders>
          </w:tcPr>
          <w:p w14:paraId="72789DCF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&lt;.001</w:t>
            </w:r>
          </w:p>
        </w:tc>
        <w:tc>
          <w:tcPr>
            <w:tcW w:w="864" w:type="dxa"/>
            <w:tcBorders>
              <w:top w:val="nil"/>
            </w:tcBorders>
          </w:tcPr>
          <w:p w14:paraId="34EF8D6B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F7499" w:rsidRPr="007E4FA1" w14:paraId="647DE01E" w14:textId="6511230D" w:rsidTr="006B4050">
        <w:tc>
          <w:tcPr>
            <w:tcW w:w="3589" w:type="dxa"/>
          </w:tcPr>
          <w:p w14:paraId="1129C5F7" w14:textId="77777777" w:rsidR="00EF7499" w:rsidRPr="007E4FA1" w:rsidRDefault="00EF7499" w:rsidP="00EB03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Length of stay, mean (SD)</w:t>
            </w:r>
          </w:p>
        </w:tc>
        <w:tc>
          <w:tcPr>
            <w:tcW w:w="2009" w:type="dxa"/>
          </w:tcPr>
          <w:p w14:paraId="0A9C5552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5.9 (6.1)</w:t>
            </w:r>
          </w:p>
        </w:tc>
        <w:tc>
          <w:tcPr>
            <w:tcW w:w="1606" w:type="dxa"/>
          </w:tcPr>
          <w:p w14:paraId="2A81F44C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7E4FA1">
              <w:rPr>
                <w:rFonts w:ascii="Times New Roman" w:hAnsi="Times New Roman" w:cs="Times New Roman"/>
                <w:sz w:val="23"/>
                <w:szCs w:val="23"/>
              </w:rPr>
              <w:t>6.2 (7.1)</w:t>
            </w:r>
          </w:p>
        </w:tc>
        <w:tc>
          <w:tcPr>
            <w:tcW w:w="864" w:type="dxa"/>
          </w:tcPr>
          <w:p w14:paraId="5685C25A" w14:textId="77777777" w:rsidR="00EF7499" w:rsidRPr="007E4FA1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.670</w:t>
            </w:r>
          </w:p>
        </w:tc>
        <w:tc>
          <w:tcPr>
            <w:tcW w:w="864" w:type="dxa"/>
          </w:tcPr>
          <w:p w14:paraId="5D7A9A1D" w14:textId="77777777" w:rsidR="00EF7499" w:rsidRDefault="00EF7499" w:rsidP="00EB0372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C0BCE8B" w14:textId="77777777" w:rsidR="00FF516F" w:rsidRDefault="00FF516F" w:rsidP="00FF516F">
      <w:r w:rsidRPr="00204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08E2">
        <w:rPr>
          <w:rFonts w:ascii="Times New Roman" w:hAnsi="Times New Roman" w:cs="Times New Roman"/>
          <w:i/>
          <w:sz w:val="24"/>
          <w:szCs w:val="24"/>
        </w:rPr>
        <w:t>Note.</w:t>
      </w:r>
      <w:r w:rsidRPr="007E4FA1">
        <w:rPr>
          <w:rFonts w:ascii="Times New Roman" w:hAnsi="Times New Roman" w:cs="Times New Roman"/>
          <w:sz w:val="24"/>
          <w:szCs w:val="24"/>
        </w:rPr>
        <w:t xml:space="preserve">  Other race category composed of Asian, Hawaiian Pacific Islander, Other, Unknown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5188E">
        <w:rPr>
          <w:rFonts w:ascii="Times New Roman" w:hAnsi="Times New Roman" w:cs="Times New Roman"/>
          <w:sz w:val="24"/>
          <w:szCs w:val="24"/>
        </w:rPr>
        <w:t>Other discharge disp</w:t>
      </w:r>
      <w:r w:rsidRPr="00A623B4">
        <w:rPr>
          <w:rFonts w:ascii="Times New Roman" w:hAnsi="Times New Roman" w:cs="Times New Roman"/>
          <w:sz w:val="24"/>
          <w:szCs w:val="24"/>
        </w:rPr>
        <w:t>osition</w:t>
      </w:r>
      <w:r>
        <w:rPr>
          <w:rFonts w:ascii="Times New Roman" w:hAnsi="Times New Roman" w:cs="Times New Roman"/>
          <w:sz w:val="24"/>
          <w:szCs w:val="24"/>
        </w:rPr>
        <w:t xml:space="preserve"> category composed of short term hospital, correctional facility, hospice, inpatient rehabilitation, intermediate care facility, long term care facility, other institution, psychiatric facility, VA/federal hospital, and left AMA</w:t>
      </w:r>
    </w:p>
    <w:p w14:paraId="7BFF76B2" w14:textId="77777777" w:rsidR="00D124FD" w:rsidRDefault="00D124FD"/>
    <w:sectPr w:rsidR="00D124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02F4F" w14:textId="77777777" w:rsidR="00FF516F" w:rsidRDefault="00FF516F" w:rsidP="00FF516F">
      <w:pPr>
        <w:spacing w:after="0" w:line="240" w:lineRule="auto"/>
      </w:pPr>
      <w:r>
        <w:separator/>
      </w:r>
    </w:p>
  </w:endnote>
  <w:endnote w:type="continuationSeparator" w:id="0">
    <w:p w14:paraId="719FCCDC" w14:textId="77777777" w:rsidR="00FF516F" w:rsidRDefault="00FF516F" w:rsidP="00FF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4D5C1" w14:textId="77777777" w:rsidR="00FF516F" w:rsidRDefault="00FF516F" w:rsidP="00FF516F">
      <w:pPr>
        <w:spacing w:after="0" w:line="240" w:lineRule="auto"/>
      </w:pPr>
      <w:r>
        <w:separator/>
      </w:r>
    </w:p>
  </w:footnote>
  <w:footnote w:type="continuationSeparator" w:id="0">
    <w:p w14:paraId="2B3A3889" w14:textId="77777777" w:rsidR="00FF516F" w:rsidRDefault="00FF516F" w:rsidP="00FF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E89E" w14:textId="77777777" w:rsidR="00FF516F" w:rsidRDefault="00FF516F">
    <w:pPr>
      <w:pStyle w:val="Header"/>
    </w:pPr>
  </w:p>
  <w:p w14:paraId="7116AFFD" w14:textId="77777777" w:rsidR="00FF516F" w:rsidRDefault="00FF5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6F"/>
    <w:rsid w:val="0013645B"/>
    <w:rsid w:val="003B5EFF"/>
    <w:rsid w:val="006B4050"/>
    <w:rsid w:val="00A81FE0"/>
    <w:rsid w:val="00AF5725"/>
    <w:rsid w:val="00D124FD"/>
    <w:rsid w:val="00EF7499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A386"/>
  <w15:chartTrackingRefBased/>
  <w15:docId w15:val="{D3940E95-ADA9-4079-8F7C-3DE0804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6F"/>
  </w:style>
  <w:style w:type="paragraph" w:styleId="Footer">
    <w:name w:val="footer"/>
    <w:basedOn w:val="Normal"/>
    <w:link w:val="FooterChar"/>
    <w:uiPriority w:val="99"/>
    <w:unhideWhenUsed/>
    <w:rsid w:val="00FF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6F"/>
  </w:style>
  <w:style w:type="paragraph" w:styleId="BalloonText">
    <w:name w:val="Balloon Text"/>
    <w:basedOn w:val="Normal"/>
    <w:link w:val="BalloonTextChar"/>
    <w:uiPriority w:val="99"/>
    <w:semiHidden/>
    <w:unhideWhenUsed/>
    <w:rsid w:val="003B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Brom, Heather</dc:creator>
  <cp:keywords/>
  <dc:description/>
  <cp:lastModifiedBy>Brom, Heather</cp:lastModifiedBy>
  <cp:revision>2</cp:revision>
  <dcterms:created xsi:type="dcterms:W3CDTF">2019-03-08T14:51:00Z</dcterms:created>
  <dcterms:modified xsi:type="dcterms:W3CDTF">2019-03-08T14:51:00Z</dcterms:modified>
</cp:coreProperties>
</file>