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C7" w:rsidRPr="00CD5663" w:rsidRDefault="00744A67" w:rsidP="001B4AD8">
      <w:pPr>
        <w:rPr>
          <w:rFonts w:ascii="Arial" w:hAnsi="Arial" w:cs="Arial"/>
          <w:b/>
          <w:sz w:val="20"/>
          <w:szCs w:val="20"/>
        </w:rPr>
      </w:pPr>
      <w:r w:rsidRPr="00CD5663">
        <w:rPr>
          <w:rFonts w:ascii="Arial" w:hAnsi="Arial" w:cs="Arial"/>
          <w:b/>
          <w:sz w:val="20"/>
          <w:szCs w:val="20"/>
        </w:rPr>
        <w:t>Supplemental Digital Content 3</w:t>
      </w:r>
    </w:p>
    <w:p w:rsidR="00AB56BF" w:rsidRPr="00CD5663" w:rsidRDefault="00086278" w:rsidP="001B4AD8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TABLE</w:t>
      </w:r>
      <w:r w:rsidR="008C74C7" w:rsidRPr="00CD5663">
        <w:rPr>
          <w:rFonts w:ascii="Arial" w:hAnsi="Arial" w:cs="Arial"/>
          <w:b/>
          <w:sz w:val="20"/>
          <w:szCs w:val="20"/>
          <w:lang w:val="en-US"/>
        </w:rPr>
        <w:t>.</w:t>
      </w:r>
      <w:r w:rsidR="00AB56BF" w:rsidRPr="00CD5663">
        <w:rPr>
          <w:rFonts w:ascii="Arial" w:hAnsi="Arial" w:cs="Arial"/>
          <w:b/>
          <w:sz w:val="20"/>
          <w:szCs w:val="20"/>
          <w:lang w:val="en-US"/>
        </w:rPr>
        <w:t xml:space="preserve"> MS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ractice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haracteristics </w:t>
      </w:r>
      <w:r w:rsidR="00AB56BF" w:rsidRPr="00CD5663">
        <w:rPr>
          <w:rFonts w:ascii="Arial" w:hAnsi="Arial" w:cs="Arial"/>
          <w:b/>
          <w:sz w:val="20"/>
          <w:szCs w:val="20"/>
          <w:lang w:val="en-US"/>
        </w:rPr>
        <w:t xml:space="preserve">of </w:t>
      </w:r>
      <w:r>
        <w:rPr>
          <w:rFonts w:ascii="Arial" w:hAnsi="Arial" w:cs="Arial"/>
          <w:b/>
          <w:sz w:val="20"/>
          <w:szCs w:val="20"/>
          <w:lang w:val="en-US"/>
        </w:rPr>
        <w:t>R</w:t>
      </w:r>
      <w:r w:rsidRPr="00CD5663">
        <w:rPr>
          <w:rFonts w:ascii="Arial" w:hAnsi="Arial" w:cs="Arial"/>
          <w:b/>
          <w:sz w:val="20"/>
          <w:szCs w:val="20"/>
          <w:lang w:val="en-US"/>
        </w:rPr>
        <w:t xml:space="preserve">espondents </w:t>
      </w:r>
      <w:r w:rsidR="00AB56BF" w:rsidRPr="00CD5663">
        <w:rPr>
          <w:rFonts w:ascii="Arial" w:hAnsi="Arial" w:cs="Arial"/>
          <w:b/>
          <w:sz w:val="20"/>
          <w:szCs w:val="20"/>
          <w:lang w:val="en-US"/>
        </w:rPr>
        <w:t>(N=239)</w:t>
      </w:r>
    </w:p>
    <w:tbl>
      <w:tblPr>
        <w:tblW w:w="8349" w:type="dxa"/>
        <w:tblLayout w:type="fixed"/>
        <w:tblLook w:val="0000" w:firstRow="0" w:lastRow="0" w:firstColumn="0" w:lastColumn="0" w:noHBand="0" w:noVBand="0"/>
      </w:tblPr>
      <w:tblGrid>
        <w:gridCol w:w="4503"/>
        <w:gridCol w:w="3846"/>
      </w:tblGrid>
      <w:tr w:rsidR="00AB56BF" w:rsidRPr="00CD5663" w:rsidTr="00222808">
        <w:trPr>
          <w:trHeight w:val="14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CD5663">
              <w:rPr>
                <w:b/>
                <w:bCs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D5663">
              <w:rPr>
                <w:b/>
                <w:bCs/>
                <w:sz w:val="20"/>
                <w:szCs w:val="20"/>
                <w:lang w:val="en-US"/>
              </w:rPr>
              <w:t>Respondents, n (%)</w:t>
            </w:r>
            <w:r w:rsidRPr="00CD5663">
              <w:rPr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AB56BF" w:rsidRPr="00CD5663" w:rsidTr="00222808">
        <w:trPr>
          <w:trHeight w:val="83"/>
        </w:trPr>
        <w:tc>
          <w:tcPr>
            <w:tcW w:w="83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/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>P</w:t>
            </w:r>
            <w:r w:rsidR="00F40903"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>WMS</w:t>
            </w:r>
            <w:r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 xml:space="preserve"> treated with a DM</w:t>
            </w:r>
            <w:r w:rsidR="004201E5">
              <w:rPr>
                <w:b/>
                <w:bCs/>
                <w:color w:val="221E1F"/>
                <w:sz w:val="20"/>
                <w:szCs w:val="20"/>
                <w:lang w:val="en-US"/>
              </w:rPr>
              <w:t>D</w:t>
            </w:r>
            <w:r w:rsidRPr="00CD5663">
              <w:rPr>
                <w:b/>
                <w:bCs/>
                <w:color w:val="221E1F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vAlign w:val="center"/>
          </w:tcPr>
          <w:p w:rsidR="00AB56BF" w:rsidRPr="00CD5663" w:rsidRDefault="00AB56BF" w:rsidP="001B4AD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663">
              <w:rPr>
                <w:rFonts w:ascii="Arial" w:hAnsi="Arial" w:cs="Arial"/>
                <w:sz w:val="20"/>
                <w:szCs w:val="20"/>
              </w:rPr>
              <w:t xml:space="preserve">&lt;100 </w:t>
            </w:r>
          </w:p>
        </w:tc>
        <w:tc>
          <w:tcPr>
            <w:tcW w:w="3846" w:type="dxa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D566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AU"/>
              </w:rPr>
              <w:t>71 (29.7)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vAlign w:val="center"/>
          </w:tcPr>
          <w:p w:rsidR="00AB56BF" w:rsidRPr="00CD5663" w:rsidRDefault="00AB56BF" w:rsidP="001B4AD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663">
              <w:rPr>
                <w:rFonts w:ascii="Arial" w:hAnsi="Arial" w:cs="Arial"/>
                <w:sz w:val="20"/>
                <w:szCs w:val="20"/>
              </w:rPr>
              <w:t xml:space="preserve">100-300 </w:t>
            </w:r>
          </w:p>
        </w:tc>
        <w:tc>
          <w:tcPr>
            <w:tcW w:w="3846" w:type="dxa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D566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AU"/>
              </w:rPr>
              <w:t>93 (38.9)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vAlign w:val="center"/>
          </w:tcPr>
          <w:p w:rsidR="00AB56BF" w:rsidRPr="00CD5663" w:rsidRDefault="00AB56BF" w:rsidP="001B4AD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663">
              <w:rPr>
                <w:rFonts w:ascii="Arial" w:hAnsi="Arial" w:cs="Arial"/>
                <w:sz w:val="20"/>
                <w:szCs w:val="20"/>
              </w:rPr>
              <w:t xml:space="preserve">301-600 </w:t>
            </w:r>
          </w:p>
        </w:tc>
        <w:tc>
          <w:tcPr>
            <w:tcW w:w="3846" w:type="dxa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D566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AU"/>
              </w:rPr>
              <w:t>51 (21.3)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vAlign w:val="center"/>
          </w:tcPr>
          <w:p w:rsidR="00AB56BF" w:rsidRPr="00CD5663" w:rsidRDefault="00AB56BF" w:rsidP="001B4AD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663">
              <w:rPr>
                <w:rFonts w:ascii="Arial" w:hAnsi="Arial" w:cs="Arial"/>
                <w:sz w:val="20"/>
                <w:szCs w:val="20"/>
              </w:rPr>
              <w:t xml:space="preserve">601-1000 </w:t>
            </w:r>
          </w:p>
        </w:tc>
        <w:tc>
          <w:tcPr>
            <w:tcW w:w="3846" w:type="dxa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D566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AU"/>
              </w:rPr>
              <w:t>14 (5.9)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AB56BF" w:rsidRPr="00CD5663" w:rsidRDefault="00AB56BF" w:rsidP="001B4AD8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5663">
              <w:rPr>
                <w:rFonts w:ascii="Arial" w:hAnsi="Arial" w:cs="Arial"/>
                <w:sz w:val="20"/>
                <w:szCs w:val="20"/>
              </w:rPr>
              <w:t xml:space="preserve">&gt;1000 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D566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 w:eastAsia="en-AU"/>
              </w:rPr>
              <w:t>10 (4.2)</w:t>
            </w:r>
          </w:p>
        </w:tc>
      </w:tr>
      <w:tr w:rsidR="00AB56BF" w:rsidRPr="00CD5663" w:rsidTr="00222808">
        <w:trPr>
          <w:trHeight w:val="83"/>
        </w:trPr>
        <w:tc>
          <w:tcPr>
            <w:tcW w:w="834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/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 xml:space="preserve">Length of time managing </w:t>
            </w:r>
            <w:r w:rsidR="00F40903"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>PW</w:t>
            </w:r>
            <w:r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>MS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>&gt;15 years</w:t>
            </w:r>
          </w:p>
        </w:tc>
        <w:tc>
          <w:tcPr>
            <w:tcW w:w="3846" w:type="dxa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color w:val="221E1F"/>
                <w:sz w:val="20"/>
                <w:szCs w:val="20"/>
                <w:lang w:val="en-US"/>
              </w:rPr>
              <w:t>44 (25.5)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>&gt;5 to ≤15 years</w:t>
            </w:r>
          </w:p>
        </w:tc>
        <w:tc>
          <w:tcPr>
            <w:tcW w:w="3846" w:type="dxa"/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color w:val="221E1F"/>
                <w:sz w:val="20"/>
                <w:szCs w:val="20"/>
                <w:lang w:val="en-US"/>
              </w:rPr>
              <w:t>134 (56.1)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tcBorders>
              <w:bottom w:val="single" w:sz="4" w:space="0" w:color="auto"/>
            </w:tcBorders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>0 to ≤5 years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AB56BF" w:rsidRPr="00CD5663" w:rsidRDefault="00AB56BF" w:rsidP="001B4AD8">
            <w:pPr>
              <w:pStyle w:val="Pa21"/>
              <w:spacing w:line="276" w:lineRule="auto"/>
              <w:jc w:val="center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color w:val="221E1F"/>
                <w:sz w:val="20"/>
                <w:szCs w:val="20"/>
                <w:lang w:val="en-US"/>
              </w:rPr>
              <w:t>44 (18.4)</w:t>
            </w:r>
          </w:p>
        </w:tc>
      </w:tr>
      <w:tr w:rsidR="00AB56BF" w:rsidRPr="00CD5663" w:rsidTr="00222808">
        <w:trPr>
          <w:trHeight w:val="83"/>
        </w:trPr>
        <w:tc>
          <w:tcPr>
            <w:tcW w:w="8349" w:type="dxa"/>
            <w:gridSpan w:val="2"/>
            <w:shd w:val="clear" w:color="auto" w:fill="F2F2F2" w:themeFill="background1" w:themeFillShade="F2"/>
          </w:tcPr>
          <w:p w:rsidR="00AB56BF" w:rsidRPr="00CD5663" w:rsidRDefault="00AB56BF" w:rsidP="001B4AD8">
            <w:pPr>
              <w:pStyle w:val="Pa21"/>
              <w:spacing w:line="276" w:lineRule="auto"/>
              <w:rPr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/>
                <w:bCs/>
                <w:color w:val="221E1F"/>
                <w:sz w:val="20"/>
                <w:szCs w:val="20"/>
                <w:lang w:val="en-US"/>
              </w:rPr>
              <w:t>Role</w:t>
            </w:r>
            <w:r w:rsidRPr="00CD5663">
              <w:rPr>
                <w:b/>
                <w:bCs/>
                <w:color w:val="221E1F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Cs/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 xml:space="preserve">MS treatment decision making </w:t>
            </w:r>
          </w:p>
        </w:tc>
        <w:tc>
          <w:tcPr>
            <w:tcW w:w="3846" w:type="dxa"/>
            <w:vAlign w:val="center"/>
          </w:tcPr>
          <w:p w:rsidR="00AB56BF" w:rsidRPr="00CD5663" w:rsidRDefault="00AB56BF" w:rsidP="001B4A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</w:pPr>
            <w:r w:rsidRPr="00CD56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  <w:t>95 (39.8)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Cs/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>Patient education and support</w:t>
            </w:r>
          </w:p>
        </w:tc>
        <w:tc>
          <w:tcPr>
            <w:tcW w:w="3846" w:type="dxa"/>
            <w:vAlign w:val="center"/>
          </w:tcPr>
          <w:p w:rsidR="00AB56BF" w:rsidRPr="00CD5663" w:rsidRDefault="00AB56BF" w:rsidP="001B4A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</w:pPr>
            <w:r w:rsidRPr="00CD56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  <w:t>221 (92.5)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Cs/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>Management of GI AEs related to DMF</w:t>
            </w:r>
          </w:p>
        </w:tc>
        <w:tc>
          <w:tcPr>
            <w:tcW w:w="3846" w:type="dxa"/>
            <w:vAlign w:val="center"/>
          </w:tcPr>
          <w:p w:rsidR="00AB56BF" w:rsidRPr="00CD5663" w:rsidRDefault="00AB56BF" w:rsidP="001B4A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</w:pPr>
            <w:r w:rsidRPr="00CD56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  <w:t>162 (67.8)</w:t>
            </w:r>
          </w:p>
        </w:tc>
      </w:tr>
      <w:tr w:rsidR="00AB56BF" w:rsidRPr="00CD5663" w:rsidTr="00222808">
        <w:trPr>
          <w:trHeight w:val="83"/>
        </w:trPr>
        <w:tc>
          <w:tcPr>
            <w:tcW w:w="4503" w:type="dxa"/>
            <w:tcBorders>
              <w:bottom w:val="single" w:sz="4" w:space="0" w:color="auto"/>
            </w:tcBorders>
          </w:tcPr>
          <w:p w:rsidR="00AB56BF" w:rsidRPr="00CD5663" w:rsidRDefault="00AB56BF" w:rsidP="001B4AD8">
            <w:pPr>
              <w:pStyle w:val="Pa20"/>
              <w:spacing w:line="276" w:lineRule="auto"/>
              <w:rPr>
                <w:bCs/>
                <w:color w:val="221E1F"/>
                <w:sz w:val="20"/>
                <w:szCs w:val="20"/>
                <w:lang w:val="en-US"/>
              </w:rPr>
            </w:pPr>
            <w:r w:rsidRPr="00CD5663">
              <w:rPr>
                <w:bCs/>
                <w:color w:val="221E1F"/>
                <w:sz w:val="20"/>
                <w:szCs w:val="20"/>
                <w:lang w:val="en-US"/>
              </w:rPr>
              <w:t>Prescribing MS therapies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AB56BF" w:rsidRPr="00CD5663" w:rsidRDefault="00AB56BF" w:rsidP="001B4A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</w:pPr>
            <w:r w:rsidRPr="00CD56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en-AU"/>
              </w:rPr>
              <w:t>48 (20.1)</w:t>
            </w:r>
          </w:p>
        </w:tc>
      </w:tr>
    </w:tbl>
    <w:p w:rsidR="00744182" w:rsidRPr="004201E5" w:rsidRDefault="00744182" w:rsidP="001B4AD8">
      <w:pPr>
        <w:pStyle w:val="Pa20"/>
        <w:spacing w:before="120" w:line="276" w:lineRule="auto"/>
        <w:rPr>
          <w:bCs/>
          <w:sz w:val="20"/>
          <w:szCs w:val="20"/>
          <w:lang w:val="en-US"/>
        </w:rPr>
      </w:pPr>
      <w:r w:rsidRPr="004201E5">
        <w:rPr>
          <w:bCs/>
          <w:sz w:val="20"/>
          <w:szCs w:val="20"/>
          <w:lang w:val="en-US"/>
        </w:rPr>
        <w:t>Percentages may not sum to 100% because of rounding.</w:t>
      </w:r>
    </w:p>
    <w:p w:rsidR="002F55F0" w:rsidRPr="004201E5" w:rsidRDefault="00635F26" w:rsidP="001B4AD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201E5">
        <w:rPr>
          <w:rFonts w:ascii="Arial" w:hAnsi="Arial" w:cs="Arial"/>
          <w:sz w:val="20"/>
          <w:szCs w:val="20"/>
          <w:lang w:val="en-US"/>
        </w:rPr>
        <w:t xml:space="preserve">Abbreviations: </w:t>
      </w:r>
      <w:r w:rsidR="002F55F0" w:rsidRPr="004201E5">
        <w:rPr>
          <w:rFonts w:ascii="Arial" w:hAnsi="Arial" w:cs="Arial"/>
          <w:sz w:val="20"/>
          <w:szCs w:val="20"/>
          <w:lang w:val="en-US"/>
        </w:rPr>
        <w:t>AE</w:t>
      </w:r>
      <w:r w:rsidRPr="004201E5">
        <w:rPr>
          <w:rFonts w:ascii="Arial" w:hAnsi="Arial" w:cs="Arial"/>
          <w:sz w:val="20"/>
          <w:szCs w:val="20"/>
          <w:lang w:val="en-US"/>
        </w:rPr>
        <w:t xml:space="preserve">, </w:t>
      </w:r>
      <w:r w:rsidR="002F55F0" w:rsidRPr="004201E5">
        <w:rPr>
          <w:rFonts w:ascii="Arial" w:hAnsi="Arial" w:cs="Arial"/>
          <w:sz w:val="20"/>
          <w:szCs w:val="20"/>
          <w:lang w:val="en-US"/>
        </w:rPr>
        <w:t>adverse event; DMF</w:t>
      </w:r>
      <w:r w:rsidRPr="004201E5">
        <w:rPr>
          <w:rFonts w:ascii="Arial" w:hAnsi="Arial" w:cs="Arial"/>
          <w:sz w:val="20"/>
          <w:szCs w:val="20"/>
          <w:lang w:val="en-US"/>
        </w:rPr>
        <w:t xml:space="preserve">, </w:t>
      </w:r>
      <w:r w:rsidR="005F3A63">
        <w:rPr>
          <w:rFonts w:ascii="Arial" w:hAnsi="Arial" w:cs="Arial"/>
          <w:sz w:val="20"/>
          <w:szCs w:val="20"/>
          <w:lang w:val="en-US"/>
        </w:rPr>
        <w:t xml:space="preserve">delayed-release </w:t>
      </w:r>
      <w:r w:rsidR="002F55F0" w:rsidRPr="004201E5">
        <w:rPr>
          <w:rFonts w:ascii="Arial" w:hAnsi="Arial" w:cs="Arial"/>
          <w:sz w:val="20"/>
          <w:szCs w:val="20"/>
          <w:lang w:val="en-US"/>
        </w:rPr>
        <w:t xml:space="preserve">dimethyl fumarate; </w:t>
      </w:r>
      <w:r w:rsidR="00744182" w:rsidRPr="004201E5">
        <w:rPr>
          <w:rFonts w:ascii="Arial" w:hAnsi="Arial" w:cs="Arial"/>
          <w:sz w:val="20"/>
          <w:szCs w:val="20"/>
          <w:lang w:val="en-US"/>
        </w:rPr>
        <w:t>DM</w:t>
      </w:r>
      <w:r w:rsidR="00744182">
        <w:rPr>
          <w:rFonts w:ascii="Arial" w:hAnsi="Arial" w:cs="Arial"/>
          <w:sz w:val="20"/>
          <w:szCs w:val="20"/>
          <w:lang w:val="en-US"/>
        </w:rPr>
        <w:t>D</w:t>
      </w:r>
      <w:r w:rsidRPr="004201E5">
        <w:rPr>
          <w:rFonts w:ascii="Arial" w:hAnsi="Arial" w:cs="Arial"/>
          <w:sz w:val="20"/>
          <w:szCs w:val="20"/>
          <w:lang w:val="en-US"/>
        </w:rPr>
        <w:t xml:space="preserve">, </w:t>
      </w:r>
      <w:r w:rsidR="002F55F0" w:rsidRPr="004201E5">
        <w:rPr>
          <w:rFonts w:ascii="Arial" w:hAnsi="Arial" w:cs="Arial"/>
          <w:sz w:val="20"/>
          <w:szCs w:val="20"/>
          <w:lang w:val="en-US"/>
        </w:rPr>
        <w:t xml:space="preserve">disease-modifying </w:t>
      </w:r>
      <w:r w:rsidR="004201E5" w:rsidRPr="004201E5">
        <w:rPr>
          <w:rFonts w:ascii="Arial" w:hAnsi="Arial" w:cs="Arial"/>
          <w:sz w:val="20"/>
          <w:szCs w:val="20"/>
          <w:lang w:val="en-US"/>
        </w:rPr>
        <w:t>drug</w:t>
      </w:r>
      <w:r w:rsidR="002F55F0" w:rsidRPr="004201E5">
        <w:rPr>
          <w:rFonts w:ascii="Arial" w:hAnsi="Arial" w:cs="Arial"/>
          <w:sz w:val="20"/>
          <w:szCs w:val="20"/>
          <w:lang w:val="en-US"/>
        </w:rPr>
        <w:t>; GI</w:t>
      </w:r>
      <w:r w:rsidRPr="004201E5">
        <w:rPr>
          <w:rFonts w:ascii="Arial" w:hAnsi="Arial" w:cs="Arial"/>
          <w:sz w:val="20"/>
          <w:szCs w:val="20"/>
          <w:lang w:val="en-US"/>
        </w:rPr>
        <w:t xml:space="preserve">, </w:t>
      </w:r>
      <w:r w:rsidR="002F55F0" w:rsidRPr="004201E5">
        <w:rPr>
          <w:rFonts w:ascii="Arial" w:hAnsi="Arial" w:cs="Arial"/>
          <w:sz w:val="20"/>
          <w:szCs w:val="20"/>
          <w:lang w:val="en-US"/>
        </w:rPr>
        <w:t xml:space="preserve">gastrointestinal; </w:t>
      </w:r>
      <w:r w:rsidRPr="004201E5">
        <w:rPr>
          <w:rFonts w:ascii="Arial" w:hAnsi="Arial" w:cs="Arial"/>
          <w:sz w:val="20"/>
          <w:szCs w:val="20"/>
          <w:lang w:val="en-US"/>
        </w:rPr>
        <w:t xml:space="preserve">MS, multiple sclerosis; </w:t>
      </w:r>
      <w:r w:rsidR="002F55F0" w:rsidRPr="004201E5">
        <w:rPr>
          <w:rFonts w:ascii="Arial" w:hAnsi="Arial" w:cs="Arial"/>
          <w:sz w:val="20"/>
          <w:szCs w:val="20"/>
          <w:lang w:val="en-US"/>
        </w:rPr>
        <w:t>PWMS</w:t>
      </w:r>
      <w:r w:rsidRPr="004201E5">
        <w:rPr>
          <w:rFonts w:ascii="Arial" w:hAnsi="Arial" w:cs="Arial"/>
          <w:sz w:val="20"/>
          <w:szCs w:val="20"/>
          <w:lang w:val="en-US"/>
        </w:rPr>
        <w:t xml:space="preserve">, </w:t>
      </w:r>
      <w:r w:rsidR="002F55F0" w:rsidRPr="004201E5">
        <w:rPr>
          <w:rFonts w:ascii="Arial" w:hAnsi="Arial" w:cs="Arial"/>
          <w:sz w:val="20"/>
          <w:szCs w:val="20"/>
          <w:lang w:val="en-US"/>
        </w:rPr>
        <w:t>persons with multiple sclerosis.</w:t>
      </w:r>
    </w:p>
    <w:p w:rsidR="002F55F0" w:rsidRPr="004201E5" w:rsidRDefault="002F55F0" w:rsidP="001B4AD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201E5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4201E5">
        <w:rPr>
          <w:rFonts w:ascii="Arial" w:hAnsi="Arial" w:cs="Arial"/>
          <w:sz w:val="20"/>
          <w:szCs w:val="20"/>
          <w:lang w:val="en-US"/>
        </w:rPr>
        <w:t>N=239.</w:t>
      </w:r>
    </w:p>
    <w:p w:rsidR="002F55F0" w:rsidRPr="004201E5" w:rsidRDefault="002F55F0" w:rsidP="001B4AD8">
      <w:pPr>
        <w:pStyle w:val="Pa20"/>
        <w:spacing w:line="276" w:lineRule="auto"/>
        <w:rPr>
          <w:bCs/>
          <w:sz w:val="20"/>
          <w:szCs w:val="20"/>
          <w:lang w:val="en-US"/>
        </w:rPr>
      </w:pPr>
      <w:r w:rsidRPr="004201E5">
        <w:rPr>
          <w:bCs/>
          <w:sz w:val="20"/>
          <w:szCs w:val="20"/>
          <w:vertAlign w:val="superscript"/>
          <w:lang w:val="en-US"/>
        </w:rPr>
        <w:t>b</w:t>
      </w:r>
      <w:r w:rsidRPr="004201E5">
        <w:rPr>
          <w:bCs/>
          <w:sz w:val="20"/>
          <w:szCs w:val="20"/>
          <w:lang w:val="en-US"/>
        </w:rPr>
        <w:t>In the last 12 months.</w:t>
      </w:r>
    </w:p>
    <w:p w:rsidR="00A5060C" w:rsidRPr="00CD5663" w:rsidRDefault="002F55F0" w:rsidP="00530923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201E5">
        <w:rPr>
          <w:rFonts w:ascii="Arial" w:hAnsi="Arial" w:cs="Arial"/>
          <w:sz w:val="20"/>
          <w:szCs w:val="20"/>
          <w:vertAlign w:val="superscript"/>
          <w:lang w:val="en-US"/>
        </w:rPr>
        <w:t>c</w:t>
      </w:r>
      <w:r w:rsidRPr="004201E5">
        <w:rPr>
          <w:rFonts w:ascii="Arial" w:hAnsi="Arial" w:cs="Arial"/>
          <w:sz w:val="20"/>
          <w:szCs w:val="20"/>
          <w:lang w:val="en-US"/>
        </w:rPr>
        <w:t>Some providers may play multiple roles.</w:t>
      </w:r>
      <w:bookmarkStart w:id="0" w:name="_GoBack"/>
      <w:bookmarkEnd w:id="0"/>
    </w:p>
    <w:p w:rsidR="00E6332F" w:rsidRPr="00CD5663" w:rsidRDefault="00E6332F" w:rsidP="001B4AD8">
      <w:pPr>
        <w:rPr>
          <w:rFonts w:ascii="Arial" w:hAnsi="Arial" w:cs="Arial"/>
          <w:sz w:val="20"/>
          <w:szCs w:val="20"/>
          <w:lang w:val="en-US"/>
        </w:rPr>
      </w:pPr>
    </w:p>
    <w:sectPr w:rsidR="00E6332F" w:rsidRPr="00CD5663" w:rsidSect="002F55F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AA" w:rsidRDefault="00557FAA" w:rsidP="00B52E93">
      <w:pPr>
        <w:spacing w:after="0" w:line="240" w:lineRule="auto"/>
      </w:pPr>
      <w:r>
        <w:separator/>
      </w:r>
    </w:p>
  </w:endnote>
  <w:endnote w:type="continuationSeparator" w:id="0">
    <w:p w:rsidR="00557FAA" w:rsidRDefault="00557FAA" w:rsidP="00B52E93">
      <w:pPr>
        <w:spacing w:after="0" w:line="240" w:lineRule="auto"/>
      </w:pPr>
      <w:r>
        <w:continuationSeparator/>
      </w:r>
    </w:p>
  </w:endnote>
  <w:endnote w:type="continuationNotice" w:id="1">
    <w:p w:rsidR="00557FAA" w:rsidRDefault="00557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AA" w:rsidRDefault="00557FAA" w:rsidP="00B52E93">
      <w:pPr>
        <w:spacing w:after="0" w:line="240" w:lineRule="auto"/>
      </w:pPr>
      <w:r>
        <w:separator/>
      </w:r>
    </w:p>
  </w:footnote>
  <w:footnote w:type="continuationSeparator" w:id="0">
    <w:p w:rsidR="00557FAA" w:rsidRDefault="00557FAA" w:rsidP="00B52E93">
      <w:pPr>
        <w:spacing w:after="0" w:line="240" w:lineRule="auto"/>
      </w:pPr>
      <w:r>
        <w:continuationSeparator/>
      </w:r>
    </w:p>
  </w:footnote>
  <w:footnote w:type="continuationNotice" w:id="1">
    <w:p w:rsidR="00557FAA" w:rsidRDefault="00557F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9BE"/>
    <w:multiLevelType w:val="hybridMultilevel"/>
    <w:tmpl w:val="AC52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80"/>
    <w:rsid w:val="00000E5D"/>
    <w:rsid w:val="00034B04"/>
    <w:rsid w:val="00050660"/>
    <w:rsid w:val="00086278"/>
    <w:rsid w:val="000B496F"/>
    <w:rsid w:val="00106AC9"/>
    <w:rsid w:val="001663EF"/>
    <w:rsid w:val="001B4AD8"/>
    <w:rsid w:val="0020105C"/>
    <w:rsid w:val="002439FD"/>
    <w:rsid w:val="0025478E"/>
    <w:rsid w:val="00270C97"/>
    <w:rsid w:val="002F55F0"/>
    <w:rsid w:val="003829E3"/>
    <w:rsid w:val="00382BB2"/>
    <w:rsid w:val="003A5AB0"/>
    <w:rsid w:val="003C4E6E"/>
    <w:rsid w:val="003D4D5F"/>
    <w:rsid w:val="0041080B"/>
    <w:rsid w:val="004201E5"/>
    <w:rsid w:val="004256CB"/>
    <w:rsid w:val="00453AEA"/>
    <w:rsid w:val="00472FBD"/>
    <w:rsid w:val="00476F66"/>
    <w:rsid w:val="00495203"/>
    <w:rsid w:val="004A460B"/>
    <w:rsid w:val="004B0CC9"/>
    <w:rsid w:val="005116B1"/>
    <w:rsid w:val="005240D0"/>
    <w:rsid w:val="00530923"/>
    <w:rsid w:val="00541C8E"/>
    <w:rsid w:val="005470A4"/>
    <w:rsid w:val="00547DA1"/>
    <w:rsid w:val="00554529"/>
    <w:rsid w:val="00557FAA"/>
    <w:rsid w:val="00562B25"/>
    <w:rsid w:val="00597F1A"/>
    <w:rsid w:val="005C03CC"/>
    <w:rsid w:val="005E5796"/>
    <w:rsid w:val="005F3A63"/>
    <w:rsid w:val="006036F5"/>
    <w:rsid w:val="00635F26"/>
    <w:rsid w:val="0068277A"/>
    <w:rsid w:val="00696DCE"/>
    <w:rsid w:val="00712D5A"/>
    <w:rsid w:val="00744182"/>
    <w:rsid w:val="00744A67"/>
    <w:rsid w:val="007F6808"/>
    <w:rsid w:val="00804C38"/>
    <w:rsid w:val="0085496D"/>
    <w:rsid w:val="008B26AC"/>
    <w:rsid w:val="008C74C7"/>
    <w:rsid w:val="008D5183"/>
    <w:rsid w:val="008E6885"/>
    <w:rsid w:val="00927E06"/>
    <w:rsid w:val="00933C88"/>
    <w:rsid w:val="0099738D"/>
    <w:rsid w:val="009B3BBA"/>
    <w:rsid w:val="009C19D3"/>
    <w:rsid w:val="009D02C0"/>
    <w:rsid w:val="009E0738"/>
    <w:rsid w:val="00A21DEC"/>
    <w:rsid w:val="00A35FD2"/>
    <w:rsid w:val="00A37556"/>
    <w:rsid w:val="00A4171E"/>
    <w:rsid w:val="00A45611"/>
    <w:rsid w:val="00A5060C"/>
    <w:rsid w:val="00A52FBC"/>
    <w:rsid w:val="00A71E7C"/>
    <w:rsid w:val="00AB56BF"/>
    <w:rsid w:val="00AE2F35"/>
    <w:rsid w:val="00AF6496"/>
    <w:rsid w:val="00B20E93"/>
    <w:rsid w:val="00B21617"/>
    <w:rsid w:val="00B52E93"/>
    <w:rsid w:val="00B5374F"/>
    <w:rsid w:val="00B6411B"/>
    <w:rsid w:val="00B76871"/>
    <w:rsid w:val="00BF05E7"/>
    <w:rsid w:val="00C14FCC"/>
    <w:rsid w:val="00CA10BA"/>
    <w:rsid w:val="00CD5663"/>
    <w:rsid w:val="00CE0560"/>
    <w:rsid w:val="00CE1A33"/>
    <w:rsid w:val="00D372CE"/>
    <w:rsid w:val="00D5724A"/>
    <w:rsid w:val="00D841D2"/>
    <w:rsid w:val="00E1297D"/>
    <w:rsid w:val="00E2014D"/>
    <w:rsid w:val="00E229EB"/>
    <w:rsid w:val="00E6332F"/>
    <w:rsid w:val="00E77B9B"/>
    <w:rsid w:val="00F20A5A"/>
    <w:rsid w:val="00F27745"/>
    <w:rsid w:val="00F40903"/>
    <w:rsid w:val="00F43EA0"/>
    <w:rsid w:val="00F65580"/>
    <w:rsid w:val="00F73FCE"/>
    <w:rsid w:val="00FB3856"/>
    <w:rsid w:val="00FB38B4"/>
    <w:rsid w:val="00FC220B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7AA1FD2-A079-4511-A5EC-BB3809A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5580"/>
    <w:pPr>
      <w:spacing w:before="240" w:after="240" w:line="360" w:lineRule="auto"/>
    </w:pPr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65580"/>
    <w:rPr>
      <w:rFonts w:ascii="Arial" w:hAnsi="Arial" w:cs="Arial"/>
      <w:b/>
      <w:bCs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3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B3B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BBA"/>
    <w:rPr>
      <w:lang w:val="en-US"/>
    </w:rPr>
  </w:style>
  <w:style w:type="paragraph" w:customStyle="1" w:styleId="Pa20">
    <w:name w:val="Pa20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A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3"/>
  </w:style>
  <w:style w:type="paragraph" w:styleId="Footer">
    <w:name w:val="footer"/>
    <w:basedOn w:val="Normal"/>
    <w:link w:val="Foot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Joshua Safran</cp:lastModifiedBy>
  <cp:revision>3</cp:revision>
  <dcterms:created xsi:type="dcterms:W3CDTF">2019-03-01T01:13:00Z</dcterms:created>
  <dcterms:modified xsi:type="dcterms:W3CDTF">2019-03-01T01:28:00Z</dcterms:modified>
</cp:coreProperties>
</file>