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7B" w:rsidRPr="003447E3" w:rsidRDefault="00B02AC3" w:rsidP="00A53C7B">
      <w:pPr>
        <w:pStyle w:val="ListParagraph"/>
        <w:spacing w:after="0" w:line="480" w:lineRule="auto"/>
        <w:ind w:left="0" w:right="1890"/>
        <w:contextualSpacing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</w:t>
      </w:r>
      <w:bookmarkStart w:id="0" w:name="_GoBack"/>
      <w:bookmarkEnd w:id="0"/>
      <w:r w:rsidR="00A53C7B" w:rsidRPr="00E6029B">
        <w:rPr>
          <w:rFonts w:ascii="Times New Roman" w:hAnsi="Times New Roman" w:cs="Times New Roman"/>
          <w:b/>
          <w:sz w:val="24"/>
          <w:szCs w:val="24"/>
        </w:rPr>
        <w:t xml:space="preserve">. Odds Ratios for Positive Screens for Chronic </w:t>
      </w:r>
      <w:proofErr w:type="spellStart"/>
      <w:r w:rsidR="00A53C7B" w:rsidRPr="00E6029B">
        <w:rPr>
          <w:rFonts w:ascii="Times New Roman" w:hAnsi="Times New Roman" w:cs="Times New Roman"/>
          <w:b/>
          <w:sz w:val="24"/>
          <w:szCs w:val="24"/>
        </w:rPr>
        <w:t>Multisymptom</w:t>
      </w:r>
      <w:proofErr w:type="spellEnd"/>
      <w:r w:rsidR="00A53C7B" w:rsidRPr="00E6029B">
        <w:rPr>
          <w:rFonts w:ascii="Times New Roman" w:hAnsi="Times New Roman" w:cs="Times New Roman"/>
          <w:b/>
          <w:sz w:val="24"/>
          <w:szCs w:val="24"/>
        </w:rPr>
        <w:t xml:space="preserve"> Illness/Gulf War Illness Stratified by Sex, Millennium Cohort Study, 2001–2016.</w:t>
      </w:r>
      <w:r w:rsidR="00A53C7B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4090"/>
        <w:gridCol w:w="2639"/>
        <w:gridCol w:w="2633"/>
      </w:tblGrid>
      <w:tr w:rsidR="00A53C7B" w:rsidRPr="00E6029B" w:rsidTr="00A73D7C">
        <w:trPr>
          <w:trHeight w:val="144"/>
        </w:trPr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/>
                <w:sz w:val="24"/>
                <w:szCs w:val="24"/>
              </w:rPr>
              <w:t>(N = 56,093)</w:t>
            </w:r>
          </w:p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/>
                <w:sz w:val="24"/>
                <w:szCs w:val="24"/>
              </w:rPr>
              <w:t>(N = 20,482)</w:t>
            </w:r>
          </w:p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  <w:tcBorders>
              <w:top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Deployment status</w:t>
            </w:r>
          </w:p>
        </w:tc>
        <w:tc>
          <w:tcPr>
            <w:tcW w:w="1578" w:type="pct"/>
            <w:tcBorders>
              <w:top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Gulf War veteran (reference)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Era personnel 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0.75 (0.69, 0.82)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0.73 (0.61, 0.88)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Non-era personnel 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0.70 (0.64, 0.78)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0.74 (0.61, 0.90)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E602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(in 5-yr increments) 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18" w:type="pct"/>
            <w:vAlign w:val="bottom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 (1.68, 1.82)</w:t>
            </w:r>
          </w:p>
        </w:tc>
        <w:tc>
          <w:tcPr>
            <w:tcW w:w="1016" w:type="pct"/>
            <w:vAlign w:val="bottom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 (1.44, 1.72)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Time x era personnel</w:t>
            </w:r>
          </w:p>
        </w:tc>
        <w:tc>
          <w:tcPr>
            <w:tcW w:w="1018" w:type="pct"/>
            <w:vAlign w:val="bottom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 (1.01, 1.10)</w:t>
            </w:r>
          </w:p>
        </w:tc>
        <w:tc>
          <w:tcPr>
            <w:tcW w:w="1016" w:type="pct"/>
            <w:vAlign w:val="bottom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 (0.97, 1.17)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Time x non-era personnel </w:t>
            </w:r>
          </w:p>
        </w:tc>
        <w:tc>
          <w:tcPr>
            <w:tcW w:w="1018" w:type="pct"/>
            <w:vAlign w:val="bottom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 (0.98, 1.08)</w:t>
            </w:r>
          </w:p>
        </w:tc>
        <w:tc>
          <w:tcPr>
            <w:tcW w:w="1016" w:type="pct"/>
            <w:vAlign w:val="bottom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(0.89, 1.07)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Age (at study baseline)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0–34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35–44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1.01 (0.95, 1.07)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1.08 (0.98, 1.19)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&gt;44 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0.86 (0.80, 0.93)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0.96 (0.84, 1.09)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White non-Hispanic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Black non-Hispanic 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1.14 (1.06, 1.22)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1.16 (1.06, 1.26)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 race/ethnicity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1.22 (1.13, 1.31)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1.09 (0.98, 1.21)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Service branch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Army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Navy/Coast Guard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0.47 (0.44, 0.51)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0.67 (0.61, 0.74)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Marine Corps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0.66 (0.60, 0.73)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0.79 (0.63, 0.98)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Air Force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0.43 (0.41, 0.46)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0.54 (0.50, 0.59)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Active duty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Reserves/National Guard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0.65 (0.62, 0.69)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0.61 (0.56, 0.65)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Baseline chemical exposure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No exposure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Baseline exposure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1.83 (1.72, 1.95)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1.70 (1.51, 1.92)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Time-varying chemical exposure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No exposure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Time-varying exposure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1.20 (1.14, 1.27)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1.29 (1.16, 1.43)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Pesticide exposure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No exposure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Time-varying reported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1.54 (1.49, 1.59)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1.53 (1.45, 1.62)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Anthrax vaccine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None reported at baseline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Reported at baseline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1.15 (1.09, 1.21)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1.11 (1.02, 1.21)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OEF/OIF deployment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Never deployed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Previously deployed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1.44 (1.38, 1.50)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1.46 (1.36, 1.56)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PTSD screen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Negative screen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Positive screen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17.46 (15.82, 19.26)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10.59 (9.13, 12.30)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Depression screen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Negative screen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Positive screen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20.79 (17.87, 24.19)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18.14 (14.73, 22.33)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Panic disorder screen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Negative screen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Positive screen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6.72 (5.74, 7.87)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5.90 (4.88, 7.13)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Anxiety screen</w:t>
            </w: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Negative screen (reference)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Positive screen</w:t>
            </w:r>
          </w:p>
        </w:tc>
        <w:tc>
          <w:tcPr>
            <w:tcW w:w="1018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15.27 (12.40, 18.79)</w:t>
            </w:r>
          </w:p>
        </w:tc>
        <w:tc>
          <w:tcPr>
            <w:tcW w:w="1016" w:type="pct"/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bCs/>
                <w:sz w:val="24"/>
                <w:szCs w:val="24"/>
              </w:rPr>
              <w:t>16.27 (12.56, 21.07)</w:t>
            </w:r>
          </w:p>
        </w:tc>
      </w:tr>
      <w:tr w:rsidR="00A53C7B" w:rsidRPr="00E6029B" w:rsidTr="00A73D7C">
        <w:trPr>
          <w:trHeight w:val="144"/>
        </w:trPr>
        <w:tc>
          <w:tcPr>
            <w:tcW w:w="1388" w:type="pct"/>
            <w:tcBorders>
              <w:bottom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 xml:space="preserve">Random person-level </w:t>
            </w:r>
            <w:proofErr w:type="spellStart"/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  <w:r w:rsidRPr="00344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A53C7B" w:rsidRPr="00E6029B" w:rsidRDefault="00A53C7B" w:rsidP="00A73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A53C7B" w:rsidRPr="00E6029B" w:rsidRDefault="00A53C7B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</w:tbl>
    <w:p w:rsidR="00A53C7B" w:rsidRPr="00E6029B" w:rsidRDefault="00A53C7B" w:rsidP="00A53C7B">
      <w:pPr>
        <w:spacing w:after="0" w:line="480" w:lineRule="auto"/>
        <w:rPr>
          <w:rFonts w:ascii="Times New Roman" w:hAnsi="Times New Roman" w:cs="Times New Roman"/>
        </w:rPr>
      </w:pPr>
      <w:r w:rsidRPr="003447E3">
        <w:rPr>
          <w:rFonts w:ascii="Times New Roman" w:hAnsi="Times New Roman" w:cs="Times New Roman"/>
        </w:rPr>
        <w:t>Abbreviations: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E6029B">
        <w:rPr>
          <w:rFonts w:ascii="Times New Roman" w:hAnsi="Times New Roman" w:cs="Times New Roman"/>
          <w:sz w:val="20"/>
          <w:szCs w:val="20"/>
        </w:rPr>
        <w:t>CI, confidence interval; OEF, Operation Enduring Freedom; OIF, Operation Iraqi Freedom; OR, odds ratio; PTSD, post-traumatic stress disorder.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47E3">
        <w:rPr>
          <w:rFonts w:ascii="Times New Roman" w:hAnsi="Times New Roman" w:cs="Times New Roman"/>
          <w:vertAlign w:val="superscript"/>
        </w:rPr>
        <w:t>a</w:t>
      </w:r>
      <w:r w:rsidRPr="00E6029B">
        <w:rPr>
          <w:rFonts w:ascii="Times New Roman" w:hAnsi="Times New Roman" w:cs="Times New Roman"/>
        </w:rPr>
        <w:t>Odds</w:t>
      </w:r>
      <w:proofErr w:type="spellEnd"/>
      <w:r w:rsidRPr="00E6029B">
        <w:rPr>
          <w:rFonts w:ascii="Times New Roman" w:hAnsi="Times New Roman" w:cs="Times New Roman"/>
        </w:rPr>
        <w:t xml:space="preserve"> ratios were estimated using the NLMIXED procedure in SAS software, version 9.</w:t>
      </w:r>
      <w:proofErr w:type="gramStart"/>
      <w:r w:rsidRPr="00E6029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vertAlign w:val="superscript"/>
        </w:rPr>
        <w:t>b</w:t>
      </w:r>
      <w:r w:rsidRPr="00E6029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se</w:t>
      </w:r>
      <w:proofErr w:type="gramEnd"/>
      <w:r w:rsidRPr="00E6029B">
        <w:rPr>
          <w:rFonts w:ascii="Times New Roman" w:hAnsi="Times New Roman" w:cs="Times New Roman"/>
        </w:rPr>
        <w:t xml:space="preserve"> results were not exponentiated.</w:t>
      </w:r>
    </w:p>
    <w:p w:rsidR="002C221A" w:rsidRPr="00A028C2" w:rsidRDefault="002C221A" w:rsidP="00A028C2">
      <w:pPr>
        <w:spacing w:after="0" w:line="480" w:lineRule="auto"/>
        <w:rPr>
          <w:rFonts w:ascii="Times New Roman" w:hAnsi="Times New Roman" w:cs="Times New Roman"/>
        </w:rPr>
      </w:pPr>
    </w:p>
    <w:sectPr w:rsidR="002C221A" w:rsidRPr="00A028C2" w:rsidSect="00A02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B"/>
    <w:rsid w:val="002C221A"/>
    <w:rsid w:val="00A028C2"/>
    <w:rsid w:val="00A53C7B"/>
    <w:rsid w:val="00B02AC3"/>
    <w:rsid w:val="00B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13D6"/>
  <w15:chartTrackingRefBased/>
  <w15:docId w15:val="{C3613E00-FC98-4070-9D62-D77EFD94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3</cp:revision>
  <dcterms:created xsi:type="dcterms:W3CDTF">2019-06-19T19:15:00Z</dcterms:created>
  <dcterms:modified xsi:type="dcterms:W3CDTF">2019-06-27T17:34:00Z</dcterms:modified>
</cp:coreProperties>
</file>