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9D" w:rsidRPr="00F870C9" w:rsidRDefault="008D5550" w:rsidP="0076799D">
      <w:pPr>
        <w:spacing w:after="0"/>
        <w:rPr>
          <w:b/>
          <w:lang w:val="en-US"/>
        </w:rPr>
      </w:pPr>
      <w:r>
        <w:rPr>
          <w:rFonts w:cs="Times New Roman"/>
          <w:b/>
          <w:lang w:val="en-US"/>
        </w:rPr>
        <w:t>O</w:t>
      </w:r>
      <w:r w:rsidR="00666AA0">
        <w:rPr>
          <w:rFonts w:cs="Times New Roman"/>
          <w:b/>
          <w:lang w:val="en-US"/>
        </w:rPr>
        <w:t>nline</w:t>
      </w:r>
      <w:r w:rsidR="0076799D">
        <w:rPr>
          <w:rFonts w:cs="Times New Roman"/>
          <w:b/>
          <w:lang w:val="en-US"/>
        </w:rPr>
        <w:t>-t</w:t>
      </w:r>
      <w:r w:rsidR="0076799D" w:rsidRPr="00F870C9">
        <w:rPr>
          <w:rFonts w:cs="Times New Roman"/>
          <w:b/>
          <w:lang w:val="en-US"/>
        </w:rPr>
        <w:t xml:space="preserve">able 1. </w:t>
      </w:r>
      <w:r w:rsidR="0076799D" w:rsidRPr="00F870C9">
        <w:rPr>
          <w:b/>
          <w:lang w:val="en-US"/>
        </w:rPr>
        <w:t xml:space="preserve">The estimated association between exposure to different levels of leadership </w:t>
      </w:r>
      <w:r w:rsidR="0076799D">
        <w:rPr>
          <w:b/>
          <w:lang w:val="en-US"/>
        </w:rPr>
        <w:t xml:space="preserve">and </w:t>
      </w:r>
      <w:r w:rsidR="0076799D" w:rsidRPr="00F870C9">
        <w:rPr>
          <w:b/>
          <w:lang w:val="en-US"/>
        </w:rPr>
        <w:t>risk of LTSA</w:t>
      </w:r>
      <w:r w:rsidR="0076799D">
        <w:rPr>
          <w:b/>
          <w:lang w:val="en-US"/>
        </w:rPr>
        <w:t xml:space="preserve"> 6 month after baseline and</w:t>
      </w:r>
      <w:r w:rsidR="0076799D" w:rsidRPr="00F870C9">
        <w:rPr>
          <w:b/>
          <w:lang w:val="en-US"/>
        </w:rPr>
        <w:t xml:space="preserve"> during the following 6 months among 51,328 Danish employees</w:t>
      </w:r>
      <w:r w:rsidR="0076799D">
        <w:rPr>
          <w:b/>
          <w:lang w:val="en-US"/>
        </w:rPr>
        <w:t xml:space="preserve"> (study population 1)</w:t>
      </w:r>
    </w:p>
    <w:tbl>
      <w:tblPr>
        <w:tblStyle w:val="Tabel-Gitt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916"/>
        <w:gridCol w:w="729"/>
        <w:gridCol w:w="729"/>
        <w:gridCol w:w="619"/>
        <w:gridCol w:w="2621"/>
      </w:tblGrid>
      <w:tr w:rsidR="0076799D" w:rsidRPr="007E17F8" w:rsidTr="00616A81">
        <w:tc>
          <w:tcPr>
            <w:tcW w:w="20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799D" w:rsidRP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75" w:type="pct"/>
            <w:tcBorders>
              <w:top w:val="single" w:sz="12" w:space="0" w:color="auto"/>
              <w:bottom w:val="single" w:sz="4" w:space="0" w:color="auto"/>
            </w:tcBorders>
          </w:tcPr>
          <w:p w:rsidR="0076799D" w:rsidRPr="0076799D" w:rsidRDefault="0076799D" w:rsidP="0076799D">
            <w:pPr>
              <w:rPr>
                <w:rFonts w:cs="Times New Roman"/>
                <w:lang w:val="en-US"/>
              </w:rPr>
            </w:pPr>
            <w:r w:rsidRPr="0076799D">
              <w:rPr>
                <w:rFonts w:cs="Times New Roman"/>
                <w:lang w:val="en-US"/>
              </w:rPr>
              <w:t>Person-years (PY)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4" w:space="0" w:color="auto"/>
            </w:tcBorders>
          </w:tcPr>
          <w:p w:rsidR="0076799D" w:rsidRPr="0076799D" w:rsidRDefault="0076799D" w:rsidP="00616A81">
            <w:pPr>
              <w:rPr>
                <w:rFonts w:cs="Times New Roman"/>
                <w:lang w:val="en-US"/>
              </w:rPr>
            </w:pPr>
            <w:r w:rsidRPr="0076799D">
              <w:rPr>
                <w:rFonts w:cs="Times New Roman"/>
                <w:lang w:val="en-US"/>
              </w:rPr>
              <w:t>Cases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4" w:space="0" w:color="auto"/>
            </w:tcBorders>
          </w:tcPr>
          <w:p w:rsidR="0076799D" w:rsidRPr="0076799D" w:rsidRDefault="0076799D" w:rsidP="0076799D">
            <w:pPr>
              <w:rPr>
                <w:rFonts w:cs="Times New Roman"/>
                <w:lang w:val="en-US"/>
              </w:rPr>
            </w:pPr>
            <w:r w:rsidRPr="0076799D">
              <w:rPr>
                <w:rFonts w:cs="Times New Roman"/>
                <w:lang w:val="en-US"/>
              </w:rPr>
              <w:t>Cases per 1,000 PY</w:t>
            </w: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auto"/>
            </w:tcBorders>
          </w:tcPr>
          <w:p w:rsidR="0076799D" w:rsidRPr="0076799D" w:rsidRDefault="0076799D" w:rsidP="00616A81">
            <w:pPr>
              <w:rPr>
                <w:rFonts w:cs="Times New Roman"/>
                <w:lang w:val="en-US"/>
              </w:rPr>
            </w:pPr>
          </w:p>
        </w:tc>
        <w:tc>
          <w:tcPr>
            <w:tcW w:w="1359" w:type="pct"/>
            <w:tcBorders>
              <w:top w:val="single" w:sz="12" w:space="0" w:color="auto"/>
              <w:bottom w:val="single" w:sz="4" w:space="0" w:color="auto"/>
            </w:tcBorders>
          </w:tcPr>
          <w:p w:rsidR="0076799D" w:rsidRPr="0076799D" w:rsidRDefault="0076799D" w:rsidP="0076799D">
            <w:pPr>
              <w:rPr>
                <w:rFonts w:cs="Times New Roman"/>
                <w:lang w:val="en-US"/>
              </w:rPr>
            </w:pPr>
            <w:r w:rsidRPr="0076799D">
              <w:rPr>
                <w:rFonts w:cs="Times New Roman"/>
                <w:lang w:val="en-US"/>
              </w:rPr>
              <w:t>Adjusted* HR (95% CI)</w:t>
            </w:r>
          </w:p>
        </w:tc>
      </w:tr>
      <w:tr w:rsidR="0076799D" w:rsidRPr="007E17F8" w:rsidTr="00616A81">
        <w:tc>
          <w:tcPr>
            <w:tcW w:w="2089" w:type="pct"/>
            <w:tcBorders>
              <w:top w:val="single" w:sz="4" w:space="0" w:color="auto"/>
            </w:tcBorders>
          </w:tcPr>
          <w:p w:rsidR="0076799D" w:rsidRP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76799D">
              <w:rPr>
                <w:rFonts w:cs="Times New Roman"/>
                <w:lang w:val="en-US"/>
              </w:rPr>
              <w:t>Leadership quality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359" w:type="pct"/>
            <w:tcBorders>
              <w:top w:val="single" w:sz="4" w:space="0" w:color="auto"/>
            </w:tcBorders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76799D" w:rsidRPr="007E17F8" w:rsidTr="00616A81">
        <w:tc>
          <w:tcPr>
            <w:tcW w:w="2089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7E17F8">
              <w:rPr>
                <w:rFonts w:cs="Times New Roman"/>
                <w:lang w:val="en-US"/>
              </w:rPr>
              <w:t xml:space="preserve">   High </w:t>
            </w:r>
            <w:r>
              <w:rPr>
                <w:rFonts w:cs="Times New Roman"/>
                <w:lang w:val="en-US"/>
              </w:rPr>
              <w:t>leadership quality</w:t>
            </w:r>
          </w:p>
        </w:tc>
        <w:tc>
          <w:tcPr>
            <w:tcW w:w="475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5,657</w:t>
            </w: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225</w:t>
            </w: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</w:p>
        </w:tc>
        <w:tc>
          <w:tcPr>
            <w:tcW w:w="321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359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1.00</w:t>
            </w:r>
          </w:p>
        </w:tc>
      </w:tr>
      <w:tr w:rsidR="0076799D" w:rsidRPr="003F0330" w:rsidTr="00616A81">
        <w:tc>
          <w:tcPr>
            <w:tcW w:w="2089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7E17F8">
              <w:rPr>
                <w:rFonts w:cs="Times New Roman"/>
                <w:lang w:val="en-US"/>
              </w:rPr>
              <w:t xml:space="preserve">   Medium-high </w:t>
            </w:r>
            <w:r>
              <w:rPr>
                <w:rFonts w:cs="Times New Roman"/>
                <w:lang w:val="en-US"/>
              </w:rPr>
              <w:t>leadership quality</w:t>
            </w:r>
          </w:p>
        </w:tc>
        <w:tc>
          <w:tcPr>
            <w:tcW w:w="475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6,877</w:t>
            </w: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283</w:t>
            </w: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41</w:t>
            </w:r>
          </w:p>
        </w:tc>
        <w:tc>
          <w:tcPr>
            <w:tcW w:w="321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359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1.07 (0.90-1.28)</w:t>
            </w:r>
          </w:p>
        </w:tc>
      </w:tr>
      <w:tr w:rsidR="0076799D" w:rsidRPr="003F0330" w:rsidTr="00616A81">
        <w:tc>
          <w:tcPr>
            <w:tcW w:w="2089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7E17F8">
              <w:rPr>
                <w:rFonts w:cs="Times New Roman"/>
                <w:lang w:val="en-US"/>
              </w:rPr>
              <w:t xml:space="preserve">   Medium-low </w:t>
            </w:r>
            <w:r>
              <w:rPr>
                <w:rFonts w:cs="Times New Roman"/>
                <w:lang w:val="en-US"/>
              </w:rPr>
              <w:t>leadership quality</w:t>
            </w:r>
          </w:p>
        </w:tc>
        <w:tc>
          <w:tcPr>
            <w:tcW w:w="475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6,618</w:t>
            </w: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289</w:t>
            </w: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44</w:t>
            </w:r>
          </w:p>
        </w:tc>
        <w:tc>
          <w:tcPr>
            <w:tcW w:w="321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359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1.10 (0.92-1.31)</w:t>
            </w:r>
          </w:p>
        </w:tc>
      </w:tr>
      <w:tr w:rsidR="0076799D" w:rsidRPr="007E17F8" w:rsidTr="00616A81">
        <w:tc>
          <w:tcPr>
            <w:tcW w:w="2089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7E17F8">
              <w:rPr>
                <w:rFonts w:cs="Times New Roman"/>
                <w:lang w:val="en-US"/>
              </w:rPr>
              <w:t xml:space="preserve">   Low </w:t>
            </w:r>
            <w:r>
              <w:rPr>
                <w:rFonts w:cs="Times New Roman"/>
                <w:lang w:val="en-US"/>
              </w:rPr>
              <w:t>leadership quality</w:t>
            </w:r>
          </w:p>
        </w:tc>
        <w:tc>
          <w:tcPr>
            <w:tcW w:w="475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5,973</w:t>
            </w: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351</w:t>
            </w: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59</w:t>
            </w:r>
          </w:p>
        </w:tc>
        <w:tc>
          <w:tcPr>
            <w:tcW w:w="321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359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1.43 (1.21-1.70)</w:t>
            </w:r>
          </w:p>
        </w:tc>
      </w:tr>
      <w:tr w:rsidR="0076799D" w:rsidRPr="007E17F8" w:rsidTr="00616A81">
        <w:tc>
          <w:tcPr>
            <w:tcW w:w="2089" w:type="pct"/>
          </w:tcPr>
          <w:p w:rsid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75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21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359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76799D" w:rsidRPr="007E17F8" w:rsidTr="00616A81">
        <w:tc>
          <w:tcPr>
            <w:tcW w:w="2089" w:type="pct"/>
          </w:tcPr>
          <w:p w:rsid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76799D">
              <w:rPr>
                <w:rFonts w:cs="Times New Roman"/>
                <w:lang w:val="en-US"/>
              </w:rPr>
              <w:t>Dose-response</w:t>
            </w:r>
          </w:p>
        </w:tc>
        <w:tc>
          <w:tcPr>
            <w:tcW w:w="475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21" w:type="pct"/>
          </w:tcPr>
          <w:p w:rsidR="0076799D" w:rsidRP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359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  <w:tr w:rsidR="0076799D" w:rsidRPr="007E17F8" w:rsidTr="00616A81">
        <w:tc>
          <w:tcPr>
            <w:tcW w:w="2089" w:type="pct"/>
          </w:tcPr>
          <w:p w:rsidR="0076799D" w:rsidRP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1F7A1A">
              <w:rPr>
                <w:rFonts w:cs="Times New Roman"/>
                <w:lang w:val="en-US"/>
              </w:rPr>
              <w:t xml:space="preserve">Decrease in level of leadership quality (from higher to lower levels) </w:t>
            </w:r>
          </w:p>
        </w:tc>
        <w:tc>
          <w:tcPr>
            <w:tcW w:w="475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25,127</w:t>
            </w: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1148</w:t>
            </w:r>
          </w:p>
        </w:tc>
        <w:tc>
          <w:tcPr>
            <w:tcW w:w="378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46</w:t>
            </w:r>
          </w:p>
        </w:tc>
        <w:tc>
          <w:tcPr>
            <w:tcW w:w="321" w:type="pct"/>
          </w:tcPr>
          <w:p w:rsidR="0076799D" w:rsidRP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359" w:type="pct"/>
          </w:tcPr>
          <w:p w:rsidR="0076799D" w:rsidRPr="007E17F8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1.13 (1.07-1.19)</w:t>
            </w:r>
          </w:p>
        </w:tc>
      </w:tr>
      <w:tr w:rsidR="0076799D" w:rsidRPr="007E17F8" w:rsidTr="00616A81">
        <w:tc>
          <w:tcPr>
            <w:tcW w:w="2089" w:type="pct"/>
            <w:tcBorders>
              <w:bottom w:val="single" w:sz="12" w:space="0" w:color="auto"/>
            </w:tcBorders>
          </w:tcPr>
          <w:p w:rsidR="0076799D" w:rsidRPr="001F7A1A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75" w:type="pct"/>
            <w:tcBorders>
              <w:bottom w:val="single" w:sz="12" w:space="0" w:color="auto"/>
            </w:tcBorders>
          </w:tcPr>
          <w:p w:rsidR="0076799D" w:rsidRP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:rsid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:rsid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321" w:type="pct"/>
            <w:tcBorders>
              <w:bottom w:val="single" w:sz="12" w:space="0" w:color="auto"/>
            </w:tcBorders>
          </w:tcPr>
          <w:p w:rsidR="0076799D" w:rsidRP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1359" w:type="pct"/>
            <w:tcBorders>
              <w:bottom w:val="single" w:sz="12" w:space="0" w:color="auto"/>
            </w:tcBorders>
          </w:tcPr>
          <w:p w:rsidR="0076799D" w:rsidRDefault="0076799D" w:rsidP="0076799D">
            <w:pPr>
              <w:spacing w:after="0" w:line="240" w:lineRule="auto"/>
              <w:rPr>
                <w:rFonts w:cs="Times New Roman"/>
                <w:lang w:val="en-US"/>
              </w:rPr>
            </w:pPr>
          </w:p>
        </w:tc>
      </w:tr>
    </w:tbl>
    <w:p w:rsidR="00A516CF" w:rsidRPr="0076799D" w:rsidRDefault="0076799D" w:rsidP="008D5550">
      <w:pPr>
        <w:spacing w:after="0" w:line="240" w:lineRule="auto"/>
        <w:rPr>
          <w:lang w:val="en-US"/>
        </w:rPr>
      </w:pPr>
      <w:r>
        <w:rPr>
          <w:rFonts w:cs="Times New Roman"/>
          <w:lang w:val="en-US"/>
        </w:rPr>
        <w:t>*Adjusted for sex,</w:t>
      </w:r>
      <w:r w:rsidRPr="007E17F8">
        <w:rPr>
          <w:rFonts w:cs="Times New Roman"/>
          <w:lang w:val="en-US"/>
        </w:rPr>
        <w:t xml:space="preserve"> age, cohabitation, children, educational level and </w:t>
      </w:r>
      <w:r>
        <w:rPr>
          <w:rFonts w:cs="Times New Roman"/>
          <w:lang w:val="en-US"/>
        </w:rPr>
        <w:t>sector of employment</w:t>
      </w:r>
      <w:r w:rsidRPr="007E17F8">
        <w:rPr>
          <w:rFonts w:cs="Times New Roman"/>
          <w:lang w:val="en-US"/>
        </w:rPr>
        <w:t xml:space="preserve"> (private </w:t>
      </w:r>
      <w:r>
        <w:rPr>
          <w:rFonts w:cs="Times New Roman"/>
          <w:lang w:val="en-US"/>
        </w:rPr>
        <w:t>or</w:t>
      </w:r>
      <w:r w:rsidRPr="007E17F8">
        <w:rPr>
          <w:rFonts w:cs="Times New Roman"/>
          <w:lang w:val="en-US"/>
        </w:rPr>
        <w:t xml:space="preserve"> public)</w:t>
      </w:r>
      <w:r>
        <w:rPr>
          <w:rFonts w:cs="Times New Roman"/>
          <w:lang w:val="en-US"/>
        </w:rPr>
        <w:t xml:space="preserve">, job type, industry, and type of sample (nationwide sample or stratified workplace sample). As calendar time was the underlying time axis, estimates </w:t>
      </w:r>
      <w:proofErr w:type="gramStart"/>
      <w:r>
        <w:rPr>
          <w:rFonts w:cs="Times New Roman"/>
          <w:lang w:val="en-US"/>
        </w:rPr>
        <w:t>are also adjusted</w:t>
      </w:r>
      <w:proofErr w:type="gramEnd"/>
      <w:r>
        <w:rPr>
          <w:rFonts w:cs="Times New Roman"/>
          <w:lang w:val="en-US"/>
        </w:rPr>
        <w:t xml:space="preserve"> for year of survey and </w:t>
      </w:r>
      <w:r w:rsidRPr="00F326BB">
        <w:rPr>
          <w:lang w:val="en-US"/>
        </w:rPr>
        <w:t>design differences between the three waves</w:t>
      </w:r>
      <w:r>
        <w:rPr>
          <w:lang w:val="en-US"/>
        </w:rPr>
        <w:t>. PY: Pe</w:t>
      </w:r>
      <w:bookmarkStart w:id="0" w:name="_GoBack"/>
      <w:bookmarkEnd w:id="0"/>
      <w:r>
        <w:rPr>
          <w:lang w:val="en-US"/>
        </w:rPr>
        <w:t>rson years, HR: Hazard ratio, CI: Confidence i</w:t>
      </w:r>
      <w:r w:rsidR="008D5550">
        <w:rPr>
          <w:lang w:val="en-US"/>
        </w:rPr>
        <w:t>nterval</w:t>
      </w:r>
    </w:p>
    <w:sectPr w:rsidR="00A516CF" w:rsidRPr="0076799D" w:rsidSect="008D5550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DB" w:rsidRDefault="002E7C04">
      <w:pPr>
        <w:spacing w:after="0" w:line="240" w:lineRule="auto"/>
      </w:pPr>
      <w:r>
        <w:separator/>
      </w:r>
    </w:p>
  </w:endnote>
  <w:endnote w:type="continuationSeparator" w:id="0">
    <w:p w:rsidR="00967EDB" w:rsidRDefault="002E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78" w:rsidRDefault="008D5550" w:rsidP="008D5550">
    <w:pPr>
      <w:pStyle w:val="Sidefod"/>
      <w:jc w:val="center"/>
    </w:pPr>
  </w:p>
  <w:p w:rsidR="00064978" w:rsidRDefault="008D55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DB" w:rsidRDefault="002E7C04">
      <w:pPr>
        <w:spacing w:after="0" w:line="240" w:lineRule="auto"/>
      </w:pPr>
      <w:r>
        <w:separator/>
      </w:r>
    </w:p>
  </w:footnote>
  <w:footnote w:type="continuationSeparator" w:id="0">
    <w:p w:rsidR="00967EDB" w:rsidRDefault="002E7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D"/>
    <w:rsid w:val="002E7C04"/>
    <w:rsid w:val="004556AF"/>
    <w:rsid w:val="00666AA0"/>
    <w:rsid w:val="0076799D"/>
    <w:rsid w:val="008D5550"/>
    <w:rsid w:val="00967EDB"/>
    <w:rsid w:val="00A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4D13"/>
  <w15:chartTrackingRefBased/>
  <w15:docId w15:val="{CF365B6B-77D1-4974-8071-B3C80E1D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9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6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767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799D"/>
  </w:style>
  <w:style w:type="character" w:styleId="Kommentarhenvisning">
    <w:name w:val="annotation reference"/>
    <w:basedOn w:val="Standardskrifttypeiafsnit"/>
    <w:uiPriority w:val="99"/>
    <w:semiHidden/>
    <w:unhideWhenUsed/>
    <w:rsid w:val="0076799D"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D55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Karl Sørensen (JKS)</dc:creator>
  <cp:keywords/>
  <dc:description/>
  <cp:lastModifiedBy>Jeppe Karl Sørensen (JKS)</cp:lastModifiedBy>
  <cp:revision>2</cp:revision>
  <dcterms:created xsi:type="dcterms:W3CDTF">2020-01-10T13:30:00Z</dcterms:created>
  <dcterms:modified xsi:type="dcterms:W3CDTF">2020-01-10T13:30:00Z</dcterms:modified>
</cp:coreProperties>
</file>