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E7" w:rsidRDefault="00504AE7" w:rsidP="00504AE7">
      <w:pPr>
        <w:pStyle w:val="ListParagraph"/>
        <w:ind w:left="0"/>
        <w:rPr>
          <w:rStyle w:val="tgc"/>
          <w:rFonts w:ascii="Times New Roman" w:hAnsi="Times New Roman" w:cs="Times New Roman"/>
          <w:b/>
          <w:bCs/>
          <w:color w:val="222222"/>
          <w:sz w:val="20"/>
          <w:szCs w:val="20"/>
          <w:lang w:val="en"/>
        </w:rPr>
      </w:pPr>
      <w:r w:rsidRPr="00504AE7">
        <w:rPr>
          <w:rStyle w:val="tgc"/>
          <w:rFonts w:ascii="Times New Roman" w:hAnsi="Times New Roman" w:cs="Times New Roman"/>
          <w:b/>
          <w:bCs/>
          <w:color w:val="222222"/>
          <w:sz w:val="20"/>
          <w:szCs w:val="20"/>
          <w:highlight w:val="yellow"/>
          <w:lang w:val="en"/>
        </w:rPr>
        <w:t>SDC #2</w:t>
      </w:r>
      <w:r>
        <w:rPr>
          <w:rStyle w:val="tgc"/>
          <w:rFonts w:ascii="Times New Roman" w:hAnsi="Times New Roman" w:cs="Times New Roman"/>
          <w:b/>
          <w:bCs/>
          <w:color w:val="222222"/>
          <w:sz w:val="20"/>
          <w:szCs w:val="20"/>
          <w:lang w:val="en"/>
        </w:rPr>
        <w:t xml:space="preserve"> </w:t>
      </w:r>
    </w:p>
    <w:p w:rsidR="00504AE7" w:rsidRDefault="00504AE7" w:rsidP="00504AE7">
      <w:pPr>
        <w:pStyle w:val="ListParagraph"/>
        <w:ind w:left="0"/>
        <w:rPr>
          <w:rStyle w:val="tgc"/>
          <w:rFonts w:ascii="Times New Roman" w:hAnsi="Times New Roman" w:cs="Times New Roman"/>
          <w:b/>
          <w:bCs/>
          <w:color w:val="222222"/>
          <w:sz w:val="20"/>
          <w:szCs w:val="20"/>
          <w:lang w:val="en"/>
        </w:rPr>
      </w:pPr>
      <w:bookmarkStart w:id="0" w:name="_GoBack"/>
      <w:bookmarkEnd w:id="0"/>
      <w:r>
        <w:rPr>
          <w:rStyle w:val="tgc"/>
          <w:rFonts w:ascii="Times New Roman" w:hAnsi="Times New Roman" w:cs="Times New Roman"/>
          <w:b/>
          <w:bCs/>
          <w:color w:val="222222"/>
          <w:sz w:val="20"/>
          <w:szCs w:val="20"/>
          <w:lang w:val="en"/>
        </w:rPr>
        <w:t>Big Data Terminology</w:t>
      </w:r>
    </w:p>
    <w:p w:rsidR="00504AE7" w:rsidRDefault="00504AE7" w:rsidP="00504AE7">
      <w:pPr>
        <w:pStyle w:val="ListParagraph"/>
        <w:ind w:left="0"/>
        <w:rPr>
          <w:rStyle w:val="tgc"/>
          <w:rFonts w:ascii="Times New Roman" w:hAnsi="Times New Roman" w:cs="Times New Roman"/>
          <w:b/>
          <w:bCs/>
          <w:color w:val="222222"/>
          <w:sz w:val="20"/>
          <w:szCs w:val="20"/>
          <w:lang w:val="en"/>
        </w:rPr>
      </w:pPr>
    </w:p>
    <w:p w:rsidR="00504AE7" w:rsidRPr="00360CC1" w:rsidRDefault="00504AE7" w:rsidP="00504AE7">
      <w:pPr>
        <w:pStyle w:val="ListParagraph"/>
        <w:ind w:left="0"/>
        <w:rPr>
          <w:rStyle w:val="tgc"/>
          <w:rFonts w:ascii="Times New Roman" w:hAnsi="Times New Roman" w:cs="Times New Roman"/>
          <w:color w:val="222222"/>
          <w:sz w:val="20"/>
          <w:szCs w:val="20"/>
          <w:lang w:val="en"/>
        </w:rPr>
      </w:pPr>
      <w:r w:rsidRPr="00360CC1">
        <w:rPr>
          <w:rStyle w:val="tgc"/>
          <w:rFonts w:ascii="Times New Roman" w:hAnsi="Times New Roman" w:cs="Times New Roman"/>
          <w:b/>
          <w:bCs/>
          <w:color w:val="222222"/>
          <w:sz w:val="20"/>
          <w:szCs w:val="20"/>
          <w:lang w:val="en"/>
        </w:rPr>
        <w:t>Data curation</w:t>
      </w:r>
      <w:r w:rsidRPr="00360CC1">
        <w:rPr>
          <w:rStyle w:val="tgc"/>
          <w:rFonts w:ascii="Times New Roman" w:hAnsi="Times New Roman" w:cs="Times New Roman"/>
          <w:color w:val="222222"/>
          <w:sz w:val="20"/>
          <w:szCs w:val="20"/>
          <w:lang w:val="en"/>
        </w:rPr>
        <w:t xml:space="preserve"> is the management of </w:t>
      </w: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 xml:space="preserve"> throughout its lifecycle, from creation and initial storage to the time when it is archived for posterity or becomes obsolete and is deleted. The main purpose of </w:t>
      </w:r>
      <w:r w:rsidRPr="00360CC1">
        <w:rPr>
          <w:rStyle w:val="tgc"/>
          <w:rFonts w:ascii="Times New Roman" w:hAnsi="Times New Roman" w:cs="Times New Roman"/>
          <w:b/>
          <w:bCs/>
          <w:color w:val="222222"/>
          <w:sz w:val="20"/>
          <w:szCs w:val="20"/>
          <w:lang w:val="en"/>
        </w:rPr>
        <w:t>data curation</w:t>
      </w:r>
      <w:r w:rsidRPr="00360CC1">
        <w:rPr>
          <w:rStyle w:val="tgc"/>
          <w:rFonts w:ascii="Times New Roman" w:hAnsi="Times New Roman" w:cs="Times New Roman"/>
          <w:color w:val="222222"/>
          <w:sz w:val="20"/>
          <w:szCs w:val="20"/>
          <w:lang w:val="en"/>
        </w:rPr>
        <w:t xml:space="preserve"> is to ensure that </w:t>
      </w: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 xml:space="preserve"> is reliably retrievable for future research purposes or reuse.</w:t>
      </w:r>
    </w:p>
    <w:p w:rsidR="00504AE7" w:rsidRPr="00360CC1" w:rsidRDefault="00504AE7" w:rsidP="00504AE7">
      <w:pPr>
        <w:pStyle w:val="ListParagraph"/>
        <w:ind w:left="0"/>
        <w:rPr>
          <w:rStyle w:val="tgc"/>
          <w:rFonts w:ascii="Times New Roman" w:hAnsi="Times New Roman" w:cs="Times New Roman"/>
          <w:color w:val="222222"/>
          <w:sz w:val="20"/>
          <w:szCs w:val="20"/>
          <w:lang w:val="en"/>
        </w:rPr>
      </w:pPr>
    </w:p>
    <w:p w:rsidR="00504AE7" w:rsidRPr="00360CC1" w:rsidRDefault="00504AE7" w:rsidP="00504AE7">
      <w:pPr>
        <w:pStyle w:val="ListParagraph"/>
        <w:ind w:left="0"/>
        <w:rPr>
          <w:rFonts w:ascii="Times New Roman" w:hAnsi="Times New Roman" w:cs="Times New Roman"/>
          <w:color w:val="333333"/>
          <w:sz w:val="20"/>
          <w:szCs w:val="20"/>
        </w:rPr>
      </w:pPr>
      <w:r w:rsidRPr="00360CC1">
        <w:rPr>
          <w:rFonts w:ascii="Times New Roman" w:hAnsi="Times New Roman" w:cs="Times New Roman"/>
          <w:b/>
          <w:color w:val="333333"/>
          <w:sz w:val="20"/>
          <w:szCs w:val="20"/>
        </w:rPr>
        <w:t xml:space="preserve">Knowledge Discovery and Data Mining </w:t>
      </w:r>
      <w:r w:rsidRPr="00360CC1">
        <w:rPr>
          <w:rFonts w:ascii="Times New Roman" w:hAnsi="Times New Roman" w:cs="Times New Roman"/>
          <w:color w:val="333333"/>
          <w:sz w:val="20"/>
          <w:szCs w:val="20"/>
        </w:rPr>
        <w:t>(KDD) is an interdisciplinary area focusing upon methodologies for extracting useful knowledge from data. The ongoing rapid growth of online data due to the Internet and the widespread use of databases have created an immense need for KDD methodologies. The challenge of extracting knowledge from data draws upon research in statistics, databases, pattern recognition, machine learning, data visualization, optimization, and high-performance computing, to deliver advanced business intelligence and web discovery solutions.</w:t>
      </w:r>
    </w:p>
    <w:p w:rsidR="00504AE7" w:rsidRPr="00360CC1" w:rsidRDefault="00504AE7" w:rsidP="00504AE7">
      <w:pPr>
        <w:pStyle w:val="ListParagraph"/>
        <w:ind w:left="0"/>
        <w:rPr>
          <w:rFonts w:ascii="Times New Roman" w:hAnsi="Times New Roman" w:cs="Times New Roman"/>
          <w:color w:val="333333"/>
          <w:sz w:val="20"/>
          <w:szCs w:val="20"/>
        </w:rPr>
      </w:pPr>
    </w:p>
    <w:p w:rsidR="00504AE7" w:rsidRPr="00360CC1" w:rsidRDefault="00504AE7" w:rsidP="00504AE7">
      <w:pPr>
        <w:pStyle w:val="ListParagraph"/>
        <w:ind w:left="0"/>
        <w:rPr>
          <w:rStyle w:val="tgc"/>
          <w:rFonts w:ascii="Times New Roman" w:hAnsi="Times New Roman" w:cs="Times New Roman"/>
          <w:color w:val="222222"/>
          <w:sz w:val="20"/>
          <w:szCs w:val="20"/>
          <w:lang w:val="en"/>
        </w:rPr>
      </w:pP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 xml:space="preserve"> </w:t>
      </w:r>
      <w:proofErr w:type="gramStart"/>
      <w:r w:rsidRPr="00360CC1">
        <w:rPr>
          <w:rStyle w:val="tgc"/>
          <w:rFonts w:ascii="Times New Roman" w:hAnsi="Times New Roman" w:cs="Times New Roman"/>
          <w:b/>
          <w:color w:val="222222"/>
          <w:sz w:val="20"/>
          <w:szCs w:val="20"/>
          <w:lang w:val="en"/>
        </w:rPr>
        <w:t>scrubbing</w:t>
      </w:r>
      <w:r w:rsidRPr="00360CC1">
        <w:rPr>
          <w:rStyle w:val="tgc"/>
          <w:rFonts w:ascii="Times New Roman" w:hAnsi="Times New Roman" w:cs="Times New Roman"/>
          <w:color w:val="222222"/>
          <w:sz w:val="20"/>
          <w:szCs w:val="20"/>
          <w:lang w:val="en"/>
        </w:rPr>
        <w:t>,</w:t>
      </w:r>
      <w:proofErr w:type="gramEnd"/>
      <w:r w:rsidRPr="00360CC1">
        <w:rPr>
          <w:rStyle w:val="tgc"/>
          <w:rFonts w:ascii="Times New Roman" w:hAnsi="Times New Roman" w:cs="Times New Roman"/>
          <w:color w:val="222222"/>
          <w:sz w:val="20"/>
          <w:szCs w:val="20"/>
          <w:lang w:val="en"/>
        </w:rPr>
        <w:t xml:space="preserve"> also called </w:t>
      </w:r>
      <w:r w:rsidRPr="00360CC1">
        <w:rPr>
          <w:rStyle w:val="tgc"/>
          <w:rFonts w:ascii="Times New Roman" w:hAnsi="Times New Roman" w:cs="Times New Roman"/>
          <w:b/>
          <w:bCs/>
          <w:color w:val="222222"/>
          <w:sz w:val="20"/>
          <w:szCs w:val="20"/>
          <w:lang w:val="en"/>
        </w:rPr>
        <w:t>data cleansing</w:t>
      </w:r>
      <w:r w:rsidRPr="00360CC1">
        <w:rPr>
          <w:rStyle w:val="tgc"/>
          <w:rFonts w:ascii="Times New Roman" w:hAnsi="Times New Roman" w:cs="Times New Roman"/>
          <w:color w:val="222222"/>
          <w:sz w:val="20"/>
          <w:szCs w:val="20"/>
          <w:lang w:val="en"/>
        </w:rPr>
        <w:t xml:space="preserve">, is the process of amending or removing </w:t>
      </w: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 xml:space="preserve"> in a database that is incorrect, incomplete, improperly formatted, or duplicated.</w:t>
      </w:r>
    </w:p>
    <w:p w:rsidR="00504AE7" w:rsidRPr="00360CC1" w:rsidRDefault="00504AE7" w:rsidP="00504AE7">
      <w:pPr>
        <w:pStyle w:val="ListParagraph"/>
        <w:ind w:left="0"/>
        <w:rPr>
          <w:rStyle w:val="tgc"/>
          <w:rFonts w:ascii="Times New Roman" w:hAnsi="Times New Roman" w:cs="Times New Roman"/>
          <w:color w:val="222222"/>
          <w:sz w:val="20"/>
          <w:szCs w:val="20"/>
          <w:lang w:val="en"/>
        </w:rPr>
      </w:pPr>
    </w:p>
    <w:p w:rsidR="00504AE7" w:rsidRPr="00360CC1" w:rsidRDefault="00504AE7" w:rsidP="00504AE7">
      <w:pPr>
        <w:pStyle w:val="ListParagraph"/>
        <w:ind w:left="0"/>
        <w:rPr>
          <w:rFonts w:ascii="Times New Roman" w:hAnsi="Times New Roman" w:cs="Times New Roman"/>
          <w:sz w:val="20"/>
          <w:szCs w:val="20"/>
          <w:lang w:val="en"/>
        </w:rPr>
      </w:pPr>
      <w:r w:rsidRPr="00360CC1">
        <w:rPr>
          <w:rFonts w:ascii="Times New Roman" w:hAnsi="Times New Roman" w:cs="Times New Roman"/>
          <w:b/>
          <w:sz w:val="20"/>
          <w:szCs w:val="20"/>
          <w:lang w:val="en"/>
        </w:rPr>
        <w:t>Data pre-processing</w:t>
      </w:r>
      <w:r w:rsidRPr="00360CC1">
        <w:rPr>
          <w:rFonts w:ascii="Times New Roman" w:hAnsi="Times New Roman" w:cs="Times New Roman"/>
          <w:sz w:val="20"/>
          <w:szCs w:val="20"/>
          <w:lang w:val="en"/>
        </w:rPr>
        <w:t xml:space="preserve"> includes cleaning, normalization, transformation, feature extraction and selection.</w:t>
      </w:r>
    </w:p>
    <w:p w:rsidR="00504AE7" w:rsidRPr="00360CC1" w:rsidRDefault="00504AE7" w:rsidP="00504AE7">
      <w:pPr>
        <w:pStyle w:val="ListParagraph"/>
        <w:ind w:left="0"/>
        <w:rPr>
          <w:rStyle w:val="tgc"/>
          <w:rFonts w:ascii="Times New Roman" w:hAnsi="Times New Roman" w:cs="Times New Roman"/>
          <w:b/>
          <w:bCs/>
          <w:color w:val="222222"/>
          <w:sz w:val="20"/>
          <w:szCs w:val="20"/>
          <w:lang w:val="en"/>
        </w:rPr>
      </w:pPr>
    </w:p>
    <w:p w:rsidR="00504AE7" w:rsidRPr="00360CC1" w:rsidRDefault="00504AE7" w:rsidP="00504AE7">
      <w:pPr>
        <w:pStyle w:val="ListParagraph"/>
        <w:ind w:left="0"/>
        <w:rPr>
          <w:rFonts w:ascii="Times New Roman" w:hAnsi="Times New Roman" w:cs="Times New Roman"/>
          <w:sz w:val="20"/>
          <w:szCs w:val="20"/>
        </w:rPr>
      </w:pPr>
      <w:r w:rsidRPr="00360CC1">
        <w:rPr>
          <w:rStyle w:val="tgc"/>
          <w:rFonts w:ascii="Times New Roman" w:hAnsi="Times New Roman" w:cs="Times New Roman"/>
          <w:b/>
          <w:bCs/>
          <w:color w:val="222222"/>
          <w:sz w:val="20"/>
          <w:szCs w:val="20"/>
          <w:lang w:val="en"/>
        </w:rPr>
        <w:t>Data Models</w:t>
      </w:r>
      <w:r w:rsidRPr="00360CC1">
        <w:rPr>
          <w:rStyle w:val="tgc"/>
          <w:rFonts w:ascii="Times New Roman" w:hAnsi="Times New Roman" w:cs="Times New Roman"/>
          <w:color w:val="222222"/>
          <w:sz w:val="20"/>
          <w:szCs w:val="20"/>
          <w:lang w:val="en"/>
        </w:rPr>
        <w:t xml:space="preserve"> define how </w:t>
      </w: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 xml:space="preserve"> is connected to each other and how they are processed and stored inside the system. The very first </w:t>
      </w:r>
      <w:r w:rsidRPr="00360CC1">
        <w:rPr>
          <w:rStyle w:val="tgc"/>
          <w:rFonts w:ascii="Times New Roman" w:hAnsi="Times New Roman" w:cs="Times New Roman"/>
          <w:b/>
          <w:bCs/>
          <w:color w:val="222222"/>
          <w:sz w:val="20"/>
          <w:szCs w:val="20"/>
          <w:lang w:val="en"/>
        </w:rPr>
        <w:t>data models</w:t>
      </w:r>
      <w:r w:rsidRPr="00360CC1">
        <w:rPr>
          <w:rStyle w:val="tgc"/>
          <w:rFonts w:ascii="Times New Roman" w:hAnsi="Times New Roman" w:cs="Times New Roman"/>
          <w:color w:val="222222"/>
          <w:sz w:val="20"/>
          <w:szCs w:val="20"/>
          <w:lang w:val="en"/>
        </w:rPr>
        <w:t xml:space="preserve"> could be flat </w:t>
      </w: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w:t>
      </w:r>
      <w:r w:rsidRPr="00360CC1">
        <w:rPr>
          <w:rStyle w:val="tgc"/>
          <w:rFonts w:ascii="Times New Roman" w:hAnsi="Times New Roman" w:cs="Times New Roman"/>
          <w:b/>
          <w:bCs/>
          <w:color w:val="222222"/>
          <w:sz w:val="20"/>
          <w:szCs w:val="20"/>
          <w:lang w:val="en"/>
        </w:rPr>
        <w:t>models</w:t>
      </w:r>
      <w:r w:rsidRPr="00360CC1">
        <w:rPr>
          <w:rStyle w:val="tgc"/>
          <w:rFonts w:ascii="Times New Roman" w:hAnsi="Times New Roman" w:cs="Times New Roman"/>
          <w:color w:val="222222"/>
          <w:sz w:val="20"/>
          <w:szCs w:val="20"/>
          <w:lang w:val="en"/>
        </w:rPr>
        <w:t xml:space="preserve">, where all the </w:t>
      </w:r>
      <w:r w:rsidRPr="00360CC1">
        <w:rPr>
          <w:rStyle w:val="tgc"/>
          <w:rFonts w:ascii="Times New Roman" w:hAnsi="Times New Roman" w:cs="Times New Roman"/>
          <w:b/>
          <w:bCs/>
          <w:color w:val="222222"/>
          <w:sz w:val="20"/>
          <w:szCs w:val="20"/>
          <w:lang w:val="en"/>
        </w:rPr>
        <w:t>data</w:t>
      </w:r>
      <w:r w:rsidRPr="00360CC1">
        <w:rPr>
          <w:rStyle w:val="tgc"/>
          <w:rFonts w:ascii="Times New Roman" w:hAnsi="Times New Roman" w:cs="Times New Roman"/>
          <w:color w:val="222222"/>
          <w:sz w:val="20"/>
          <w:szCs w:val="20"/>
          <w:lang w:val="en"/>
        </w:rPr>
        <w:t xml:space="preserve"> used are to be kept in the same plane.</w:t>
      </w:r>
    </w:p>
    <w:p w:rsidR="00F02F1D" w:rsidRDefault="00F02F1D"/>
    <w:sectPr w:rsidR="00F02F1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069094"/>
      <w:docPartObj>
        <w:docPartGallery w:val="Page Numbers (Top of Page)"/>
        <w:docPartUnique/>
      </w:docPartObj>
    </w:sdtPr>
    <w:sdtEndPr>
      <w:rPr>
        <w:noProof/>
      </w:rPr>
    </w:sdtEndPr>
    <w:sdtContent>
      <w:p w:rsidR="001005BB" w:rsidRDefault="00504AE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005BB" w:rsidRDefault="00504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E7"/>
    <w:rsid w:val="00504AE7"/>
    <w:rsid w:val="00F0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E7"/>
    <w:pPr>
      <w:ind w:left="720"/>
      <w:contextualSpacing/>
    </w:pPr>
  </w:style>
  <w:style w:type="character" w:customStyle="1" w:styleId="tgc">
    <w:name w:val="_tgc"/>
    <w:basedOn w:val="DefaultParagraphFont"/>
    <w:rsid w:val="00504AE7"/>
  </w:style>
  <w:style w:type="paragraph" w:styleId="Header">
    <w:name w:val="header"/>
    <w:basedOn w:val="Normal"/>
    <w:link w:val="HeaderChar"/>
    <w:uiPriority w:val="99"/>
    <w:unhideWhenUsed/>
    <w:rsid w:val="00504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E7"/>
    <w:pPr>
      <w:ind w:left="720"/>
      <w:contextualSpacing/>
    </w:pPr>
  </w:style>
  <w:style w:type="character" w:customStyle="1" w:styleId="tgc">
    <w:name w:val="_tgc"/>
    <w:basedOn w:val="DefaultParagraphFont"/>
    <w:rsid w:val="00504AE7"/>
  </w:style>
  <w:style w:type="paragraph" w:styleId="Header">
    <w:name w:val="header"/>
    <w:basedOn w:val="Normal"/>
    <w:link w:val="HeaderChar"/>
    <w:uiPriority w:val="99"/>
    <w:unhideWhenUsed/>
    <w:rsid w:val="00504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 (CBH)</dc:creator>
  <cp:lastModifiedBy>Hill, Karen (CBH)</cp:lastModifiedBy>
  <cp:revision>1</cp:revision>
  <dcterms:created xsi:type="dcterms:W3CDTF">2016-06-16T20:34:00Z</dcterms:created>
  <dcterms:modified xsi:type="dcterms:W3CDTF">2016-06-16T20:39:00Z</dcterms:modified>
</cp:coreProperties>
</file>