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AD0D9" w14:textId="64B26BFB" w:rsidR="00E160C8" w:rsidRDefault="00E160C8" w:rsidP="00E160C8">
      <w:pPr>
        <w:pStyle w:val="Heading1"/>
        <w:rPr>
          <w:bdr w:val="none" w:sz="0" w:space="0" w:color="auto" w:frame="1"/>
        </w:rPr>
      </w:pPr>
      <w:bookmarkStart w:id="0" w:name="_Hlk42595140"/>
      <w:bookmarkEnd w:id="0"/>
      <w:r>
        <w:rPr>
          <w:bdr w:val="none" w:sz="0" w:space="0" w:color="auto" w:frame="1"/>
        </w:rPr>
        <w:t>Appendix 1</w:t>
      </w:r>
      <w:r w:rsidR="00CF5FFD">
        <w:rPr>
          <w:bdr w:val="none" w:sz="0" w:space="0" w:color="auto" w:frame="1"/>
        </w:rPr>
        <w:t>:</w:t>
      </w:r>
      <w:r w:rsidR="00CF5FFD" w:rsidRPr="00CF5FFD">
        <w:t xml:space="preserve"> </w:t>
      </w:r>
      <w:r w:rsidR="00CF5FFD" w:rsidRPr="00CF5FFD">
        <w:rPr>
          <w:bdr w:val="none" w:sz="0" w:space="0" w:color="auto" w:frame="1"/>
        </w:rPr>
        <w:t xml:space="preserve">Pre-event </w:t>
      </w:r>
      <w:r w:rsidR="00BE0936">
        <w:rPr>
          <w:bdr w:val="none" w:sz="0" w:space="0" w:color="auto" w:frame="1"/>
        </w:rPr>
        <w:t>R</w:t>
      </w:r>
      <w:r w:rsidR="00CF5FFD" w:rsidRPr="00CF5FFD">
        <w:rPr>
          <w:bdr w:val="none" w:sz="0" w:space="0" w:color="auto" w:frame="1"/>
        </w:rPr>
        <w:t>eport</w:t>
      </w:r>
    </w:p>
    <w:p w14:paraId="632B01B0" w14:textId="77777777" w:rsidR="00CF5FFD" w:rsidRPr="00CF5FFD" w:rsidRDefault="00CF5FFD" w:rsidP="00CF5FFD"/>
    <w:p w14:paraId="222425CD" w14:textId="77190310" w:rsidR="00581C9D" w:rsidRDefault="00E160C8" w:rsidP="00581C9D">
      <w:pPr>
        <w:spacing w:line="480" w:lineRule="auto"/>
        <w:contextualSpacing/>
        <w:jc w:val="both"/>
        <w:rPr>
          <w:rFonts w:ascii="Times New Roman" w:hAnsi="Times New Roman" w:cs="Times New Roman"/>
          <w:sz w:val="24"/>
          <w:szCs w:val="24"/>
        </w:rPr>
      </w:pPr>
      <w:r w:rsidRPr="0004554B">
        <w:rPr>
          <w:rFonts w:ascii="Times New Roman" w:hAnsi="Times New Roman" w:cs="Times New Roman"/>
          <w:sz w:val="24"/>
          <w:szCs w:val="24"/>
        </w:rPr>
        <w:t>The purpose of the report is to provide information regarding the participant</w:t>
      </w:r>
      <w:r w:rsidR="0067609C">
        <w:rPr>
          <w:rFonts w:ascii="Times New Roman" w:hAnsi="Times New Roman" w:cs="Times New Roman"/>
          <w:sz w:val="24"/>
          <w:szCs w:val="24"/>
        </w:rPr>
        <w:t>s</w:t>
      </w:r>
      <w:r>
        <w:rPr>
          <w:rFonts w:ascii="Times New Roman" w:hAnsi="Times New Roman" w:cs="Times New Roman"/>
          <w:sz w:val="24"/>
          <w:szCs w:val="24"/>
        </w:rPr>
        <w:t xml:space="preserve">, </w:t>
      </w:r>
      <w:r w:rsidR="0067609C">
        <w:rPr>
          <w:rFonts w:ascii="Times New Roman" w:hAnsi="Times New Roman" w:cs="Times New Roman"/>
          <w:sz w:val="24"/>
          <w:szCs w:val="24"/>
        </w:rPr>
        <w:t xml:space="preserve">their </w:t>
      </w:r>
      <w:r>
        <w:rPr>
          <w:rFonts w:ascii="Times New Roman" w:hAnsi="Times New Roman" w:cs="Times New Roman"/>
          <w:sz w:val="24"/>
          <w:szCs w:val="24"/>
        </w:rPr>
        <w:t>motivation to learn</w:t>
      </w:r>
      <w:r w:rsidR="0014258D">
        <w:rPr>
          <w:rFonts w:ascii="Times New Roman" w:hAnsi="Times New Roman" w:cs="Times New Roman"/>
          <w:sz w:val="24"/>
          <w:szCs w:val="24"/>
        </w:rPr>
        <w:t xml:space="preserve"> </w:t>
      </w:r>
      <w:r w:rsidRPr="0004554B">
        <w:rPr>
          <w:rFonts w:ascii="Times New Roman" w:hAnsi="Times New Roman" w:cs="Times New Roman"/>
          <w:sz w:val="24"/>
          <w:szCs w:val="24"/>
        </w:rPr>
        <w:t xml:space="preserve">and educational needs so that faculty can fine tune their planned content and educational techniques, particularly when the audience is heterogeneous (different countries, different levels of experience, training paths, </w:t>
      </w:r>
      <w:r w:rsidR="00D43C3F" w:rsidRPr="0004554B">
        <w:rPr>
          <w:rFonts w:ascii="Times New Roman" w:hAnsi="Times New Roman" w:cs="Times New Roman"/>
          <w:sz w:val="24"/>
          <w:szCs w:val="24"/>
        </w:rPr>
        <w:t>etc.</w:t>
      </w:r>
      <w:r w:rsidRPr="0004554B">
        <w:rPr>
          <w:rFonts w:ascii="Times New Roman" w:hAnsi="Times New Roman" w:cs="Times New Roman"/>
          <w:sz w:val="24"/>
          <w:szCs w:val="24"/>
        </w:rPr>
        <w:t xml:space="preserve">). </w:t>
      </w:r>
    </w:p>
    <w:p w14:paraId="3B503C66" w14:textId="04E8CF19" w:rsidR="00CD24DB" w:rsidRPr="00412C41" w:rsidRDefault="00CD24DB" w:rsidP="00581C9D">
      <w:pPr>
        <w:spacing w:line="480" w:lineRule="auto"/>
        <w:contextualSpacing/>
        <w:jc w:val="both"/>
        <w:rPr>
          <w:rFonts w:ascii="Times New Roman" w:hAnsi="Times New Roman" w:cs="Times New Roman"/>
          <w:sz w:val="24"/>
          <w:szCs w:val="24"/>
        </w:rPr>
      </w:pPr>
      <w:r w:rsidRPr="00CD24DB">
        <w:rPr>
          <w:rFonts w:ascii="Times New Roman" w:hAnsi="Times New Roman" w:cs="Times New Roman"/>
          <w:sz w:val="24"/>
          <w:szCs w:val="24"/>
        </w:rPr>
        <w:t>The information in the overall report must be viewed and interpreted by the event chairperson and faculty</w:t>
      </w:r>
      <w:r w:rsidR="0014258D">
        <w:rPr>
          <w:rFonts w:ascii="Times New Roman" w:hAnsi="Times New Roman" w:cs="Times New Roman"/>
          <w:sz w:val="24"/>
          <w:szCs w:val="24"/>
        </w:rPr>
        <w:t>.</w:t>
      </w:r>
      <w:r w:rsidRPr="00CD24DB">
        <w:rPr>
          <w:rFonts w:ascii="Times New Roman" w:hAnsi="Times New Roman" w:cs="Times New Roman"/>
          <w:sz w:val="24"/>
          <w:szCs w:val="24"/>
        </w:rPr>
        <w:t xml:space="preserve"> Interpretation must always consider the language the questions were administered in compared with the fluent languages of the responders, the culture within the country or subspecialty, and the overall context of the educational event.</w:t>
      </w:r>
    </w:p>
    <w:p w14:paraId="5E467F5C" w14:textId="5FCAE51D" w:rsidR="00E160C8" w:rsidRDefault="00E160C8" w:rsidP="00E160C8">
      <w:pPr>
        <w:spacing w:line="480" w:lineRule="auto"/>
        <w:contextualSpacing/>
        <w:jc w:val="both"/>
        <w:rPr>
          <w:rFonts w:ascii="Times New Roman" w:hAnsi="Times New Roman" w:cs="Times New Roman"/>
          <w:sz w:val="24"/>
          <w:szCs w:val="24"/>
        </w:rPr>
      </w:pPr>
    </w:p>
    <w:p w14:paraId="45F90EFD" w14:textId="79855F60" w:rsidR="00581C9D" w:rsidRPr="00F86C27" w:rsidRDefault="003977DB" w:rsidP="00581C9D">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first information in the report is </w:t>
      </w:r>
      <w:r w:rsidR="0067609C">
        <w:rPr>
          <w:rFonts w:ascii="Times New Roman" w:hAnsi="Times New Roman" w:cs="Times New Roman"/>
          <w:sz w:val="24"/>
          <w:szCs w:val="24"/>
        </w:rPr>
        <w:t xml:space="preserve">general information regarding </w:t>
      </w:r>
      <w:r>
        <w:rPr>
          <w:rFonts w:ascii="Times New Roman" w:hAnsi="Times New Roman" w:cs="Times New Roman"/>
          <w:sz w:val="24"/>
          <w:szCs w:val="24"/>
        </w:rPr>
        <w:t>r</w:t>
      </w:r>
      <w:r w:rsidR="00581C9D" w:rsidRPr="00F86C27">
        <w:rPr>
          <w:rFonts w:ascii="Times New Roman" w:hAnsi="Times New Roman" w:cs="Times New Roman"/>
          <w:sz w:val="24"/>
          <w:szCs w:val="24"/>
        </w:rPr>
        <w:t xml:space="preserve">egistration </w:t>
      </w:r>
      <w:r w:rsidR="0067609C">
        <w:rPr>
          <w:rFonts w:ascii="Times New Roman" w:hAnsi="Times New Roman" w:cs="Times New Roman"/>
          <w:sz w:val="24"/>
          <w:szCs w:val="24"/>
        </w:rPr>
        <w:t>and faculty</w:t>
      </w:r>
      <w:r>
        <w:rPr>
          <w:rFonts w:ascii="Times New Roman" w:hAnsi="Times New Roman" w:cs="Times New Roman"/>
          <w:sz w:val="24"/>
          <w:szCs w:val="24"/>
        </w:rPr>
        <w:t xml:space="preserve">. </w:t>
      </w:r>
    </w:p>
    <w:p w14:paraId="5190D3F9" w14:textId="3947BA3E" w:rsidR="00E160C8" w:rsidRPr="005A03E9" w:rsidRDefault="00E160C8" w:rsidP="00E160C8">
      <w:pPr>
        <w:spacing w:line="480" w:lineRule="auto"/>
        <w:contextualSpacing/>
        <w:jc w:val="both"/>
        <w:rPr>
          <w:rFonts w:ascii="Times New Roman" w:hAnsi="Times New Roman" w:cs="Times New Roman"/>
          <w:sz w:val="24"/>
          <w:szCs w:val="24"/>
          <w:highlight w:val="yellow"/>
        </w:rPr>
      </w:pPr>
      <w:r>
        <w:rPr>
          <w:noProof/>
        </w:rPr>
        <w:drawing>
          <wp:inline distT="0" distB="0" distL="0" distR="0" wp14:anchorId="12029EFB" wp14:editId="08BCFC7E">
            <wp:extent cx="5760720" cy="976299"/>
            <wp:effectExtent l="19050" t="19050" r="11430" b="146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t="53083"/>
                    <a:stretch/>
                  </pic:blipFill>
                  <pic:spPr bwMode="auto">
                    <a:xfrm>
                      <a:off x="0" y="0"/>
                      <a:ext cx="5760720" cy="976299"/>
                    </a:xfrm>
                    <a:prstGeom prst="rect">
                      <a:avLst/>
                    </a:prstGeom>
                    <a:ln w="3175">
                      <a:solidFill>
                        <a:schemeClr val="tx1"/>
                      </a:solidFill>
                    </a:ln>
                    <a:extLst>
                      <a:ext uri="{53640926-AAD7-44D8-BBD7-CCE9431645EC}">
                        <a14:shadowObscured xmlns:a14="http://schemas.microsoft.com/office/drawing/2010/main"/>
                      </a:ext>
                    </a:extLst>
                  </pic:spPr>
                </pic:pic>
              </a:graphicData>
            </a:graphic>
          </wp:inline>
        </w:drawing>
      </w:r>
    </w:p>
    <w:p w14:paraId="2045CF2C" w14:textId="4686BF53" w:rsidR="00581C9D" w:rsidRDefault="00581C9D" w:rsidP="00E160C8">
      <w:pPr>
        <w:spacing w:line="480" w:lineRule="auto"/>
        <w:contextualSpacing/>
        <w:jc w:val="both"/>
        <w:rPr>
          <w:rFonts w:ascii="Times New Roman" w:hAnsi="Times New Roman" w:cs="Times New Roman"/>
          <w:sz w:val="24"/>
          <w:szCs w:val="24"/>
        </w:rPr>
      </w:pPr>
      <w:r w:rsidRPr="00E006DE">
        <w:rPr>
          <w:rFonts w:ascii="Times New Roman" w:hAnsi="Times New Roman" w:cs="Times New Roman"/>
          <w:i/>
          <w:iCs/>
          <w:sz w:val="24"/>
          <w:szCs w:val="24"/>
        </w:rPr>
        <w:t>Demographics</w:t>
      </w:r>
      <w:r w:rsidRPr="00581C9D">
        <w:rPr>
          <w:rFonts w:ascii="Times New Roman" w:hAnsi="Times New Roman" w:cs="Times New Roman"/>
          <w:sz w:val="24"/>
          <w:szCs w:val="24"/>
        </w:rPr>
        <w:t xml:space="preserve"> </w:t>
      </w:r>
      <w:r>
        <w:rPr>
          <w:rFonts w:ascii="Times New Roman" w:hAnsi="Times New Roman" w:cs="Times New Roman"/>
          <w:sz w:val="24"/>
          <w:szCs w:val="24"/>
        </w:rPr>
        <w:t xml:space="preserve">or </w:t>
      </w:r>
      <w:r w:rsidR="00CD24C9">
        <w:rPr>
          <w:rFonts w:ascii="Times New Roman" w:hAnsi="Times New Roman" w:cs="Times New Roman"/>
          <w:sz w:val="24"/>
          <w:szCs w:val="24"/>
        </w:rPr>
        <w:t>p</w:t>
      </w:r>
      <w:r w:rsidRPr="00581C9D">
        <w:rPr>
          <w:rFonts w:ascii="Times New Roman" w:hAnsi="Times New Roman" w:cs="Times New Roman"/>
          <w:sz w:val="24"/>
          <w:szCs w:val="24"/>
        </w:rPr>
        <w:t>articipant profile has 6 questions:</w:t>
      </w:r>
    </w:p>
    <w:p w14:paraId="53EBE8AD" w14:textId="05ACBAFE" w:rsidR="00581C9D" w:rsidRDefault="00581C9D" w:rsidP="00E160C8">
      <w:pPr>
        <w:spacing w:line="480" w:lineRule="auto"/>
        <w:contextualSpacing/>
        <w:jc w:val="both"/>
        <w:rPr>
          <w:rFonts w:ascii="Times New Roman" w:hAnsi="Times New Roman" w:cs="Times New Roman"/>
          <w:sz w:val="24"/>
          <w:szCs w:val="24"/>
        </w:rPr>
      </w:pPr>
      <w:r w:rsidRPr="00581C9D">
        <w:rPr>
          <w:rFonts w:ascii="Times New Roman" w:hAnsi="Times New Roman" w:cs="Times New Roman"/>
          <w:sz w:val="24"/>
          <w:szCs w:val="24"/>
        </w:rPr>
        <w:t>1)</w:t>
      </w:r>
      <w:r>
        <w:rPr>
          <w:rFonts w:ascii="Times New Roman" w:hAnsi="Times New Roman" w:cs="Times New Roman"/>
          <w:sz w:val="24"/>
          <w:szCs w:val="24"/>
        </w:rPr>
        <w:t xml:space="preserve"> </w:t>
      </w:r>
      <w:r w:rsidR="00C7608F">
        <w:rPr>
          <w:rFonts w:ascii="Times New Roman" w:hAnsi="Times New Roman" w:cs="Times New Roman"/>
          <w:sz w:val="24"/>
          <w:szCs w:val="24"/>
        </w:rPr>
        <w:t>W</w:t>
      </w:r>
      <w:r w:rsidR="00C7608F" w:rsidRPr="00412C41">
        <w:rPr>
          <w:rFonts w:ascii="Times New Roman" w:hAnsi="Times New Roman" w:cs="Times New Roman"/>
          <w:sz w:val="24"/>
          <w:szCs w:val="24"/>
        </w:rPr>
        <w:t xml:space="preserve">hen </w:t>
      </w:r>
      <w:r w:rsidR="00C7608F">
        <w:rPr>
          <w:rFonts w:ascii="Times New Roman" w:hAnsi="Times New Roman" w:cs="Times New Roman"/>
          <w:sz w:val="24"/>
          <w:szCs w:val="24"/>
        </w:rPr>
        <w:t xml:space="preserve">did you </w:t>
      </w:r>
      <w:r w:rsidR="00C7608F" w:rsidRPr="00412C41">
        <w:rPr>
          <w:rFonts w:ascii="Times New Roman" w:hAnsi="Times New Roman" w:cs="Times New Roman"/>
          <w:sz w:val="24"/>
          <w:szCs w:val="24"/>
        </w:rPr>
        <w:t>graduate</w:t>
      </w:r>
      <w:r w:rsidR="00C7608F">
        <w:rPr>
          <w:rFonts w:ascii="Times New Roman" w:hAnsi="Times New Roman" w:cs="Times New Roman"/>
          <w:sz w:val="24"/>
          <w:szCs w:val="24"/>
        </w:rPr>
        <w:t xml:space="preserve"> </w:t>
      </w:r>
      <w:r w:rsidR="00C7608F" w:rsidRPr="00412C41">
        <w:rPr>
          <w:rFonts w:ascii="Times New Roman" w:hAnsi="Times New Roman" w:cs="Times New Roman"/>
          <w:sz w:val="24"/>
          <w:szCs w:val="24"/>
        </w:rPr>
        <w:t>from medical school</w:t>
      </w:r>
      <w:r w:rsidR="00C7608F">
        <w:rPr>
          <w:rFonts w:ascii="Times New Roman" w:hAnsi="Times New Roman" w:cs="Times New Roman"/>
          <w:sz w:val="24"/>
          <w:szCs w:val="24"/>
        </w:rPr>
        <w:t>?</w:t>
      </w:r>
    </w:p>
    <w:p w14:paraId="618DE736" w14:textId="30C8DB80" w:rsidR="00581C9D" w:rsidRDefault="00933A67" w:rsidP="00E160C8">
      <w:pPr>
        <w:spacing w:line="480" w:lineRule="auto"/>
        <w:contextualSpacing/>
        <w:jc w:val="both"/>
        <w:rPr>
          <w:rFonts w:ascii="Times New Roman" w:hAnsi="Times New Roman" w:cs="Times New Roman"/>
          <w:sz w:val="24"/>
          <w:szCs w:val="24"/>
        </w:rPr>
      </w:pPr>
      <w:r>
        <w:rPr>
          <w:noProof/>
        </w:rPr>
        <w:drawing>
          <wp:inline distT="0" distB="0" distL="0" distR="0" wp14:anchorId="0FDCD156" wp14:editId="1135096F">
            <wp:extent cx="5760720" cy="2723515"/>
            <wp:effectExtent l="19050" t="19050" r="11430" b="196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2723515"/>
                    </a:xfrm>
                    <a:prstGeom prst="rect">
                      <a:avLst/>
                    </a:prstGeom>
                    <a:ln>
                      <a:solidFill>
                        <a:schemeClr val="tx1"/>
                      </a:solidFill>
                    </a:ln>
                  </pic:spPr>
                </pic:pic>
              </a:graphicData>
            </a:graphic>
          </wp:inline>
        </w:drawing>
      </w:r>
      <w:bookmarkStart w:id="1" w:name="_GoBack"/>
      <w:bookmarkEnd w:id="1"/>
    </w:p>
    <w:p w14:paraId="2D5C1C0C" w14:textId="454F1BD0" w:rsidR="003612A4" w:rsidRDefault="00016234" w:rsidP="00E160C8">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This question</w:t>
      </w:r>
      <w:r w:rsidR="003612A4">
        <w:rPr>
          <w:rFonts w:ascii="Times New Roman" w:hAnsi="Times New Roman" w:cs="Times New Roman"/>
          <w:sz w:val="24"/>
          <w:szCs w:val="24"/>
        </w:rPr>
        <w:t xml:space="preserve"> is used t</w:t>
      </w:r>
      <w:r w:rsidR="003612A4" w:rsidRPr="00412C41">
        <w:rPr>
          <w:rFonts w:ascii="Times New Roman" w:hAnsi="Times New Roman" w:cs="Times New Roman"/>
          <w:sz w:val="24"/>
          <w:szCs w:val="24"/>
        </w:rPr>
        <w:t>o estimate the years of experience</w:t>
      </w:r>
      <w:r w:rsidR="003612A4">
        <w:rPr>
          <w:rFonts w:ascii="Times New Roman" w:hAnsi="Times New Roman" w:cs="Times New Roman"/>
          <w:sz w:val="24"/>
          <w:szCs w:val="24"/>
        </w:rPr>
        <w:t xml:space="preserve">. The </w:t>
      </w:r>
      <w:r w:rsidR="0051179F">
        <w:rPr>
          <w:rFonts w:ascii="Times New Roman" w:hAnsi="Times New Roman" w:cs="Times New Roman"/>
          <w:sz w:val="24"/>
          <w:szCs w:val="24"/>
        </w:rPr>
        <w:t xml:space="preserve">answer </w:t>
      </w:r>
      <w:r w:rsidR="003612A4" w:rsidRPr="003612A4">
        <w:rPr>
          <w:rFonts w:ascii="Times New Roman" w:hAnsi="Times New Roman" w:cs="Times New Roman"/>
          <w:sz w:val="24"/>
          <w:szCs w:val="24"/>
        </w:rPr>
        <w:t>options for events for residents</w:t>
      </w:r>
      <w:r w:rsidR="003612A4">
        <w:rPr>
          <w:rFonts w:ascii="Times New Roman" w:hAnsi="Times New Roman" w:cs="Times New Roman"/>
          <w:sz w:val="24"/>
          <w:szCs w:val="24"/>
        </w:rPr>
        <w:t xml:space="preserve"> </w:t>
      </w:r>
      <w:r>
        <w:rPr>
          <w:rFonts w:ascii="Times New Roman" w:hAnsi="Times New Roman" w:cs="Times New Roman"/>
          <w:sz w:val="24"/>
          <w:szCs w:val="24"/>
        </w:rPr>
        <w:t xml:space="preserve">(in the example) </w:t>
      </w:r>
      <w:r w:rsidR="0051179F">
        <w:rPr>
          <w:rFonts w:ascii="Times New Roman" w:hAnsi="Times New Roman" w:cs="Times New Roman"/>
          <w:sz w:val="24"/>
          <w:szCs w:val="24"/>
        </w:rPr>
        <w:t xml:space="preserve">are </w:t>
      </w:r>
      <w:r>
        <w:rPr>
          <w:rFonts w:ascii="Times New Roman" w:hAnsi="Times New Roman" w:cs="Times New Roman"/>
          <w:sz w:val="24"/>
          <w:szCs w:val="24"/>
        </w:rPr>
        <w:t xml:space="preserve">more </w:t>
      </w:r>
      <w:r w:rsidR="0051179F">
        <w:rPr>
          <w:rFonts w:ascii="Times New Roman" w:hAnsi="Times New Roman" w:cs="Times New Roman"/>
          <w:sz w:val="24"/>
          <w:szCs w:val="24"/>
        </w:rPr>
        <w:t xml:space="preserve">granular </w:t>
      </w:r>
      <w:r>
        <w:rPr>
          <w:rFonts w:ascii="Times New Roman" w:hAnsi="Times New Roman" w:cs="Times New Roman"/>
          <w:sz w:val="24"/>
          <w:szCs w:val="24"/>
        </w:rPr>
        <w:t xml:space="preserve">compared to the one </w:t>
      </w:r>
      <w:r w:rsidR="003612A4">
        <w:rPr>
          <w:rFonts w:ascii="Times New Roman" w:hAnsi="Times New Roman" w:cs="Times New Roman"/>
          <w:sz w:val="24"/>
          <w:szCs w:val="24"/>
        </w:rPr>
        <w:t xml:space="preserve">for </w:t>
      </w:r>
      <w:r w:rsidR="003612A4" w:rsidRPr="003612A4">
        <w:rPr>
          <w:rFonts w:ascii="Times New Roman" w:hAnsi="Times New Roman" w:cs="Times New Roman"/>
          <w:sz w:val="24"/>
          <w:szCs w:val="24"/>
        </w:rPr>
        <w:t>events for continuing professional development</w:t>
      </w:r>
      <w:r>
        <w:rPr>
          <w:rFonts w:ascii="Times New Roman" w:hAnsi="Times New Roman" w:cs="Times New Roman"/>
          <w:sz w:val="24"/>
          <w:szCs w:val="24"/>
        </w:rPr>
        <w:t xml:space="preserve">. This is because </w:t>
      </w:r>
      <w:r w:rsidRPr="003612A4">
        <w:rPr>
          <w:rFonts w:ascii="Times New Roman" w:hAnsi="Times New Roman" w:cs="Times New Roman"/>
          <w:sz w:val="24"/>
          <w:szCs w:val="24"/>
        </w:rPr>
        <w:t xml:space="preserve">residency programs have different durations in many countries </w:t>
      </w:r>
      <w:r>
        <w:rPr>
          <w:rFonts w:ascii="Times New Roman" w:hAnsi="Times New Roman" w:cs="Times New Roman"/>
          <w:sz w:val="24"/>
          <w:szCs w:val="24"/>
        </w:rPr>
        <w:t>therefore</w:t>
      </w:r>
      <w:r w:rsidRPr="003612A4">
        <w:rPr>
          <w:rFonts w:ascii="Times New Roman" w:hAnsi="Times New Roman" w:cs="Times New Roman"/>
          <w:sz w:val="24"/>
          <w:szCs w:val="24"/>
        </w:rPr>
        <w:t xml:space="preserve"> know</w:t>
      </w:r>
      <w:r>
        <w:rPr>
          <w:rFonts w:ascii="Times New Roman" w:hAnsi="Times New Roman" w:cs="Times New Roman"/>
          <w:sz w:val="24"/>
          <w:szCs w:val="24"/>
        </w:rPr>
        <w:t>ing</w:t>
      </w:r>
      <w:r w:rsidRPr="003612A4">
        <w:rPr>
          <w:rFonts w:ascii="Times New Roman" w:hAnsi="Times New Roman" w:cs="Times New Roman"/>
          <w:sz w:val="24"/>
          <w:szCs w:val="24"/>
        </w:rPr>
        <w:t xml:space="preserve"> the year of residency is </w:t>
      </w:r>
      <w:r>
        <w:rPr>
          <w:rFonts w:ascii="Times New Roman" w:hAnsi="Times New Roman" w:cs="Times New Roman"/>
          <w:sz w:val="24"/>
          <w:szCs w:val="24"/>
        </w:rPr>
        <w:t>relevant</w:t>
      </w:r>
      <w:r w:rsidRPr="003612A4">
        <w:rPr>
          <w:rFonts w:ascii="Times New Roman" w:hAnsi="Times New Roman" w:cs="Times New Roman"/>
          <w:sz w:val="24"/>
          <w:szCs w:val="24"/>
        </w:rPr>
        <w:t xml:space="preserve"> for those events</w:t>
      </w:r>
      <w:r w:rsidR="003612A4" w:rsidRPr="003612A4">
        <w:rPr>
          <w:rFonts w:ascii="Times New Roman" w:hAnsi="Times New Roman" w:cs="Times New Roman"/>
          <w:sz w:val="24"/>
          <w:szCs w:val="24"/>
        </w:rPr>
        <w:t>.</w:t>
      </w:r>
    </w:p>
    <w:p w14:paraId="522B22AC" w14:textId="77777777" w:rsidR="0051179F" w:rsidRDefault="0051179F" w:rsidP="00E160C8">
      <w:pPr>
        <w:spacing w:line="480" w:lineRule="auto"/>
        <w:contextualSpacing/>
        <w:jc w:val="both"/>
        <w:rPr>
          <w:rFonts w:ascii="Times New Roman" w:hAnsi="Times New Roman" w:cs="Times New Roman"/>
          <w:sz w:val="24"/>
          <w:szCs w:val="24"/>
        </w:rPr>
      </w:pPr>
    </w:p>
    <w:p w14:paraId="28692FF7" w14:textId="148957C7" w:rsidR="00C7608F" w:rsidRDefault="003612A4" w:rsidP="00E160C8">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Pr="003612A4">
        <w:rPr>
          <w:rFonts w:ascii="Times New Roman" w:hAnsi="Times New Roman" w:cs="Times New Roman"/>
          <w:sz w:val="24"/>
          <w:szCs w:val="24"/>
        </w:rPr>
        <w:t>I do mostly... (&gt; 50% of time):</w:t>
      </w:r>
    </w:p>
    <w:p w14:paraId="73F91920" w14:textId="3D3CBE03" w:rsidR="003612A4" w:rsidRDefault="003612A4" w:rsidP="00E160C8">
      <w:pPr>
        <w:spacing w:line="480" w:lineRule="auto"/>
        <w:contextualSpacing/>
        <w:jc w:val="both"/>
        <w:rPr>
          <w:rFonts w:ascii="Times New Roman" w:hAnsi="Times New Roman" w:cs="Times New Roman"/>
          <w:sz w:val="24"/>
          <w:szCs w:val="24"/>
        </w:rPr>
      </w:pPr>
      <w:r>
        <w:rPr>
          <w:noProof/>
        </w:rPr>
        <w:drawing>
          <wp:inline distT="0" distB="0" distL="0" distR="0" wp14:anchorId="5E52443E" wp14:editId="6A5AF941">
            <wp:extent cx="5760720" cy="1689735"/>
            <wp:effectExtent l="19050" t="19050" r="11430" b="2476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6828"/>
                    <a:stretch/>
                  </pic:blipFill>
                  <pic:spPr bwMode="auto">
                    <a:xfrm>
                      <a:off x="0" y="0"/>
                      <a:ext cx="5760720" cy="1689735"/>
                    </a:xfrm>
                    <a:prstGeom prst="rect">
                      <a:avLst/>
                    </a:prstGeom>
                    <a:ln w="317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31F80042" w14:textId="77AA79F0" w:rsidR="003612A4" w:rsidRDefault="0067609C" w:rsidP="003612A4">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This question</w:t>
      </w:r>
      <w:r w:rsidR="00581C9D">
        <w:rPr>
          <w:rFonts w:ascii="Times New Roman" w:hAnsi="Times New Roman" w:cs="Times New Roman"/>
          <w:sz w:val="24"/>
          <w:szCs w:val="24"/>
        </w:rPr>
        <w:t xml:space="preserve"> </w:t>
      </w:r>
      <w:r w:rsidRPr="00F3679A">
        <w:rPr>
          <w:rFonts w:ascii="Times New Roman" w:hAnsi="Times New Roman" w:cs="Times New Roman"/>
          <w:sz w:val="24"/>
          <w:szCs w:val="24"/>
        </w:rPr>
        <w:t>identif</w:t>
      </w:r>
      <w:r>
        <w:rPr>
          <w:rFonts w:ascii="Times New Roman" w:hAnsi="Times New Roman" w:cs="Times New Roman"/>
          <w:sz w:val="24"/>
          <w:szCs w:val="24"/>
        </w:rPr>
        <w:t>ies</w:t>
      </w:r>
      <w:r w:rsidRPr="00F3679A">
        <w:rPr>
          <w:rFonts w:ascii="Times New Roman" w:hAnsi="Times New Roman" w:cs="Times New Roman"/>
          <w:sz w:val="24"/>
          <w:szCs w:val="24"/>
        </w:rPr>
        <w:t xml:space="preserve"> </w:t>
      </w:r>
      <w:r w:rsidR="006319CB">
        <w:rPr>
          <w:rFonts w:ascii="Times New Roman" w:hAnsi="Times New Roman" w:cs="Times New Roman"/>
          <w:sz w:val="24"/>
          <w:szCs w:val="24"/>
        </w:rPr>
        <w:t>t</w:t>
      </w:r>
      <w:r w:rsidR="003612A4" w:rsidRPr="00F3679A">
        <w:rPr>
          <w:rFonts w:ascii="Times New Roman" w:hAnsi="Times New Roman" w:cs="Times New Roman"/>
          <w:sz w:val="24"/>
          <w:szCs w:val="24"/>
        </w:rPr>
        <w:t xml:space="preserve">he proportion of surgeons from different backgrounds. </w:t>
      </w:r>
      <w:r w:rsidR="0051179F">
        <w:rPr>
          <w:rFonts w:ascii="Times New Roman" w:hAnsi="Times New Roman" w:cs="Times New Roman"/>
          <w:sz w:val="24"/>
          <w:szCs w:val="24"/>
        </w:rPr>
        <w:t xml:space="preserve">The answer options </w:t>
      </w:r>
      <w:r w:rsidR="003612A4" w:rsidRPr="00F3679A">
        <w:rPr>
          <w:rFonts w:ascii="Times New Roman" w:hAnsi="Times New Roman" w:cs="Times New Roman"/>
          <w:sz w:val="24"/>
          <w:szCs w:val="24"/>
        </w:rPr>
        <w:t xml:space="preserve">can be </w:t>
      </w:r>
      <w:r w:rsidR="00405F74">
        <w:rPr>
          <w:rFonts w:ascii="Times New Roman" w:hAnsi="Times New Roman" w:cs="Times New Roman"/>
          <w:sz w:val="24"/>
          <w:szCs w:val="24"/>
        </w:rPr>
        <w:t>more granular with</w:t>
      </w:r>
      <w:r w:rsidR="00A75450">
        <w:rPr>
          <w:rFonts w:ascii="Times New Roman" w:hAnsi="Times New Roman" w:cs="Times New Roman"/>
          <w:sz w:val="24"/>
          <w:szCs w:val="24"/>
        </w:rPr>
        <w:t xml:space="preserve"> different</w:t>
      </w:r>
      <w:r w:rsidR="003612A4" w:rsidRPr="00F3679A">
        <w:rPr>
          <w:rFonts w:ascii="Times New Roman" w:hAnsi="Times New Roman" w:cs="Times New Roman"/>
          <w:sz w:val="24"/>
          <w:szCs w:val="24"/>
        </w:rPr>
        <w:t xml:space="preserve"> subspecialties</w:t>
      </w:r>
      <w:r w:rsidR="00133B4F">
        <w:rPr>
          <w:rFonts w:ascii="Times New Roman" w:hAnsi="Times New Roman" w:cs="Times New Roman"/>
          <w:sz w:val="24"/>
          <w:szCs w:val="24"/>
        </w:rPr>
        <w:t xml:space="preserve"> depending on the</w:t>
      </w:r>
      <w:r w:rsidR="001E117F">
        <w:rPr>
          <w:rFonts w:ascii="Times New Roman" w:hAnsi="Times New Roman" w:cs="Times New Roman"/>
          <w:sz w:val="24"/>
          <w:szCs w:val="24"/>
        </w:rPr>
        <w:t xml:space="preserve"> course</w:t>
      </w:r>
      <w:r w:rsidR="00133B4F">
        <w:rPr>
          <w:rFonts w:ascii="Times New Roman" w:hAnsi="Times New Roman" w:cs="Times New Roman"/>
          <w:sz w:val="24"/>
          <w:szCs w:val="24"/>
        </w:rPr>
        <w:t xml:space="preserve"> needs</w:t>
      </w:r>
      <w:r w:rsidR="00A75450">
        <w:rPr>
          <w:rFonts w:ascii="Times New Roman" w:hAnsi="Times New Roman" w:cs="Times New Roman"/>
          <w:sz w:val="24"/>
          <w:szCs w:val="24"/>
        </w:rPr>
        <w:t xml:space="preserve">. It can </w:t>
      </w:r>
      <w:r w:rsidR="00133B4F">
        <w:rPr>
          <w:rFonts w:ascii="Times New Roman" w:hAnsi="Times New Roman" w:cs="Times New Roman"/>
          <w:sz w:val="24"/>
          <w:szCs w:val="24"/>
        </w:rPr>
        <w:t xml:space="preserve">also </w:t>
      </w:r>
      <w:r w:rsidR="00A75450">
        <w:rPr>
          <w:rFonts w:ascii="Times New Roman" w:hAnsi="Times New Roman" w:cs="Times New Roman"/>
          <w:sz w:val="24"/>
          <w:szCs w:val="24"/>
        </w:rPr>
        <w:t>identify</w:t>
      </w:r>
      <w:r w:rsidR="00A75450" w:rsidRPr="00F3679A">
        <w:rPr>
          <w:rFonts w:ascii="Times New Roman" w:hAnsi="Times New Roman" w:cs="Times New Roman"/>
          <w:sz w:val="24"/>
          <w:szCs w:val="24"/>
        </w:rPr>
        <w:t xml:space="preserve"> non-surgeons </w:t>
      </w:r>
      <w:r w:rsidR="00A75450">
        <w:rPr>
          <w:rFonts w:ascii="Times New Roman" w:hAnsi="Times New Roman" w:cs="Times New Roman"/>
          <w:sz w:val="24"/>
          <w:szCs w:val="24"/>
        </w:rPr>
        <w:t xml:space="preserve">for </w:t>
      </w:r>
      <w:r w:rsidR="00A75450" w:rsidRPr="00F3679A">
        <w:rPr>
          <w:rFonts w:ascii="Times New Roman" w:hAnsi="Times New Roman" w:cs="Times New Roman"/>
          <w:sz w:val="24"/>
          <w:szCs w:val="24"/>
        </w:rPr>
        <w:t xml:space="preserve">interdisciplinary education (eg, geriatricians </w:t>
      </w:r>
      <w:r w:rsidR="001E117F">
        <w:rPr>
          <w:rFonts w:ascii="Times New Roman" w:hAnsi="Times New Roman" w:cs="Times New Roman"/>
          <w:sz w:val="24"/>
          <w:szCs w:val="24"/>
        </w:rPr>
        <w:t>in</w:t>
      </w:r>
      <w:r w:rsidR="00A75450" w:rsidRPr="00F3679A">
        <w:rPr>
          <w:rFonts w:ascii="Times New Roman" w:hAnsi="Times New Roman" w:cs="Times New Roman"/>
          <w:sz w:val="24"/>
          <w:szCs w:val="24"/>
        </w:rPr>
        <w:t xml:space="preserve"> </w:t>
      </w:r>
      <w:r w:rsidR="00A75450">
        <w:rPr>
          <w:rFonts w:ascii="Times New Roman" w:hAnsi="Times New Roman" w:cs="Times New Roman"/>
          <w:sz w:val="24"/>
          <w:szCs w:val="24"/>
        </w:rPr>
        <w:t>courses for</w:t>
      </w:r>
      <w:r w:rsidR="00A75450" w:rsidRPr="00F3679A">
        <w:rPr>
          <w:rFonts w:ascii="Times New Roman" w:hAnsi="Times New Roman" w:cs="Times New Roman"/>
          <w:sz w:val="24"/>
          <w:szCs w:val="24"/>
        </w:rPr>
        <w:t xml:space="preserve"> the care of older adults)</w:t>
      </w:r>
      <w:r w:rsidR="00A75450">
        <w:rPr>
          <w:rFonts w:ascii="Times New Roman" w:hAnsi="Times New Roman" w:cs="Times New Roman"/>
          <w:sz w:val="24"/>
          <w:szCs w:val="24"/>
        </w:rPr>
        <w:t>.</w:t>
      </w:r>
    </w:p>
    <w:p w14:paraId="47044316" w14:textId="77777777" w:rsidR="003612A4" w:rsidRDefault="003612A4" w:rsidP="00E160C8">
      <w:pPr>
        <w:spacing w:line="480" w:lineRule="auto"/>
        <w:contextualSpacing/>
        <w:jc w:val="both"/>
        <w:rPr>
          <w:rFonts w:ascii="Times New Roman" w:hAnsi="Times New Roman" w:cs="Times New Roman"/>
          <w:sz w:val="24"/>
          <w:szCs w:val="24"/>
        </w:rPr>
      </w:pPr>
    </w:p>
    <w:p w14:paraId="53732A48" w14:textId="6214EDE3" w:rsidR="00F24857" w:rsidRDefault="00581C9D" w:rsidP="00E160C8">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3</w:t>
      </w:r>
      <w:r w:rsidR="00F24857">
        <w:rPr>
          <w:rFonts w:ascii="Times New Roman" w:hAnsi="Times New Roman" w:cs="Times New Roman"/>
          <w:sz w:val="24"/>
          <w:szCs w:val="24"/>
        </w:rPr>
        <w:t>-4</w:t>
      </w:r>
      <w:r>
        <w:rPr>
          <w:rFonts w:ascii="Times New Roman" w:hAnsi="Times New Roman" w:cs="Times New Roman"/>
          <w:sz w:val="24"/>
          <w:szCs w:val="24"/>
        </w:rPr>
        <w:t>)</w:t>
      </w:r>
      <w:r w:rsidR="00A76C53" w:rsidRPr="00A76C53">
        <w:rPr>
          <w:rFonts w:ascii="Times New Roman" w:hAnsi="Times New Roman" w:cs="Times New Roman"/>
          <w:sz w:val="24"/>
          <w:szCs w:val="24"/>
        </w:rPr>
        <w:t xml:space="preserve"> </w:t>
      </w:r>
      <w:r w:rsidR="00F24857" w:rsidRPr="00F24857">
        <w:rPr>
          <w:rFonts w:ascii="Times New Roman" w:hAnsi="Times New Roman" w:cs="Times New Roman"/>
          <w:sz w:val="24"/>
          <w:szCs w:val="24"/>
        </w:rPr>
        <w:t>How many orthopedic trauma cases do you perform as the primary surgeon on average within a month?</w:t>
      </w:r>
      <w:r w:rsidR="00F24857">
        <w:rPr>
          <w:rFonts w:ascii="Times New Roman" w:hAnsi="Times New Roman" w:cs="Times New Roman"/>
          <w:sz w:val="24"/>
          <w:szCs w:val="24"/>
        </w:rPr>
        <w:t xml:space="preserve"> And </w:t>
      </w:r>
      <w:r w:rsidR="00F24857" w:rsidRPr="00F24857">
        <w:rPr>
          <w:rFonts w:ascii="Times New Roman" w:hAnsi="Times New Roman" w:cs="Times New Roman"/>
          <w:sz w:val="24"/>
          <w:szCs w:val="24"/>
        </w:rPr>
        <w:t>as the assistant surgeon?</w:t>
      </w:r>
    </w:p>
    <w:p w14:paraId="662514EC" w14:textId="4FECA780" w:rsidR="00E160C8" w:rsidRPr="00143F24" w:rsidRDefault="00F24857" w:rsidP="00E160C8">
      <w:pPr>
        <w:spacing w:line="480" w:lineRule="auto"/>
        <w:contextualSpacing/>
        <w:jc w:val="both"/>
        <w:rPr>
          <w:rFonts w:ascii="Times New Roman" w:hAnsi="Times New Roman" w:cs="Times New Roman"/>
          <w:sz w:val="24"/>
          <w:szCs w:val="24"/>
        </w:rPr>
      </w:pPr>
      <w:r>
        <w:rPr>
          <w:noProof/>
        </w:rPr>
        <w:lastRenderedPageBreak/>
        <w:drawing>
          <wp:inline distT="0" distB="0" distL="0" distR="0" wp14:anchorId="44AFDC76" wp14:editId="7F93C343">
            <wp:extent cx="5760720" cy="4074160"/>
            <wp:effectExtent l="19050" t="19050" r="11430" b="215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4074160"/>
                    </a:xfrm>
                    <a:prstGeom prst="rect">
                      <a:avLst/>
                    </a:prstGeom>
                    <a:ln w="3175">
                      <a:solidFill>
                        <a:schemeClr val="tx1"/>
                      </a:solidFill>
                    </a:ln>
                  </pic:spPr>
                </pic:pic>
              </a:graphicData>
            </a:graphic>
          </wp:inline>
        </w:drawing>
      </w:r>
      <w:r w:rsidR="00CC7160">
        <w:rPr>
          <w:rFonts w:ascii="Times New Roman" w:hAnsi="Times New Roman" w:cs="Times New Roman"/>
          <w:sz w:val="24"/>
          <w:szCs w:val="24"/>
        </w:rPr>
        <w:t xml:space="preserve">This estimates </w:t>
      </w:r>
      <w:r w:rsidR="00A76C53">
        <w:rPr>
          <w:rFonts w:ascii="Times New Roman" w:hAnsi="Times New Roman" w:cs="Times New Roman"/>
          <w:sz w:val="24"/>
          <w:szCs w:val="24"/>
        </w:rPr>
        <w:t>expertise level</w:t>
      </w:r>
      <w:r w:rsidR="00134535">
        <w:rPr>
          <w:rFonts w:ascii="Times New Roman" w:hAnsi="Times New Roman" w:cs="Times New Roman"/>
          <w:sz w:val="24"/>
          <w:szCs w:val="24"/>
        </w:rPr>
        <w:t xml:space="preserve"> and </w:t>
      </w:r>
      <w:r w:rsidR="00134535" w:rsidRPr="00134535">
        <w:rPr>
          <w:rFonts w:ascii="Times New Roman" w:hAnsi="Times New Roman" w:cs="Times New Roman"/>
          <w:sz w:val="24"/>
          <w:szCs w:val="24"/>
        </w:rPr>
        <w:t>helps identify if the participants are already managing a lot of patients or are starting in this area.</w:t>
      </w:r>
      <w:r w:rsidR="00016234">
        <w:rPr>
          <w:rFonts w:ascii="Times New Roman" w:hAnsi="Times New Roman" w:cs="Times New Roman"/>
          <w:sz w:val="24"/>
          <w:szCs w:val="24"/>
        </w:rPr>
        <w:t xml:space="preserve"> </w:t>
      </w:r>
    </w:p>
    <w:p w14:paraId="19408E9D" w14:textId="08200C12" w:rsidR="00E160C8" w:rsidRDefault="00E160C8" w:rsidP="00E160C8">
      <w:pPr>
        <w:spacing w:line="480" w:lineRule="auto"/>
        <w:contextualSpacing/>
        <w:jc w:val="both"/>
        <w:rPr>
          <w:rFonts w:ascii="Times New Roman" w:hAnsi="Times New Roman" w:cs="Times New Roman"/>
          <w:sz w:val="24"/>
          <w:szCs w:val="24"/>
        </w:rPr>
      </w:pPr>
    </w:p>
    <w:p w14:paraId="707F5B40" w14:textId="3A5FB4C4" w:rsidR="00E160C8" w:rsidRDefault="00E160C8" w:rsidP="00E160C8">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5)</w:t>
      </w:r>
      <w:r w:rsidR="00143F24" w:rsidRPr="00143F24">
        <w:t xml:space="preserve"> </w:t>
      </w:r>
      <w:r w:rsidR="00143F24" w:rsidRPr="00143F24">
        <w:rPr>
          <w:rFonts w:ascii="Times New Roman" w:hAnsi="Times New Roman" w:cs="Times New Roman"/>
          <w:sz w:val="24"/>
          <w:szCs w:val="24"/>
        </w:rPr>
        <w:t>What is your main practice location?</w:t>
      </w:r>
    </w:p>
    <w:p w14:paraId="0BC243B4" w14:textId="24E71F28" w:rsidR="00E160C8" w:rsidRDefault="00E160C8" w:rsidP="00E160C8">
      <w:pPr>
        <w:spacing w:line="480" w:lineRule="auto"/>
        <w:contextualSpacing/>
        <w:jc w:val="both"/>
        <w:rPr>
          <w:rFonts w:ascii="Times New Roman" w:hAnsi="Times New Roman" w:cs="Times New Roman"/>
          <w:sz w:val="24"/>
          <w:szCs w:val="24"/>
        </w:rPr>
      </w:pPr>
      <w:r>
        <w:rPr>
          <w:noProof/>
        </w:rPr>
        <w:drawing>
          <wp:inline distT="0" distB="0" distL="0" distR="0" wp14:anchorId="085A38E2" wp14:editId="1F28A7DB">
            <wp:extent cx="5760021" cy="2258324"/>
            <wp:effectExtent l="19050" t="19050" r="12700" b="279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5238" b="7903"/>
                    <a:stretch/>
                  </pic:blipFill>
                  <pic:spPr bwMode="auto">
                    <a:xfrm>
                      <a:off x="0" y="0"/>
                      <a:ext cx="5760720" cy="2258598"/>
                    </a:xfrm>
                    <a:prstGeom prst="rect">
                      <a:avLst/>
                    </a:prstGeom>
                    <a:ln w="317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r w:rsidR="00143F24">
        <w:rPr>
          <w:rFonts w:ascii="Times New Roman" w:hAnsi="Times New Roman" w:cs="Times New Roman"/>
          <w:sz w:val="24"/>
          <w:szCs w:val="24"/>
        </w:rPr>
        <w:t>This</w:t>
      </w:r>
      <w:r w:rsidR="007178BA">
        <w:rPr>
          <w:rFonts w:ascii="Times New Roman" w:hAnsi="Times New Roman" w:cs="Times New Roman"/>
          <w:sz w:val="24"/>
          <w:szCs w:val="24"/>
        </w:rPr>
        <w:t xml:space="preserve"> question</w:t>
      </w:r>
      <w:r w:rsidR="00143F24">
        <w:rPr>
          <w:rFonts w:ascii="Times New Roman" w:hAnsi="Times New Roman" w:cs="Times New Roman"/>
          <w:sz w:val="24"/>
          <w:szCs w:val="24"/>
        </w:rPr>
        <w:t xml:space="preserve"> </w:t>
      </w:r>
      <w:r w:rsidRPr="00F3679A">
        <w:rPr>
          <w:rFonts w:ascii="Times New Roman" w:hAnsi="Times New Roman" w:cs="Times New Roman"/>
          <w:sz w:val="24"/>
          <w:szCs w:val="24"/>
        </w:rPr>
        <w:t>estimate</w:t>
      </w:r>
      <w:r w:rsidR="0051179F">
        <w:rPr>
          <w:rFonts w:ascii="Times New Roman" w:hAnsi="Times New Roman" w:cs="Times New Roman"/>
          <w:sz w:val="24"/>
          <w:szCs w:val="24"/>
        </w:rPr>
        <w:t>s</w:t>
      </w:r>
      <w:r>
        <w:rPr>
          <w:rFonts w:ascii="Times New Roman" w:hAnsi="Times New Roman" w:cs="Times New Roman"/>
          <w:sz w:val="24"/>
          <w:szCs w:val="24"/>
        </w:rPr>
        <w:t xml:space="preserve"> the</w:t>
      </w:r>
      <w:r w:rsidRPr="00F3679A">
        <w:rPr>
          <w:rFonts w:ascii="Times New Roman" w:hAnsi="Times New Roman" w:cs="Times New Roman"/>
          <w:sz w:val="24"/>
          <w:szCs w:val="24"/>
        </w:rPr>
        <w:t xml:space="preserve"> access to systems, technology, peers, and further teaching (</w:t>
      </w:r>
      <w:r>
        <w:rPr>
          <w:rFonts w:ascii="Times New Roman" w:hAnsi="Times New Roman" w:cs="Times New Roman"/>
          <w:sz w:val="24"/>
          <w:szCs w:val="24"/>
        </w:rPr>
        <w:t xml:space="preserve">e.g. </w:t>
      </w:r>
      <w:r w:rsidRPr="00F3679A">
        <w:rPr>
          <w:rFonts w:ascii="Times New Roman" w:hAnsi="Times New Roman" w:cs="Times New Roman"/>
          <w:sz w:val="24"/>
          <w:szCs w:val="24"/>
        </w:rPr>
        <w:t xml:space="preserve">a surgeon in a university hospital or level I trauma center usually has access to more peers and faculty and to more equipped departments than surgeons in community hospitals). We based </w:t>
      </w:r>
      <w:r w:rsidRPr="00F3679A">
        <w:rPr>
          <w:rFonts w:ascii="Times New Roman" w:hAnsi="Times New Roman" w:cs="Times New Roman"/>
          <w:sz w:val="24"/>
          <w:szCs w:val="24"/>
        </w:rPr>
        <w:lastRenderedPageBreak/>
        <w:t xml:space="preserve">the answer options on World Health Organization categories and common terms used. The categories may not be optimal for some countries and may have some overlap, however, responses generally provide a comprehensive overview of the main proportions. </w:t>
      </w:r>
    </w:p>
    <w:p w14:paraId="4596077E" w14:textId="77777777" w:rsidR="00143F24" w:rsidRDefault="00143F24" w:rsidP="00143F24">
      <w:pPr>
        <w:spacing w:line="480" w:lineRule="auto"/>
        <w:contextualSpacing/>
        <w:jc w:val="both"/>
        <w:rPr>
          <w:rFonts w:ascii="Times New Roman" w:hAnsi="Times New Roman" w:cs="Times New Roman"/>
          <w:sz w:val="24"/>
          <w:szCs w:val="24"/>
        </w:rPr>
      </w:pPr>
    </w:p>
    <w:p w14:paraId="7B5D19B2" w14:textId="62356204" w:rsidR="0051179F" w:rsidRDefault="00143F24" w:rsidP="00143F24">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6) </w:t>
      </w:r>
      <w:r w:rsidR="0051179F" w:rsidRPr="0051179F">
        <w:rPr>
          <w:rFonts w:ascii="Times New Roman" w:hAnsi="Times New Roman" w:cs="Times New Roman"/>
          <w:sz w:val="24"/>
          <w:szCs w:val="24"/>
        </w:rPr>
        <w:t>My self-assessed expertise level is...</w:t>
      </w:r>
    </w:p>
    <w:p w14:paraId="4AA95C22" w14:textId="1530A4E5" w:rsidR="0051179F" w:rsidRPr="00581C9D" w:rsidRDefault="00E160C8" w:rsidP="0051179F">
      <w:pPr>
        <w:spacing w:line="480" w:lineRule="auto"/>
        <w:contextualSpacing/>
        <w:jc w:val="both"/>
        <w:rPr>
          <w:rFonts w:ascii="Times New Roman" w:hAnsi="Times New Roman" w:cs="Times New Roman"/>
          <w:sz w:val="24"/>
          <w:szCs w:val="24"/>
        </w:rPr>
      </w:pPr>
      <w:r>
        <w:rPr>
          <w:noProof/>
        </w:rPr>
        <w:drawing>
          <wp:inline distT="0" distB="0" distL="0" distR="0" wp14:anchorId="558292CB" wp14:editId="65983213">
            <wp:extent cx="5728408" cy="3189977"/>
            <wp:effectExtent l="19050" t="19050" r="24765" b="1079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5392" b="3444"/>
                    <a:stretch/>
                  </pic:blipFill>
                  <pic:spPr bwMode="auto">
                    <a:xfrm>
                      <a:off x="0" y="0"/>
                      <a:ext cx="5733051" cy="3192562"/>
                    </a:xfrm>
                    <a:prstGeom prst="rect">
                      <a:avLst/>
                    </a:prstGeom>
                    <a:ln w="317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r w:rsidR="0051179F" w:rsidRPr="0051179F">
        <w:rPr>
          <w:rFonts w:ascii="Times New Roman" w:hAnsi="Times New Roman" w:cs="Times New Roman"/>
          <w:sz w:val="24"/>
          <w:szCs w:val="24"/>
        </w:rPr>
        <w:t xml:space="preserve"> </w:t>
      </w:r>
    </w:p>
    <w:p w14:paraId="7E3D22EA" w14:textId="1AA45035" w:rsidR="00E160C8" w:rsidRPr="005A03E9" w:rsidRDefault="00E160C8" w:rsidP="00E160C8">
      <w:pPr>
        <w:spacing w:line="480" w:lineRule="auto"/>
        <w:contextualSpacing/>
        <w:jc w:val="both"/>
        <w:rPr>
          <w:rFonts w:ascii="Times New Roman" w:hAnsi="Times New Roman" w:cs="Times New Roman"/>
          <w:sz w:val="24"/>
          <w:szCs w:val="24"/>
          <w:highlight w:val="yellow"/>
        </w:rPr>
      </w:pPr>
      <w:r w:rsidRPr="00E065F3">
        <w:rPr>
          <w:rFonts w:ascii="Times New Roman" w:hAnsi="Times New Roman" w:cs="Times New Roman"/>
          <w:sz w:val="24"/>
          <w:szCs w:val="24"/>
        </w:rPr>
        <w:t xml:space="preserve">We ask participants to complete a table of self-assessed expertise </w:t>
      </w:r>
      <w:r w:rsidR="0051179F">
        <w:rPr>
          <w:rFonts w:ascii="Times New Roman" w:hAnsi="Times New Roman" w:cs="Times New Roman"/>
          <w:sz w:val="24"/>
          <w:szCs w:val="24"/>
        </w:rPr>
        <w:t>on a</w:t>
      </w:r>
      <w:r w:rsidR="0051179F" w:rsidRPr="006333E4">
        <w:rPr>
          <w:rFonts w:ascii="Times New Roman" w:hAnsi="Times New Roman" w:cs="Times New Roman"/>
          <w:sz w:val="24"/>
          <w:szCs w:val="24"/>
        </w:rPr>
        <w:t xml:space="preserve"> </w:t>
      </w:r>
      <w:r w:rsidR="0051179F">
        <w:rPr>
          <w:rFonts w:ascii="Times New Roman" w:hAnsi="Times New Roman" w:cs="Times New Roman"/>
          <w:sz w:val="24"/>
          <w:szCs w:val="24"/>
        </w:rPr>
        <w:t>four</w:t>
      </w:r>
      <w:r w:rsidR="0051179F" w:rsidRPr="006333E4">
        <w:rPr>
          <w:rFonts w:ascii="Times New Roman" w:hAnsi="Times New Roman" w:cs="Times New Roman"/>
          <w:sz w:val="24"/>
          <w:szCs w:val="24"/>
        </w:rPr>
        <w:t xml:space="preserve">-point Likert scale </w:t>
      </w:r>
      <w:r w:rsidRPr="00E065F3">
        <w:rPr>
          <w:rFonts w:ascii="Times New Roman" w:hAnsi="Times New Roman" w:cs="Times New Roman"/>
          <w:sz w:val="24"/>
          <w:szCs w:val="24"/>
        </w:rPr>
        <w:t>regarding all the subspecialty topics we offer education in</w:t>
      </w:r>
      <w:r w:rsidR="00E353E2">
        <w:rPr>
          <w:rFonts w:ascii="Times New Roman" w:hAnsi="Times New Roman" w:cs="Times New Roman"/>
          <w:sz w:val="24"/>
          <w:szCs w:val="24"/>
        </w:rPr>
        <w:t xml:space="preserve">. </w:t>
      </w:r>
      <w:r w:rsidR="00E353E2" w:rsidRPr="00E065F3">
        <w:rPr>
          <w:rFonts w:ascii="Times New Roman" w:hAnsi="Times New Roman" w:cs="Times New Roman"/>
          <w:sz w:val="24"/>
          <w:szCs w:val="24"/>
        </w:rPr>
        <w:t>The data are presented as a heat map of expertise along with median score</w:t>
      </w:r>
      <w:r w:rsidR="002B3F92">
        <w:rPr>
          <w:rFonts w:ascii="Times New Roman" w:hAnsi="Times New Roman" w:cs="Times New Roman"/>
          <w:sz w:val="24"/>
          <w:szCs w:val="24"/>
        </w:rPr>
        <w:t>s</w:t>
      </w:r>
      <w:r w:rsidR="00E353E2" w:rsidRPr="00E065F3">
        <w:rPr>
          <w:rFonts w:ascii="Times New Roman" w:hAnsi="Times New Roman" w:cs="Times New Roman"/>
          <w:sz w:val="24"/>
          <w:szCs w:val="24"/>
        </w:rPr>
        <w:t>.</w:t>
      </w:r>
      <w:r w:rsidR="00E353E2">
        <w:rPr>
          <w:rFonts w:ascii="Times New Roman" w:hAnsi="Times New Roman" w:cs="Times New Roman"/>
          <w:sz w:val="24"/>
          <w:szCs w:val="24"/>
        </w:rPr>
        <w:t xml:space="preserve"> T</w:t>
      </w:r>
      <w:r w:rsidRPr="00E065F3">
        <w:rPr>
          <w:rFonts w:ascii="Times New Roman" w:hAnsi="Times New Roman" w:cs="Times New Roman"/>
          <w:sz w:val="24"/>
          <w:szCs w:val="24"/>
        </w:rPr>
        <w:t xml:space="preserve">his helps </w:t>
      </w:r>
      <w:r w:rsidR="00E353E2">
        <w:rPr>
          <w:rFonts w:ascii="Times New Roman" w:hAnsi="Times New Roman" w:cs="Times New Roman"/>
          <w:sz w:val="24"/>
          <w:szCs w:val="24"/>
        </w:rPr>
        <w:t>to see</w:t>
      </w:r>
      <w:r w:rsidRPr="00E065F3">
        <w:rPr>
          <w:rFonts w:ascii="Times New Roman" w:hAnsi="Times New Roman" w:cs="Times New Roman"/>
          <w:sz w:val="24"/>
          <w:szCs w:val="24"/>
        </w:rPr>
        <w:t xml:space="preserve"> areas of strength </w:t>
      </w:r>
      <w:r w:rsidR="00E353E2">
        <w:rPr>
          <w:rFonts w:ascii="Times New Roman" w:hAnsi="Times New Roman" w:cs="Times New Roman"/>
          <w:sz w:val="24"/>
          <w:szCs w:val="24"/>
        </w:rPr>
        <w:t>in other specialties and to</w:t>
      </w:r>
      <w:r w:rsidRPr="00E065F3">
        <w:rPr>
          <w:rFonts w:ascii="Times New Roman" w:hAnsi="Times New Roman" w:cs="Times New Roman"/>
          <w:sz w:val="24"/>
          <w:szCs w:val="24"/>
        </w:rPr>
        <w:t xml:space="preserve"> </w:t>
      </w:r>
      <w:r w:rsidR="00E353E2" w:rsidRPr="00E065F3">
        <w:rPr>
          <w:rFonts w:ascii="Times New Roman" w:hAnsi="Times New Roman" w:cs="Times New Roman"/>
          <w:sz w:val="24"/>
          <w:szCs w:val="24"/>
        </w:rPr>
        <w:t>create a profile of the proportion of the audience who have High, Medium, and Low expertise in several areas</w:t>
      </w:r>
      <w:r w:rsidR="00E353E2">
        <w:rPr>
          <w:rFonts w:ascii="Times New Roman" w:hAnsi="Times New Roman" w:cs="Times New Roman"/>
          <w:sz w:val="24"/>
          <w:szCs w:val="24"/>
        </w:rPr>
        <w:t>.</w:t>
      </w:r>
    </w:p>
    <w:p w14:paraId="1748529E" w14:textId="77777777" w:rsidR="00E006DE" w:rsidRDefault="00E006DE" w:rsidP="00E160C8">
      <w:pPr>
        <w:spacing w:line="480" w:lineRule="auto"/>
        <w:contextualSpacing/>
        <w:jc w:val="both"/>
        <w:rPr>
          <w:rFonts w:ascii="Times New Roman" w:hAnsi="Times New Roman" w:cs="Times New Roman"/>
          <w:sz w:val="24"/>
          <w:szCs w:val="24"/>
        </w:rPr>
      </w:pPr>
    </w:p>
    <w:p w14:paraId="3BC06D39" w14:textId="141D09C2" w:rsidR="00E160C8" w:rsidRDefault="00E160C8" w:rsidP="00E160C8">
      <w:pPr>
        <w:spacing w:line="480" w:lineRule="auto"/>
        <w:contextualSpacing/>
        <w:jc w:val="both"/>
        <w:rPr>
          <w:rFonts w:ascii="Times New Roman" w:hAnsi="Times New Roman" w:cs="Times New Roman"/>
          <w:sz w:val="24"/>
          <w:szCs w:val="24"/>
        </w:rPr>
      </w:pPr>
      <w:r w:rsidRPr="00E006DE">
        <w:rPr>
          <w:rFonts w:ascii="Times New Roman" w:hAnsi="Times New Roman" w:cs="Times New Roman"/>
          <w:i/>
          <w:iCs/>
          <w:sz w:val="24"/>
          <w:szCs w:val="24"/>
        </w:rPr>
        <w:t>Motivation</w:t>
      </w:r>
      <w:r w:rsidRPr="002A3D48">
        <w:rPr>
          <w:rFonts w:ascii="Times New Roman" w:hAnsi="Times New Roman" w:cs="Times New Roman"/>
          <w:sz w:val="24"/>
          <w:szCs w:val="24"/>
        </w:rPr>
        <w:t xml:space="preserve"> has </w:t>
      </w:r>
      <w:r w:rsidR="0067609C">
        <w:rPr>
          <w:rFonts w:ascii="Times New Roman" w:hAnsi="Times New Roman" w:cs="Times New Roman"/>
          <w:sz w:val="24"/>
          <w:szCs w:val="24"/>
        </w:rPr>
        <w:t>subjective and objective</w:t>
      </w:r>
      <w:r w:rsidRPr="002A3D48">
        <w:rPr>
          <w:rFonts w:ascii="Times New Roman" w:hAnsi="Times New Roman" w:cs="Times New Roman"/>
          <w:sz w:val="24"/>
          <w:szCs w:val="24"/>
        </w:rPr>
        <w:t xml:space="preserve"> question</w:t>
      </w:r>
      <w:r w:rsidR="0067609C">
        <w:rPr>
          <w:rFonts w:ascii="Times New Roman" w:hAnsi="Times New Roman" w:cs="Times New Roman"/>
          <w:sz w:val="24"/>
          <w:szCs w:val="24"/>
        </w:rPr>
        <w:t>s</w:t>
      </w:r>
      <w:r w:rsidR="00E006DE">
        <w:rPr>
          <w:rFonts w:ascii="Times New Roman" w:hAnsi="Times New Roman" w:cs="Times New Roman"/>
          <w:sz w:val="24"/>
          <w:szCs w:val="24"/>
        </w:rPr>
        <w:t xml:space="preserve"> </w:t>
      </w:r>
      <w:r w:rsidR="0067609C">
        <w:rPr>
          <w:rFonts w:ascii="Times New Roman" w:hAnsi="Times New Roman" w:cs="Times New Roman"/>
          <w:sz w:val="24"/>
          <w:szCs w:val="24"/>
        </w:rPr>
        <w:t xml:space="preserve">(generating "gap scores" </w:t>
      </w:r>
      <w:r w:rsidR="00E006DE">
        <w:rPr>
          <w:rFonts w:ascii="Times New Roman" w:hAnsi="Times New Roman" w:cs="Times New Roman"/>
          <w:sz w:val="24"/>
          <w:szCs w:val="24"/>
        </w:rPr>
        <w:t xml:space="preserve">and </w:t>
      </w:r>
      <w:r w:rsidR="0067609C">
        <w:rPr>
          <w:rFonts w:ascii="Times New Roman" w:hAnsi="Times New Roman" w:cs="Times New Roman"/>
          <w:sz w:val="24"/>
          <w:szCs w:val="24"/>
        </w:rPr>
        <w:t>scores for</w:t>
      </w:r>
      <w:r w:rsidR="00E006DE">
        <w:rPr>
          <w:rFonts w:ascii="Times New Roman" w:hAnsi="Times New Roman" w:cs="Times New Roman"/>
          <w:sz w:val="24"/>
          <w:szCs w:val="24"/>
        </w:rPr>
        <w:t xml:space="preserve"> optional </w:t>
      </w:r>
      <w:r w:rsidR="00316BDC">
        <w:rPr>
          <w:rFonts w:ascii="Times New Roman" w:hAnsi="Times New Roman" w:cs="Times New Roman"/>
          <w:sz w:val="24"/>
          <w:szCs w:val="24"/>
        </w:rPr>
        <w:t>multiple-choice questions (</w:t>
      </w:r>
      <w:r w:rsidR="00E006DE">
        <w:rPr>
          <w:rFonts w:ascii="Times New Roman" w:hAnsi="Times New Roman" w:cs="Times New Roman"/>
          <w:sz w:val="24"/>
          <w:szCs w:val="24"/>
        </w:rPr>
        <w:t>MCQs</w:t>
      </w:r>
      <w:r w:rsidR="00316BDC">
        <w:rPr>
          <w:rFonts w:ascii="Times New Roman" w:hAnsi="Times New Roman" w:cs="Times New Roman"/>
          <w:sz w:val="24"/>
          <w:szCs w:val="24"/>
        </w:rPr>
        <w:t>)</w:t>
      </w:r>
      <w:r w:rsidR="00822684">
        <w:rPr>
          <w:rFonts w:ascii="Times New Roman" w:hAnsi="Times New Roman" w:cs="Times New Roman"/>
          <w:sz w:val="24"/>
          <w:szCs w:val="24"/>
        </w:rPr>
        <w:t>)</w:t>
      </w:r>
      <w:r w:rsidR="00E006DE">
        <w:rPr>
          <w:rFonts w:ascii="Times New Roman" w:hAnsi="Times New Roman" w:cs="Times New Roman"/>
          <w:sz w:val="24"/>
          <w:szCs w:val="24"/>
        </w:rPr>
        <w:t>:</w:t>
      </w:r>
    </w:p>
    <w:p w14:paraId="0087622F" w14:textId="23D0C27A" w:rsidR="00E006DE" w:rsidRPr="002A3D48" w:rsidRDefault="00E006DE" w:rsidP="00E160C8">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Pr="00E006DE">
        <w:rPr>
          <w:rFonts w:ascii="Times New Roman" w:hAnsi="Times New Roman" w:cs="Times New Roman"/>
          <w:sz w:val="24"/>
          <w:szCs w:val="24"/>
        </w:rPr>
        <w:t>What is your present and desired level of ability for the following competencies?</w:t>
      </w:r>
    </w:p>
    <w:p w14:paraId="602B0A0F" w14:textId="77777777" w:rsidR="00E160C8" w:rsidRPr="005A03E9" w:rsidRDefault="00E160C8" w:rsidP="00E160C8">
      <w:pPr>
        <w:spacing w:line="480" w:lineRule="auto"/>
        <w:contextualSpacing/>
        <w:jc w:val="both"/>
        <w:rPr>
          <w:rFonts w:ascii="Times New Roman" w:hAnsi="Times New Roman" w:cs="Times New Roman"/>
          <w:sz w:val="24"/>
          <w:szCs w:val="24"/>
          <w:highlight w:val="yellow"/>
        </w:rPr>
      </w:pPr>
      <w:r>
        <w:rPr>
          <w:noProof/>
        </w:rPr>
        <w:lastRenderedPageBreak/>
        <w:drawing>
          <wp:inline distT="0" distB="0" distL="0" distR="0" wp14:anchorId="5CE6A4FB" wp14:editId="77B79125">
            <wp:extent cx="4796287" cy="3924300"/>
            <wp:effectExtent l="19050" t="19050" r="23495" b="190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16742"/>
                    <a:stretch/>
                  </pic:blipFill>
                  <pic:spPr bwMode="auto">
                    <a:xfrm>
                      <a:off x="0" y="0"/>
                      <a:ext cx="4796287" cy="3924300"/>
                    </a:xfrm>
                    <a:prstGeom prst="rect">
                      <a:avLst/>
                    </a:prstGeom>
                    <a:ln w="3175">
                      <a:solidFill>
                        <a:schemeClr val="tx1"/>
                      </a:solidFill>
                    </a:ln>
                    <a:extLst>
                      <a:ext uri="{53640926-AAD7-44D8-BBD7-CCE9431645EC}">
                        <a14:shadowObscured xmlns:a14="http://schemas.microsoft.com/office/drawing/2010/main"/>
                      </a:ext>
                    </a:extLst>
                  </pic:spPr>
                </pic:pic>
              </a:graphicData>
            </a:graphic>
          </wp:inline>
        </w:drawing>
      </w:r>
    </w:p>
    <w:p w14:paraId="6C5CB1DA" w14:textId="620BBEE3" w:rsidR="0076228F" w:rsidRDefault="0076228F" w:rsidP="0076228F">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Motivation is </w:t>
      </w:r>
      <w:r w:rsidRPr="00174580">
        <w:rPr>
          <w:rFonts w:ascii="Times New Roman" w:hAnsi="Times New Roman" w:cs="Times New Roman"/>
          <w:sz w:val="24"/>
          <w:szCs w:val="24"/>
        </w:rPr>
        <w:t>the fundamental precondition for successful learning</w:t>
      </w:r>
      <w:r>
        <w:rPr>
          <w:rFonts w:ascii="Times New Roman" w:hAnsi="Times New Roman" w:cs="Times New Roman"/>
          <w:sz w:val="24"/>
          <w:szCs w:val="24"/>
        </w:rPr>
        <w:t xml:space="preserve"> and is based on</w:t>
      </w:r>
      <w:r w:rsidRPr="005A03E9">
        <w:rPr>
          <w:rFonts w:ascii="Times New Roman" w:hAnsi="Times New Roman" w:cs="Times New Roman"/>
          <w:sz w:val="24"/>
          <w:szCs w:val="24"/>
        </w:rPr>
        <w:t xml:space="preserve"> needs</w:t>
      </w:r>
      <w:r w:rsidR="00C45DFD">
        <w:rPr>
          <w:rFonts w:ascii="Times New Roman" w:hAnsi="Times New Roman" w:cs="Times New Roman"/>
          <w:sz w:val="24"/>
          <w:szCs w:val="24"/>
        </w:rPr>
        <w:fldChar w:fldCharType="begin"/>
      </w:r>
      <w:r w:rsidR="00C45DFD">
        <w:rPr>
          <w:rFonts w:ascii="Times New Roman" w:hAnsi="Times New Roman" w:cs="Times New Roman"/>
          <w:sz w:val="24"/>
          <w:szCs w:val="24"/>
        </w:rPr>
        <w:instrText xml:space="preserve"> ADDIN EN.CITE &lt;EndNote&gt;&lt;Cite&gt;&lt;Author&gt;Fox&lt;/Author&gt;&lt;RecNum&gt;29&lt;/RecNum&gt;&lt;DisplayText&gt;&lt;style face="superscript"&gt;1&lt;/style&gt;&lt;/DisplayText&gt;&lt;record&gt;&lt;rec-number&gt;29&lt;/rec-number&gt;&lt;foreign-keys&gt;&lt;key app="EN" db-id="avxwpr2zp05wpkevs0nppd2f2a09asw2v2sd" timestamp="1592998190"&gt;29&lt;/key&gt;&lt;/foreign-keys&gt;&lt;ref-type name="Journal Article"&gt;17&lt;/ref-type&gt;&lt;contributors&gt;&lt;authors&gt;&lt;author&gt;Fox, RD&lt;/author&gt;&lt;author&gt;Miner, C&lt;/author&gt;&lt;/authors&gt;&lt;/contributors&gt;&lt;titles&gt;&lt;title&gt;Motivation and the facilitation of change, learning and participation in educational programs for health professionals. J Cont Educ Health Prof 1999;19:132-141&lt;/title&gt;&lt;/titles&gt;&lt;dates&gt;&lt;/dates&gt;&lt;urls&gt;&lt;/urls&gt;&lt;/record&gt;&lt;/Cite&gt;&lt;/EndNote&gt;</w:instrText>
      </w:r>
      <w:r w:rsidR="00C45DFD">
        <w:rPr>
          <w:rFonts w:ascii="Times New Roman" w:hAnsi="Times New Roman" w:cs="Times New Roman"/>
          <w:sz w:val="24"/>
          <w:szCs w:val="24"/>
        </w:rPr>
        <w:fldChar w:fldCharType="separate"/>
      </w:r>
      <w:r w:rsidR="00C45DFD" w:rsidRPr="00C45DFD">
        <w:rPr>
          <w:rFonts w:ascii="Times New Roman" w:hAnsi="Times New Roman" w:cs="Times New Roman"/>
          <w:noProof/>
          <w:sz w:val="24"/>
          <w:szCs w:val="24"/>
          <w:vertAlign w:val="superscript"/>
        </w:rPr>
        <w:t>1</w:t>
      </w:r>
      <w:r w:rsidR="00C45DFD">
        <w:rPr>
          <w:rFonts w:ascii="Times New Roman" w:hAnsi="Times New Roman" w:cs="Times New Roman"/>
          <w:sz w:val="24"/>
          <w:szCs w:val="24"/>
        </w:rPr>
        <w:fldChar w:fldCharType="end"/>
      </w:r>
      <w:r>
        <w:rPr>
          <w:rFonts w:ascii="Times New Roman" w:hAnsi="Times New Roman" w:cs="Times New Roman"/>
          <w:sz w:val="24"/>
          <w:szCs w:val="24"/>
        </w:rPr>
        <w:t>.</w:t>
      </w:r>
      <w:r w:rsidRPr="00174580">
        <w:rPr>
          <w:rFonts w:ascii="Times New Roman" w:hAnsi="Times New Roman" w:cs="Times New Roman"/>
          <w:sz w:val="24"/>
          <w:szCs w:val="24"/>
        </w:rPr>
        <w:t xml:space="preserve"> </w:t>
      </w:r>
      <w:r>
        <w:rPr>
          <w:rFonts w:ascii="Times New Roman" w:hAnsi="Times New Roman" w:cs="Times New Roman"/>
          <w:sz w:val="24"/>
          <w:szCs w:val="24"/>
        </w:rPr>
        <w:t>For each defined event competency (or learning objective) we ask participant</w:t>
      </w:r>
      <w:r w:rsidR="0067609C">
        <w:rPr>
          <w:rFonts w:ascii="Times New Roman" w:hAnsi="Times New Roman" w:cs="Times New Roman"/>
          <w:sz w:val="24"/>
          <w:szCs w:val="24"/>
        </w:rPr>
        <w:t>s</w:t>
      </w:r>
      <w:r>
        <w:rPr>
          <w:rFonts w:ascii="Times New Roman" w:hAnsi="Times New Roman" w:cs="Times New Roman"/>
          <w:sz w:val="24"/>
          <w:szCs w:val="24"/>
        </w:rPr>
        <w:t xml:space="preserve"> to </w:t>
      </w:r>
      <w:r w:rsidR="0067609C">
        <w:rPr>
          <w:rFonts w:ascii="Times New Roman" w:hAnsi="Times New Roman" w:cs="Times New Roman"/>
          <w:sz w:val="24"/>
          <w:szCs w:val="24"/>
        </w:rPr>
        <w:t>rate</w:t>
      </w:r>
      <w:r w:rsidR="00CD24C9">
        <w:rPr>
          <w:rFonts w:ascii="Times New Roman" w:hAnsi="Times New Roman" w:cs="Times New Roman"/>
          <w:sz w:val="24"/>
          <w:szCs w:val="24"/>
        </w:rPr>
        <w:t xml:space="preserve"> </w:t>
      </w:r>
      <w:r>
        <w:rPr>
          <w:rFonts w:ascii="Times New Roman" w:hAnsi="Times New Roman" w:cs="Times New Roman"/>
          <w:sz w:val="24"/>
          <w:szCs w:val="24"/>
        </w:rPr>
        <w:t xml:space="preserve">their present and desired level of ability on a 1 to 5 </w:t>
      </w:r>
      <w:r w:rsidRPr="006333E4">
        <w:rPr>
          <w:rFonts w:ascii="Times New Roman" w:hAnsi="Times New Roman" w:cs="Times New Roman"/>
          <w:sz w:val="24"/>
          <w:szCs w:val="24"/>
        </w:rPr>
        <w:t>Likert</w:t>
      </w:r>
      <w:r>
        <w:rPr>
          <w:rFonts w:ascii="Times New Roman" w:hAnsi="Times New Roman" w:cs="Times New Roman"/>
          <w:sz w:val="24"/>
          <w:szCs w:val="24"/>
        </w:rPr>
        <w:t>-</w:t>
      </w:r>
      <w:r w:rsidRPr="006333E4">
        <w:rPr>
          <w:rFonts w:ascii="Times New Roman" w:hAnsi="Times New Roman" w:cs="Times New Roman"/>
          <w:sz w:val="24"/>
          <w:szCs w:val="24"/>
        </w:rPr>
        <w:t>scale</w:t>
      </w:r>
      <w:r>
        <w:rPr>
          <w:rFonts w:ascii="Times New Roman" w:hAnsi="Times New Roman" w:cs="Times New Roman"/>
          <w:sz w:val="24"/>
          <w:szCs w:val="24"/>
        </w:rPr>
        <w:t xml:space="preserve"> (5 indicating the highest level). The desired level indicates </w:t>
      </w:r>
      <w:r w:rsidR="002B3F92">
        <w:rPr>
          <w:rFonts w:ascii="Times New Roman" w:hAnsi="Times New Roman" w:cs="Times New Roman"/>
          <w:sz w:val="24"/>
          <w:szCs w:val="24"/>
        </w:rPr>
        <w:t xml:space="preserve">the relevance of that </w:t>
      </w:r>
      <w:r w:rsidR="0067609C">
        <w:rPr>
          <w:rFonts w:ascii="Times New Roman" w:hAnsi="Times New Roman" w:cs="Times New Roman"/>
          <w:sz w:val="24"/>
          <w:szCs w:val="24"/>
        </w:rPr>
        <w:t xml:space="preserve">competency </w:t>
      </w:r>
      <w:r>
        <w:rPr>
          <w:rFonts w:ascii="Times New Roman" w:hAnsi="Times New Roman" w:cs="Times New Roman"/>
          <w:sz w:val="24"/>
          <w:szCs w:val="24"/>
        </w:rPr>
        <w:t>for the participant</w:t>
      </w:r>
      <w:r w:rsidR="002B3F92">
        <w:rPr>
          <w:rFonts w:ascii="Times New Roman" w:hAnsi="Times New Roman" w:cs="Times New Roman"/>
          <w:sz w:val="24"/>
          <w:szCs w:val="24"/>
        </w:rPr>
        <w:t xml:space="preserve"> (5=</w:t>
      </w:r>
      <w:r w:rsidR="00CD24C9">
        <w:rPr>
          <w:rFonts w:ascii="Times New Roman" w:hAnsi="Times New Roman" w:cs="Times New Roman"/>
          <w:sz w:val="24"/>
          <w:szCs w:val="24"/>
        </w:rPr>
        <w:t>very relevant</w:t>
      </w:r>
      <w:r w:rsidR="002B3F92">
        <w:rPr>
          <w:rFonts w:ascii="Times New Roman" w:hAnsi="Times New Roman" w:cs="Times New Roman"/>
          <w:sz w:val="24"/>
          <w:szCs w:val="24"/>
        </w:rPr>
        <w:t>)</w:t>
      </w:r>
      <w:r>
        <w:rPr>
          <w:rFonts w:ascii="Times New Roman" w:hAnsi="Times New Roman" w:cs="Times New Roman"/>
          <w:sz w:val="24"/>
          <w:szCs w:val="24"/>
        </w:rPr>
        <w:t xml:space="preserve">, while the present level indicates </w:t>
      </w:r>
      <w:r w:rsidR="00CD24C9">
        <w:rPr>
          <w:rFonts w:ascii="Times New Roman" w:hAnsi="Times New Roman" w:cs="Times New Roman"/>
          <w:sz w:val="24"/>
          <w:szCs w:val="24"/>
        </w:rPr>
        <w:t xml:space="preserve">who </w:t>
      </w:r>
      <w:r>
        <w:rPr>
          <w:rFonts w:ascii="Times New Roman" w:hAnsi="Times New Roman" w:cs="Times New Roman"/>
          <w:sz w:val="24"/>
          <w:szCs w:val="24"/>
        </w:rPr>
        <w:t>capable the participan</w:t>
      </w:r>
      <w:r w:rsidR="002B3F92">
        <w:rPr>
          <w:rFonts w:ascii="Times New Roman" w:hAnsi="Times New Roman" w:cs="Times New Roman"/>
          <w:sz w:val="24"/>
          <w:szCs w:val="24"/>
        </w:rPr>
        <w:t>t</w:t>
      </w:r>
      <w:r w:rsidR="0067609C">
        <w:rPr>
          <w:rFonts w:ascii="Times New Roman" w:hAnsi="Times New Roman" w:cs="Times New Roman"/>
          <w:sz w:val="24"/>
          <w:szCs w:val="24"/>
        </w:rPr>
        <w:t>s</w:t>
      </w:r>
      <w:r>
        <w:rPr>
          <w:rFonts w:ascii="Times New Roman" w:hAnsi="Times New Roman" w:cs="Times New Roman"/>
          <w:sz w:val="24"/>
          <w:szCs w:val="24"/>
        </w:rPr>
        <w:t xml:space="preserve"> believe</w:t>
      </w:r>
      <w:r w:rsidR="002B3F92">
        <w:rPr>
          <w:rFonts w:ascii="Times New Roman" w:hAnsi="Times New Roman" w:cs="Times New Roman"/>
          <w:sz w:val="24"/>
          <w:szCs w:val="24"/>
        </w:rPr>
        <w:t>s</w:t>
      </w:r>
      <w:r>
        <w:rPr>
          <w:rFonts w:ascii="Times New Roman" w:hAnsi="Times New Roman" w:cs="Times New Roman"/>
          <w:sz w:val="24"/>
          <w:szCs w:val="24"/>
        </w:rPr>
        <w:t xml:space="preserve"> to be in each competenc</w:t>
      </w:r>
      <w:r w:rsidR="0067609C">
        <w:rPr>
          <w:rFonts w:ascii="Times New Roman" w:hAnsi="Times New Roman" w:cs="Times New Roman"/>
          <w:sz w:val="24"/>
          <w:szCs w:val="24"/>
        </w:rPr>
        <w:t>y</w:t>
      </w:r>
      <w:r w:rsidRPr="00AD3789">
        <w:rPr>
          <w:rFonts w:ascii="Times New Roman" w:hAnsi="Times New Roman" w:cs="Times New Roman"/>
          <w:sz w:val="24"/>
          <w:szCs w:val="24"/>
        </w:rPr>
        <w:t xml:space="preserve">. </w:t>
      </w:r>
    </w:p>
    <w:p w14:paraId="6C290F89" w14:textId="41C04F83" w:rsidR="00E160C8" w:rsidRDefault="0076228F" w:rsidP="005026C8">
      <w:pPr>
        <w:spacing w:line="480" w:lineRule="auto"/>
        <w:contextualSpacing/>
        <w:jc w:val="both"/>
        <w:rPr>
          <w:rFonts w:ascii="Times New Roman" w:hAnsi="Times New Roman" w:cs="Times New Roman"/>
          <w:sz w:val="24"/>
          <w:szCs w:val="24"/>
        </w:rPr>
      </w:pPr>
      <w:r w:rsidRPr="00412C41">
        <w:rPr>
          <w:rFonts w:ascii="Times New Roman" w:hAnsi="Times New Roman" w:cs="Times New Roman"/>
          <w:sz w:val="24"/>
          <w:szCs w:val="24"/>
        </w:rPr>
        <w:t xml:space="preserve">To </w:t>
      </w:r>
      <w:r>
        <w:rPr>
          <w:rFonts w:ascii="Times New Roman" w:hAnsi="Times New Roman" w:cs="Times New Roman"/>
          <w:sz w:val="24"/>
          <w:szCs w:val="24"/>
        </w:rPr>
        <w:t>estimate</w:t>
      </w:r>
      <w:r w:rsidRPr="00412C41">
        <w:rPr>
          <w:rFonts w:ascii="Times New Roman" w:hAnsi="Times New Roman" w:cs="Times New Roman"/>
          <w:sz w:val="24"/>
          <w:szCs w:val="24"/>
        </w:rPr>
        <w:t xml:space="preserve"> </w:t>
      </w:r>
      <w:r>
        <w:rPr>
          <w:rFonts w:ascii="Times New Roman" w:hAnsi="Times New Roman" w:cs="Times New Roman"/>
          <w:sz w:val="24"/>
          <w:szCs w:val="24"/>
        </w:rPr>
        <w:t>motivation</w:t>
      </w:r>
      <w:r w:rsidRPr="00624A1F">
        <w:rPr>
          <w:rFonts w:ascii="Times New Roman" w:hAnsi="Times New Roman" w:cs="Times New Roman"/>
          <w:sz w:val="24"/>
          <w:szCs w:val="24"/>
        </w:rPr>
        <w:t xml:space="preserve"> </w:t>
      </w:r>
      <w:r>
        <w:rPr>
          <w:rFonts w:ascii="Times New Roman" w:hAnsi="Times New Roman" w:cs="Times New Roman"/>
          <w:sz w:val="24"/>
          <w:szCs w:val="24"/>
        </w:rPr>
        <w:t xml:space="preserve">to learn, we calculate </w:t>
      </w:r>
      <w:r w:rsidRPr="00AD3789">
        <w:rPr>
          <w:rFonts w:ascii="Times New Roman" w:hAnsi="Times New Roman" w:cs="Times New Roman"/>
          <w:sz w:val="24"/>
          <w:szCs w:val="24"/>
        </w:rPr>
        <w:t>the gap</w:t>
      </w:r>
      <w:r>
        <w:rPr>
          <w:rFonts w:ascii="Times New Roman" w:hAnsi="Times New Roman" w:cs="Times New Roman"/>
          <w:sz w:val="24"/>
          <w:szCs w:val="24"/>
        </w:rPr>
        <w:t xml:space="preserve"> (=difference) </w:t>
      </w:r>
      <w:r w:rsidRPr="00AD3789">
        <w:rPr>
          <w:rFonts w:ascii="Times New Roman" w:hAnsi="Times New Roman" w:cs="Times New Roman"/>
          <w:sz w:val="24"/>
          <w:szCs w:val="24"/>
        </w:rPr>
        <w:t xml:space="preserve">between </w:t>
      </w:r>
      <w:r>
        <w:rPr>
          <w:rFonts w:ascii="Times New Roman" w:hAnsi="Times New Roman" w:cs="Times New Roman"/>
          <w:sz w:val="24"/>
          <w:szCs w:val="24"/>
        </w:rPr>
        <w:t xml:space="preserve">self-reported </w:t>
      </w:r>
      <w:r w:rsidRPr="00AD3789">
        <w:rPr>
          <w:rFonts w:ascii="Times New Roman" w:hAnsi="Times New Roman" w:cs="Times New Roman"/>
          <w:sz w:val="24"/>
          <w:szCs w:val="24"/>
        </w:rPr>
        <w:t>desired level</w:t>
      </w:r>
      <w:r>
        <w:rPr>
          <w:rFonts w:ascii="Times New Roman" w:hAnsi="Times New Roman" w:cs="Times New Roman"/>
          <w:sz w:val="24"/>
          <w:szCs w:val="24"/>
        </w:rPr>
        <w:t xml:space="preserve"> of expertise</w:t>
      </w:r>
      <w:r w:rsidRPr="00AD3789">
        <w:rPr>
          <w:rFonts w:ascii="Times New Roman" w:hAnsi="Times New Roman" w:cs="Times New Roman"/>
          <w:sz w:val="24"/>
          <w:szCs w:val="24"/>
        </w:rPr>
        <w:t xml:space="preserve"> and present level</w:t>
      </w:r>
      <w:r>
        <w:rPr>
          <w:rFonts w:ascii="Times New Roman" w:hAnsi="Times New Roman" w:cs="Times New Roman"/>
          <w:sz w:val="24"/>
          <w:szCs w:val="24"/>
        </w:rPr>
        <w:t xml:space="preserve"> for each defined event competency (or learning objective)</w:t>
      </w:r>
      <w:r w:rsidR="00C45DFD">
        <w:rPr>
          <w:rFonts w:ascii="Times New Roman" w:hAnsi="Times New Roman" w:cs="Times New Roman"/>
          <w:sz w:val="24"/>
          <w:szCs w:val="24"/>
        </w:rPr>
        <w:fldChar w:fldCharType="begin">
          <w:fldData xml:space="preserve">PEVuZE5vdGU+PENpdGU+PEF1dGhvcj5Gb3g8L0F1dGhvcj48UmVjTnVtPjI5PC9SZWNOdW0+PERp
c3BsYXlUZXh0PjxzdHlsZSBmYWNlPSJzdXBlcnNjcmlwdCI+MS0zPC9zdHlsZT48L0Rpc3BsYXlU
ZXh0PjxyZWNvcmQ+PHJlYy1udW1iZXI+Mjk8L3JlYy1udW1iZXI+PGZvcmVpZ24ta2V5cz48a2V5
IGFwcD0iRU4iIGRiLWlkPSJhdnh3cHIyenAwNXdwa2V2czBucHBkMmYyYTA5YXN3MnYyc2QiIHRp
bWVzdGFtcD0iMTU5Mjk5ODE5MCI+Mjk8L2tleT48L2ZvcmVpZ24ta2V5cz48cmVmLXR5cGUgbmFt
ZT0iSm91cm5hbCBBcnRpY2xlIj4xNzwvcmVmLXR5cGU+PGNvbnRyaWJ1dG9ycz48YXV0aG9ycz48
YXV0aG9yPkZveCwgUkQ8L2F1dGhvcj48YXV0aG9yPk1pbmVyLCBDPC9hdXRob3I+PC9hdXRob3Jz
PjwvY29udHJpYnV0b3JzPjx0aXRsZXM+PHRpdGxlPk1vdGl2YXRpb24gYW5kIHRoZSBmYWNpbGl0
YXRpb24gb2YgY2hhbmdlLCBsZWFybmluZyBhbmQgcGFydGljaXBhdGlvbiBpbiBlZHVjYXRpb25h
bCBwcm9ncmFtcyBmb3IgaGVhbHRoIHByb2Zlc3Npb25hbHMuIEogQ29udCBFZHVjIEhlYWx0aCBQ
cm9mIDE5OTk7MTk6MTMyLTE0MTwvdGl0bGU+PC90aXRsZXM+PGRhdGVzPjwvZGF0ZXM+PHVybHM+
PC91cmxzPjwvcmVjb3JkPjwvQ2l0ZT48Q2l0ZT48QXV0aG9yPmRlIEJvZXI8L0F1dGhvcj48WWVh
cj4yMDEwPC9ZZWFyPjxSZWNOdW0+MTk8L1JlY051bT48cmVjb3JkPjxyZWMtbnVtYmVyPjE5PC9y
ZWMtbnVtYmVyPjxmb3JlaWduLWtleXM+PGtleSBhcHA9IkVOIiBkYi1pZD0iYXZ4d3ByMnpwMDV3
cGtldnMwbnBwZDJmMmEwOWFzdzJ2MnNkIiB0aW1lc3RhbXA9IjE1OTI5OTc1NjkiPjE5PC9rZXk+
PC9mb3JlaWduLWtleXM+PHJlZi10eXBlIG5hbWU9IkpvdXJuYWwgQXJ0aWNsZSI+MTc8L3JlZi10
eXBlPjxjb250cmlidXRvcnM+PGF1dGhvcnM+PGF1dGhvcj5kZSBCb2VyLCBQLiBHLjwvYXV0aG9y
PjxhdXRob3I+QnVja2xleSwgUi48L2F1dGhvcj48YXV0aG9yPlNjaG1pZHQsIFAuPC9hdXRob3I+
PGF1dGhvcj5Gb3gsIFIuPC9hdXRob3I+PGF1dGhvcj5KdXBpdGVyLCBKLjwvYXV0aG9yPjwvYXV0
aG9ycz48L2NvbnRyaWJ1dG9ycz48YXV0aC1hZGRyZXNzPkFPIEVkdWNhdGlvbiwgRHViZW5kb3Jm
LCBTd2l0emVybGFuZC4gUGlldC5kZWJvZXJAYW9mb3VuZGF0aW9uLm9yZzwvYXV0aC1hZGRyZXNz
Pjx0aXRsZXM+PHRpdGxlPkxlYXJuaW5nIGFzc2Vzc21lbnQgdG9vbGtpdDwvdGl0bGU+PHNlY29u
ZGFyeS10aXRsZT5KIEJvbmUgSm9pbnQgU3VyZyBBbTwvc2Vjb25kYXJ5LXRpdGxlPjwvdGl0bGVz
PjxwZXJpb2RpY2FsPjxmdWxsLXRpdGxlPkogQm9uZSBKb2ludCBTdXJnIEFtPC9mdWxsLXRpdGxl
PjwvcGVyaW9kaWNhbD48cGFnZXM+MTMyNS05PC9wYWdlcz48dm9sdW1lPjkyPC92b2x1bWU+PG51
bWJlcj41PC9udW1iZXI+PGVkaXRpb24+MjAxMC8wNS8wNTwvZWRpdGlvbj48a2V5d29yZHM+PGtl
eXdvcmQ+Q2xpbmljYWwgQ29tcGV0ZW5jZTwva2V5d29yZD48a2V5d29yZD5FZHVjYXRpb24sIE1l
ZGljYWwsIEdyYWR1YXRlLyptZXRob2RzPC9rZXl3b3JkPjxrZXl3b3JkPkVkdWNhdGlvbmFsIE1l
YXN1cmVtZW50LyptZXRob2RzPC9rZXl3b3JkPjxrZXl3b3JkPkZyYWN0dXJlcywgQm9uZS8qc3Vy
Z2VyeTwva2V5d29yZD48a2V5d29yZD5IdW1hbnM8L2tleXdvcmQ+PGtleXdvcmQ+T3J0aG9wZWRp
YyBQcm9jZWR1cmVzLyplZHVjYXRpb248L2tleXdvcmQ+PGtleXdvcmQ+T3J0aG9wZWRpY3MvKmVk
dWNhdGlvbjwva2V5d29yZD48a2V5d29yZD5QaWxvdCBQcm9qZWN0czwva2V5d29yZD48a2V5d29y
ZD5Tb2Z0d2FyZTwva2V5d29yZD48L2tleXdvcmRzPjxkYXRlcz48eWVhcj4yMDEwPC95ZWFyPjxw
dWItZGF0ZXM+PGRhdGU+TWF5PC9kYXRlPjwvcHViLWRhdGVzPjwvZGF0ZXM+PGlzYm4+MTUzNS0x
Mzg2IChFbGVjdHJvbmljKSYjeEQ7MDAyMS05MzU1IChMaW5raW5nKTwvaXNibj48YWNjZXNzaW9u
LW51bT4yMDQzOTY5ODwvYWNjZXNzaW9uLW51bT48dXJscz48cmVsYXRlZC11cmxzPjx1cmw+aHR0
cHM6Ly93d3cubmNiaS5ubG0ubmloLmdvdi9wdWJtZWQvMjA0Mzk2OTg8L3VybD48L3JlbGF0ZWQt
dXJscz48L3VybHM+PGVsZWN0cm9uaWMtcmVzb3VyY2UtbnVtPjEwLjIxMDYvSkJKUy5JLjAwNzc1
PC9lbGVjdHJvbmljLXJlc291cmNlLW51bT48L3JlY29yZD48L0NpdGU+PENpdGU+PEF1dGhvcj5L
bm94PC9BdXRob3I+PFJlY051bT44NDwvUmVjTnVtPjxyZWNvcmQ+PHJlYy1udW1iZXI+ODQ8L3Jl
Yy1udW1iZXI+PGZvcmVpZ24ta2V5cz48a2V5IGFwcD0iRU4iIGRiLWlkPSJhdnh3cHIyenAwNXdw
a2V2czBucHBkMmYyYTA5YXN3MnYyc2QiIHRpbWVzdGFtcD0iMTU5NDYzMjE2NCI+ODQ8L2tleT48
L2ZvcmVpZ24ta2V5cz48cmVmLXR5cGUgbmFtZT0iSm91cm5hbCBBcnRpY2xlIj4xNzwvcmVmLXR5
cGU+PGNvbnRyaWJ1dG9ycz48YXV0aG9ycz48YXV0aG9yPktub3gsIEFCPC9hdXRob3I+PC9hdXRo
b3JzPjwvY29udHJpYnV0b3JzPjx0aXRsZXM+PHRpdGxlPkluZmx1ZW5jZXMgb24gcGFydGljaXBh
dGlvbiBpbiBjb250aW51aW5nIGVkdWNhdGlvbi4gSiBDb250IEVkdWMgSGVhbHRoIFByb2YgMTk5
MDsgMTA6MjYx4oCTMjc0LjwvdGl0bGU+PC90aXRsZXM+PGRhdGVzPjwvZGF0ZXM+PHVybHM+PC91
cmxzPjwvcmVjb3JkPjwvQ2l0ZT48L0VuZE5vdGU+AG==
</w:fldData>
        </w:fldChar>
      </w:r>
      <w:r w:rsidR="006A4152">
        <w:rPr>
          <w:rFonts w:ascii="Times New Roman" w:hAnsi="Times New Roman" w:cs="Times New Roman"/>
          <w:sz w:val="24"/>
          <w:szCs w:val="24"/>
        </w:rPr>
        <w:instrText xml:space="preserve"> ADDIN EN.CITE </w:instrText>
      </w:r>
      <w:r w:rsidR="006A4152">
        <w:rPr>
          <w:rFonts w:ascii="Times New Roman" w:hAnsi="Times New Roman" w:cs="Times New Roman"/>
          <w:sz w:val="24"/>
          <w:szCs w:val="24"/>
        </w:rPr>
        <w:fldChar w:fldCharType="begin">
          <w:fldData xml:space="preserve">PEVuZE5vdGU+PENpdGU+PEF1dGhvcj5Gb3g8L0F1dGhvcj48UmVjTnVtPjI5PC9SZWNOdW0+PERp
c3BsYXlUZXh0PjxzdHlsZSBmYWNlPSJzdXBlcnNjcmlwdCI+MS0zPC9zdHlsZT48L0Rpc3BsYXlU
ZXh0PjxyZWNvcmQ+PHJlYy1udW1iZXI+Mjk8L3JlYy1udW1iZXI+PGZvcmVpZ24ta2V5cz48a2V5
IGFwcD0iRU4iIGRiLWlkPSJhdnh3cHIyenAwNXdwa2V2czBucHBkMmYyYTA5YXN3MnYyc2QiIHRp
bWVzdGFtcD0iMTU5Mjk5ODE5MCI+Mjk8L2tleT48L2ZvcmVpZ24ta2V5cz48cmVmLXR5cGUgbmFt
ZT0iSm91cm5hbCBBcnRpY2xlIj4xNzwvcmVmLXR5cGU+PGNvbnRyaWJ1dG9ycz48YXV0aG9ycz48
YXV0aG9yPkZveCwgUkQ8L2F1dGhvcj48YXV0aG9yPk1pbmVyLCBDPC9hdXRob3I+PC9hdXRob3Jz
PjwvY29udHJpYnV0b3JzPjx0aXRsZXM+PHRpdGxlPk1vdGl2YXRpb24gYW5kIHRoZSBmYWNpbGl0
YXRpb24gb2YgY2hhbmdlLCBsZWFybmluZyBhbmQgcGFydGljaXBhdGlvbiBpbiBlZHVjYXRpb25h
bCBwcm9ncmFtcyBmb3IgaGVhbHRoIHByb2Zlc3Npb25hbHMuIEogQ29udCBFZHVjIEhlYWx0aCBQ
cm9mIDE5OTk7MTk6MTMyLTE0MTwvdGl0bGU+PC90aXRsZXM+PGRhdGVzPjwvZGF0ZXM+PHVybHM+
PC91cmxzPjwvcmVjb3JkPjwvQ2l0ZT48Q2l0ZT48QXV0aG9yPmRlIEJvZXI8L0F1dGhvcj48WWVh
cj4yMDEwPC9ZZWFyPjxSZWNOdW0+MTk8L1JlY051bT48cmVjb3JkPjxyZWMtbnVtYmVyPjE5PC9y
ZWMtbnVtYmVyPjxmb3JlaWduLWtleXM+PGtleSBhcHA9IkVOIiBkYi1pZD0iYXZ4d3ByMnpwMDV3
cGtldnMwbnBwZDJmMmEwOWFzdzJ2MnNkIiB0aW1lc3RhbXA9IjE1OTI5OTc1NjkiPjE5PC9rZXk+
PC9mb3JlaWduLWtleXM+PHJlZi10eXBlIG5hbWU9IkpvdXJuYWwgQXJ0aWNsZSI+MTc8L3JlZi10
eXBlPjxjb250cmlidXRvcnM+PGF1dGhvcnM+PGF1dGhvcj5kZSBCb2VyLCBQLiBHLjwvYXV0aG9y
PjxhdXRob3I+QnVja2xleSwgUi48L2F1dGhvcj48YXV0aG9yPlNjaG1pZHQsIFAuPC9hdXRob3I+
PGF1dGhvcj5Gb3gsIFIuPC9hdXRob3I+PGF1dGhvcj5KdXBpdGVyLCBKLjwvYXV0aG9yPjwvYXV0
aG9ycz48L2NvbnRyaWJ1dG9ycz48YXV0aC1hZGRyZXNzPkFPIEVkdWNhdGlvbiwgRHViZW5kb3Jm
LCBTd2l0emVybGFuZC4gUGlldC5kZWJvZXJAYW9mb3VuZGF0aW9uLm9yZzwvYXV0aC1hZGRyZXNz
Pjx0aXRsZXM+PHRpdGxlPkxlYXJuaW5nIGFzc2Vzc21lbnQgdG9vbGtpdDwvdGl0bGU+PHNlY29u
ZGFyeS10aXRsZT5KIEJvbmUgSm9pbnQgU3VyZyBBbTwvc2Vjb25kYXJ5LXRpdGxlPjwvdGl0bGVz
PjxwZXJpb2RpY2FsPjxmdWxsLXRpdGxlPkogQm9uZSBKb2ludCBTdXJnIEFtPC9mdWxsLXRpdGxl
PjwvcGVyaW9kaWNhbD48cGFnZXM+MTMyNS05PC9wYWdlcz48dm9sdW1lPjkyPC92b2x1bWU+PG51
bWJlcj41PC9udW1iZXI+PGVkaXRpb24+MjAxMC8wNS8wNTwvZWRpdGlvbj48a2V5d29yZHM+PGtl
eXdvcmQ+Q2xpbmljYWwgQ29tcGV0ZW5jZTwva2V5d29yZD48a2V5d29yZD5FZHVjYXRpb24sIE1l
ZGljYWwsIEdyYWR1YXRlLyptZXRob2RzPC9rZXl3b3JkPjxrZXl3b3JkPkVkdWNhdGlvbmFsIE1l
YXN1cmVtZW50LyptZXRob2RzPC9rZXl3b3JkPjxrZXl3b3JkPkZyYWN0dXJlcywgQm9uZS8qc3Vy
Z2VyeTwva2V5d29yZD48a2V5d29yZD5IdW1hbnM8L2tleXdvcmQ+PGtleXdvcmQ+T3J0aG9wZWRp
YyBQcm9jZWR1cmVzLyplZHVjYXRpb248L2tleXdvcmQ+PGtleXdvcmQ+T3J0aG9wZWRpY3MvKmVk
dWNhdGlvbjwva2V5d29yZD48a2V5d29yZD5QaWxvdCBQcm9qZWN0czwva2V5d29yZD48a2V5d29y
ZD5Tb2Z0d2FyZTwva2V5d29yZD48L2tleXdvcmRzPjxkYXRlcz48eWVhcj4yMDEwPC95ZWFyPjxw
dWItZGF0ZXM+PGRhdGU+TWF5PC9kYXRlPjwvcHViLWRhdGVzPjwvZGF0ZXM+PGlzYm4+MTUzNS0x
Mzg2IChFbGVjdHJvbmljKSYjeEQ7MDAyMS05MzU1IChMaW5raW5nKTwvaXNibj48YWNjZXNzaW9u
LW51bT4yMDQzOTY5ODwvYWNjZXNzaW9uLW51bT48dXJscz48cmVsYXRlZC11cmxzPjx1cmw+aHR0
cHM6Ly93d3cubmNiaS5ubG0ubmloLmdvdi9wdWJtZWQvMjA0Mzk2OTg8L3VybD48L3JlbGF0ZWQt
dXJscz48L3VybHM+PGVsZWN0cm9uaWMtcmVzb3VyY2UtbnVtPjEwLjIxMDYvSkJKUy5JLjAwNzc1
PC9lbGVjdHJvbmljLXJlc291cmNlLW51bT48L3JlY29yZD48L0NpdGU+PENpdGU+PEF1dGhvcj5L
bm94PC9BdXRob3I+PFJlY051bT44NDwvUmVjTnVtPjxyZWNvcmQ+PHJlYy1udW1iZXI+ODQ8L3Jl
Yy1udW1iZXI+PGZvcmVpZ24ta2V5cz48a2V5IGFwcD0iRU4iIGRiLWlkPSJhdnh3cHIyenAwNXdw
a2V2czBucHBkMmYyYTA5YXN3MnYyc2QiIHRpbWVzdGFtcD0iMTU5NDYzMjE2NCI+ODQ8L2tleT48
L2ZvcmVpZ24ta2V5cz48cmVmLXR5cGUgbmFtZT0iSm91cm5hbCBBcnRpY2xlIj4xNzwvcmVmLXR5
cGU+PGNvbnRyaWJ1dG9ycz48YXV0aG9ycz48YXV0aG9yPktub3gsIEFCPC9hdXRob3I+PC9hdXRo
b3JzPjwvY29udHJpYnV0b3JzPjx0aXRsZXM+PHRpdGxlPkluZmx1ZW5jZXMgb24gcGFydGljaXBh
dGlvbiBpbiBjb250aW51aW5nIGVkdWNhdGlvbi4gSiBDb250IEVkdWMgSGVhbHRoIFByb2YgMTk5
MDsgMTA6MjYx4oCTMjc0LjwvdGl0bGU+PC90aXRsZXM+PGRhdGVzPjwvZGF0ZXM+PHVybHM+PC91
cmxzPjwvcmVjb3JkPjwvQ2l0ZT48L0VuZE5vdGU+AG==
</w:fldData>
        </w:fldChar>
      </w:r>
      <w:r w:rsidR="006A4152">
        <w:rPr>
          <w:rFonts w:ascii="Times New Roman" w:hAnsi="Times New Roman" w:cs="Times New Roman"/>
          <w:sz w:val="24"/>
          <w:szCs w:val="24"/>
        </w:rPr>
        <w:instrText xml:space="preserve"> ADDIN EN.CITE.DATA </w:instrText>
      </w:r>
      <w:r w:rsidR="006A4152">
        <w:rPr>
          <w:rFonts w:ascii="Times New Roman" w:hAnsi="Times New Roman" w:cs="Times New Roman"/>
          <w:sz w:val="24"/>
          <w:szCs w:val="24"/>
        </w:rPr>
      </w:r>
      <w:r w:rsidR="006A4152">
        <w:rPr>
          <w:rFonts w:ascii="Times New Roman" w:hAnsi="Times New Roman" w:cs="Times New Roman"/>
          <w:sz w:val="24"/>
          <w:szCs w:val="24"/>
        </w:rPr>
        <w:fldChar w:fldCharType="end"/>
      </w:r>
      <w:r w:rsidR="00C45DFD">
        <w:rPr>
          <w:rFonts w:ascii="Times New Roman" w:hAnsi="Times New Roman" w:cs="Times New Roman"/>
          <w:sz w:val="24"/>
          <w:szCs w:val="24"/>
        </w:rPr>
        <w:fldChar w:fldCharType="separate"/>
      </w:r>
      <w:r w:rsidR="006A4152" w:rsidRPr="006A4152">
        <w:rPr>
          <w:rFonts w:ascii="Times New Roman" w:hAnsi="Times New Roman" w:cs="Times New Roman"/>
          <w:noProof/>
          <w:sz w:val="24"/>
          <w:szCs w:val="24"/>
          <w:vertAlign w:val="superscript"/>
        </w:rPr>
        <w:t>1-3</w:t>
      </w:r>
      <w:r w:rsidR="00C45DFD">
        <w:rPr>
          <w:rFonts w:ascii="Times New Roman" w:hAnsi="Times New Roman" w:cs="Times New Roman"/>
          <w:sz w:val="24"/>
          <w:szCs w:val="24"/>
        </w:rPr>
        <w:fldChar w:fldCharType="end"/>
      </w:r>
      <w:r>
        <w:rPr>
          <w:rFonts w:ascii="Times New Roman" w:hAnsi="Times New Roman" w:cs="Times New Roman"/>
          <w:sz w:val="24"/>
          <w:szCs w:val="24"/>
        </w:rPr>
        <w:t>.</w:t>
      </w:r>
      <w:r w:rsidRPr="00624A1F">
        <w:rPr>
          <w:rFonts w:ascii="Times New Roman" w:hAnsi="Times New Roman" w:cs="Times New Roman"/>
          <w:sz w:val="24"/>
          <w:szCs w:val="24"/>
        </w:rPr>
        <w:t xml:space="preserve"> </w:t>
      </w:r>
      <w:r w:rsidR="005026C8">
        <w:rPr>
          <w:rFonts w:ascii="Times New Roman" w:hAnsi="Times New Roman" w:cs="Times New Roman"/>
          <w:sz w:val="24"/>
          <w:szCs w:val="24"/>
        </w:rPr>
        <w:t>Good motivation to learn is associated with gap scores between 1 and 2.5. Conversely l</w:t>
      </w:r>
      <w:r w:rsidR="005026C8" w:rsidRPr="00EF1566">
        <w:rPr>
          <w:rFonts w:ascii="Times New Roman" w:hAnsi="Times New Roman" w:cs="Times New Roman"/>
          <w:sz w:val="24"/>
          <w:szCs w:val="24"/>
        </w:rPr>
        <w:t>arge gaps promote high levels of anxiety that is likely to be associated with feelings of aversion</w:t>
      </w:r>
      <w:r w:rsidR="005026C8">
        <w:rPr>
          <w:rFonts w:ascii="Times New Roman" w:hAnsi="Times New Roman" w:cs="Times New Roman"/>
          <w:sz w:val="24"/>
          <w:szCs w:val="24"/>
        </w:rPr>
        <w:t>,</w:t>
      </w:r>
      <w:r w:rsidR="005026C8" w:rsidRPr="00EF1566">
        <w:rPr>
          <w:rFonts w:ascii="Times New Roman" w:hAnsi="Times New Roman" w:cs="Times New Roman"/>
          <w:sz w:val="24"/>
          <w:szCs w:val="24"/>
        </w:rPr>
        <w:t xml:space="preserve"> </w:t>
      </w:r>
      <w:r w:rsidR="005026C8">
        <w:rPr>
          <w:rFonts w:ascii="Times New Roman" w:hAnsi="Times New Roman" w:cs="Times New Roman"/>
          <w:sz w:val="24"/>
          <w:szCs w:val="24"/>
        </w:rPr>
        <w:t>while</w:t>
      </w:r>
      <w:r w:rsidR="005026C8" w:rsidRPr="00EF1566">
        <w:rPr>
          <w:rFonts w:ascii="Times New Roman" w:hAnsi="Times New Roman" w:cs="Times New Roman"/>
          <w:sz w:val="24"/>
          <w:szCs w:val="24"/>
        </w:rPr>
        <w:t xml:space="preserve"> </w:t>
      </w:r>
      <w:r w:rsidR="005026C8">
        <w:rPr>
          <w:rFonts w:ascii="Times New Roman" w:hAnsi="Times New Roman" w:cs="Times New Roman"/>
          <w:sz w:val="24"/>
          <w:szCs w:val="24"/>
        </w:rPr>
        <w:t>s</w:t>
      </w:r>
      <w:r w:rsidR="005026C8" w:rsidRPr="00EF1566">
        <w:rPr>
          <w:rFonts w:ascii="Times New Roman" w:hAnsi="Times New Roman" w:cs="Times New Roman"/>
          <w:sz w:val="24"/>
          <w:szCs w:val="24"/>
        </w:rPr>
        <w:t>mall discrepancies lead to very low levels of anxiety that can be easily tolerated</w:t>
      </w:r>
      <w:r w:rsidR="00C45DFD">
        <w:rPr>
          <w:rFonts w:ascii="Times New Roman" w:hAnsi="Times New Roman" w:cs="Times New Roman"/>
          <w:sz w:val="24"/>
          <w:szCs w:val="24"/>
        </w:rPr>
        <w:fldChar w:fldCharType="begin"/>
      </w:r>
      <w:r w:rsidR="00C45DFD">
        <w:rPr>
          <w:rFonts w:ascii="Times New Roman" w:hAnsi="Times New Roman" w:cs="Times New Roman"/>
          <w:sz w:val="24"/>
          <w:szCs w:val="24"/>
        </w:rPr>
        <w:instrText xml:space="preserve"> ADDIN EN.CITE &lt;EndNote&gt;&lt;Cite&gt;&lt;Author&gt;Fox&lt;/Author&gt;&lt;RecNum&gt;29&lt;/RecNum&gt;&lt;DisplayText&gt;&lt;style face="superscript"&gt;1&lt;/style&gt;&lt;/DisplayText&gt;&lt;record&gt;&lt;rec-number&gt;29&lt;/rec-number&gt;&lt;foreign-keys&gt;&lt;key app="EN" db-id="avxwpr2zp05wpkevs0nppd2f2a09asw2v2sd" timestamp="1592998190"&gt;29&lt;/key&gt;&lt;/foreign-keys&gt;&lt;ref-type name="Journal Article"&gt;17&lt;/ref-type&gt;&lt;contributors&gt;&lt;authors&gt;&lt;author&gt;Fox, RD&lt;/author&gt;&lt;author&gt;Miner, C&lt;/author&gt;&lt;/authors&gt;&lt;/contributors&gt;&lt;titles&gt;&lt;title&gt;Motivation and the facilitation of change, learning and participation in educational programs for health professionals. J Cont Educ Health Prof 1999;19:132-141&lt;/title&gt;&lt;/titles&gt;&lt;dates&gt;&lt;/dates&gt;&lt;urls&gt;&lt;/urls&gt;&lt;/record&gt;&lt;/Cite&gt;&lt;/EndNote&gt;</w:instrText>
      </w:r>
      <w:r w:rsidR="00C45DFD">
        <w:rPr>
          <w:rFonts w:ascii="Times New Roman" w:hAnsi="Times New Roman" w:cs="Times New Roman"/>
          <w:sz w:val="24"/>
          <w:szCs w:val="24"/>
        </w:rPr>
        <w:fldChar w:fldCharType="separate"/>
      </w:r>
      <w:r w:rsidR="00C45DFD" w:rsidRPr="00C45DFD">
        <w:rPr>
          <w:rFonts w:ascii="Times New Roman" w:hAnsi="Times New Roman" w:cs="Times New Roman"/>
          <w:noProof/>
          <w:sz w:val="24"/>
          <w:szCs w:val="24"/>
          <w:vertAlign w:val="superscript"/>
        </w:rPr>
        <w:t>1</w:t>
      </w:r>
      <w:r w:rsidR="00C45DFD">
        <w:rPr>
          <w:rFonts w:ascii="Times New Roman" w:hAnsi="Times New Roman" w:cs="Times New Roman"/>
          <w:sz w:val="24"/>
          <w:szCs w:val="24"/>
        </w:rPr>
        <w:fldChar w:fldCharType="end"/>
      </w:r>
      <w:r w:rsidR="005026C8">
        <w:rPr>
          <w:rFonts w:ascii="Times New Roman" w:hAnsi="Times New Roman" w:cs="Times New Roman"/>
          <w:sz w:val="24"/>
          <w:szCs w:val="24"/>
        </w:rPr>
        <w:t>.</w:t>
      </w:r>
    </w:p>
    <w:p w14:paraId="52FD9CF4" w14:textId="4D75B121" w:rsidR="0021483F" w:rsidRDefault="0021483F" w:rsidP="005026C8">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O</w:t>
      </w:r>
      <w:r w:rsidRPr="0021483F">
        <w:rPr>
          <w:rFonts w:ascii="Times New Roman" w:hAnsi="Times New Roman" w:cs="Times New Roman"/>
          <w:sz w:val="24"/>
          <w:szCs w:val="24"/>
        </w:rPr>
        <w:t>ur reports show the event competenc</w:t>
      </w:r>
      <w:r w:rsidR="00402C12">
        <w:rPr>
          <w:rFonts w:ascii="Times New Roman" w:hAnsi="Times New Roman" w:cs="Times New Roman"/>
          <w:sz w:val="24"/>
          <w:szCs w:val="24"/>
        </w:rPr>
        <w:t>ies</w:t>
      </w:r>
      <w:r w:rsidRPr="0021483F">
        <w:rPr>
          <w:rFonts w:ascii="Times New Roman" w:hAnsi="Times New Roman" w:cs="Times New Roman"/>
          <w:sz w:val="24"/>
          <w:szCs w:val="24"/>
        </w:rPr>
        <w:t xml:space="preserve"> (or objective</w:t>
      </w:r>
      <w:r w:rsidR="00402C12">
        <w:rPr>
          <w:rFonts w:ascii="Times New Roman" w:hAnsi="Times New Roman" w:cs="Times New Roman"/>
          <w:sz w:val="24"/>
          <w:szCs w:val="24"/>
        </w:rPr>
        <w:t>s</w:t>
      </w:r>
      <w:r w:rsidRPr="0021483F">
        <w:rPr>
          <w:rFonts w:ascii="Times New Roman" w:hAnsi="Times New Roman" w:cs="Times New Roman"/>
          <w:sz w:val="24"/>
          <w:szCs w:val="24"/>
        </w:rPr>
        <w:t>) in ascending order with the largest gap at the bottom</w:t>
      </w:r>
      <w:r>
        <w:rPr>
          <w:rFonts w:ascii="Times New Roman" w:hAnsi="Times New Roman" w:cs="Times New Roman"/>
          <w:sz w:val="24"/>
          <w:szCs w:val="24"/>
        </w:rPr>
        <w:t>.</w:t>
      </w:r>
      <w:r w:rsidRPr="0021483F">
        <w:rPr>
          <w:rFonts w:ascii="Times New Roman" w:hAnsi="Times New Roman" w:cs="Times New Roman"/>
          <w:sz w:val="24"/>
          <w:szCs w:val="24"/>
        </w:rPr>
        <w:t xml:space="preserve"> </w:t>
      </w:r>
    </w:p>
    <w:p w14:paraId="797A86E8" w14:textId="0E33CA51" w:rsidR="0021483F" w:rsidRDefault="0021483F" w:rsidP="005026C8">
      <w:pPr>
        <w:spacing w:line="480" w:lineRule="auto"/>
        <w:contextualSpacing/>
        <w:jc w:val="both"/>
        <w:rPr>
          <w:rFonts w:ascii="Times New Roman" w:hAnsi="Times New Roman" w:cs="Times New Roman"/>
          <w:sz w:val="24"/>
          <w:szCs w:val="24"/>
        </w:rPr>
      </w:pPr>
    </w:p>
    <w:p w14:paraId="6ACF31A6" w14:textId="17CCCEA1" w:rsidR="00F65C1A" w:rsidRDefault="00F65C1A" w:rsidP="00F65C1A">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2)</w:t>
      </w:r>
      <w:r w:rsidRPr="00F65C1A">
        <w:rPr>
          <w:rFonts w:ascii="Times New Roman" w:hAnsi="Times New Roman" w:cs="Times New Roman"/>
          <w:sz w:val="24"/>
          <w:szCs w:val="24"/>
        </w:rPr>
        <w:t xml:space="preserve"> </w:t>
      </w:r>
      <w:r w:rsidR="00E64447">
        <w:rPr>
          <w:rFonts w:ascii="Times New Roman" w:hAnsi="Times New Roman" w:cs="Times New Roman"/>
          <w:sz w:val="24"/>
          <w:szCs w:val="24"/>
        </w:rPr>
        <w:t>M</w:t>
      </w:r>
      <w:r w:rsidRPr="00B10A4E">
        <w:rPr>
          <w:rFonts w:ascii="Times New Roman" w:hAnsi="Times New Roman" w:cs="Times New Roman"/>
          <w:sz w:val="24"/>
          <w:szCs w:val="24"/>
        </w:rPr>
        <w:t xml:space="preserve">ultiple-choice assessment questions </w:t>
      </w:r>
    </w:p>
    <w:p w14:paraId="1212E09E" w14:textId="4D4D0A20" w:rsidR="00E53BDD" w:rsidRDefault="00E53BDD" w:rsidP="005026C8">
      <w:pPr>
        <w:spacing w:line="480" w:lineRule="auto"/>
        <w:contextualSpacing/>
        <w:jc w:val="both"/>
        <w:rPr>
          <w:rFonts w:ascii="Times New Roman" w:hAnsi="Times New Roman" w:cs="Times New Roman"/>
          <w:sz w:val="24"/>
          <w:szCs w:val="24"/>
        </w:rPr>
      </w:pPr>
      <w:r>
        <w:rPr>
          <w:noProof/>
        </w:rPr>
        <mc:AlternateContent>
          <mc:Choice Requires="wps">
            <w:drawing>
              <wp:anchor distT="0" distB="0" distL="114300" distR="114300" simplePos="0" relativeHeight="251672576" behindDoc="0" locked="0" layoutInCell="1" allowOverlap="1" wp14:anchorId="1F8A3ED9" wp14:editId="60F77799">
                <wp:simplePos x="0" y="0"/>
                <wp:positionH relativeFrom="column">
                  <wp:posOffset>4759133</wp:posOffset>
                </wp:positionH>
                <wp:positionV relativeFrom="paragraph">
                  <wp:posOffset>632831</wp:posOffset>
                </wp:positionV>
                <wp:extent cx="956778" cy="3381555"/>
                <wp:effectExtent l="0" t="0" r="15240" b="28575"/>
                <wp:wrapNone/>
                <wp:docPr id="18" name="Rectangle 18"/>
                <wp:cNvGraphicFramePr/>
                <a:graphic xmlns:a="http://schemas.openxmlformats.org/drawingml/2006/main">
                  <a:graphicData uri="http://schemas.microsoft.com/office/word/2010/wordprocessingShape">
                    <wps:wsp>
                      <wps:cNvSpPr/>
                      <wps:spPr>
                        <a:xfrm>
                          <a:off x="0" y="0"/>
                          <a:ext cx="956778" cy="3381555"/>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DDF5D" id="Rectangle 18" o:spid="_x0000_s1026" style="position:absolute;margin-left:374.75pt;margin-top:49.85pt;width:75.35pt;height:26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rvclgIAAIcFAAAOAAAAZHJzL2Uyb0RvYy54bWysVF9P2zAQf5+072D5fSQtlEJFiioQ0yQE&#10;FTDx7Dp2E8nxeWe3affpd3bSUAHaw7Q8OD7f3e/+39X1rjFsq9DXYAs+Osk5U1ZCWdt1wX++3H27&#10;4MwHYUthwKqC75Xn1/OvX65aN1NjqMCUChmBWD9rXcGrENwsy7ysVCP8CThliakBGxGIxHVWomgJ&#10;vTHZOM/PsxawdAhSeU+vtx2TzxO+1kqGR629CswUnHwL6cR0ruKZza/EbI3CVbXs3RD/4EUjaktG&#10;B6hbEQTbYP0BqqklggcdTiQ0GWhdS5VioGhG+btonivhVIqFkuPdkCb//2Dlw3aJrC6pdlQpKxqq&#10;0RNlTdi1UYzeKEGt8zOSe3ZL7ClP1xjtTmMT/xQH26Wk7oekql1gkh4vJ+fTKWFLYp2eXowmk0kE&#10;zd60HfrwXUHD4qXgSOZTLsX23odO9CASjVm4q42hdzEzNp4eTF3Gt0TgenVjkG0FVXyan+aLVGQy&#10;dyRGVFTNYmRdLOkW9kZ1sE9KU1LI+3HyJLWjGmCFlMqGUceqRKk6a5Ocvj62QSNFaiwBRmRNXg7Y&#10;PUBs9Y/YXdy9fFRVqZsH5fxvjnXKg0ayDDYMyk1tAT8DMBRVb7mTPySpS03M0grKPbUMQjdL3sm7&#10;mup2L3xYCqThoTGjhRAe6dAG2oJDf+OsAvz92XuUp54mLmctDWPB/a+NQMWZ+WGp2y9HZ2dxehNx&#10;NpmOicBjzuqYYzfNDVD1R7R6nEzXKB/M4aoRmlfaG4tolVjCSrJdcBnwQNyEbknQ5pFqsUhiNLFO&#10;hHv77GQEj1mNffmyexXo+uYN1PYPcBhcMXvXw51s1LSw2ATQdWrwt7z2+aZpT43Tb6a4To7pJPW2&#10;P+d/AAAA//8DAFBLAwQUAAYACAAAACEAgXBPfeIAAAAKAQAADwAAAGRycy9kb3ducmV2LnhtbEyP&#10;3U6EMBCF7018h2ZMvDFuu6isIGWjJhqNP3FXHmAWRiDSKaFlQZ/eeqWXk/PlnG+y9Ww6safBtZY1&#10;LBcKBHFpq5ZrDcX73eklCOeRK+wsk4YvcrDODw8yTCs78Yb2W1+LUMIuRQ2N930qpSsbMugWticO&#10;2YcdDPpwDrWsBpxCuelkpFQsDbYcFhrs6bah8nM7Gg1vD37zOsmX5aMcb57jp+8CT+4LrY+P5usr&#10;EJ5m/wfDr35Qhzw47ezIlROdhtV5chFQDUmyAhGARKkIxE5DfBZFIPNM/n8h/wEAAP//AwBQSwEC&#10;LQAUAAYACAAAACEAtoM4kv4AAADhAQAAEwAAAAAAAAAAAAAAAAAAAAAAW0NvbnRlbnRfVHlwZXNd&#10;LnhtbFBLAQItABQABgAIAAAAIQA4/SH/1gAAAJQBAAALAAAAAAAAAAAAAAAAAC8BAABfcmVscy8u&#10;cmVsc1BLAQItABQABgAIAAAAIQDZZrvclgIAAIcFAAAOAAAAAAAAAAAAAAAAAC4CAABkcnMvZTJv&#10;RG9jLnhtbFBLAQItABQABgAIAAAAIQCBcE994gAAAAoBAAAPAAAAAAAAAAAAAAAAAPAEAABkcnMv&#10;ZG93bnJldi54bWxQSwUGAAAAAAQABADzAAAA/wUAAAAA&#10;" filled="f" strokecolor="#7030a0" strokeweight="2pt"/>
            </w:pict>
          </mc:Fallback>
        </mc:AlternateContent>
      </w:r>
      <w:r>
        <w:rPr>
          <w:noProof/>
        </w:rPr>
        <w:drawing>
          <wp:inline distT="0" distB="0" distL="0" distR="0" wp14:anchorId="1D4A54E3" wp14:editId="270B6256">
            <wp:extent cx="5788325" cy="3924192"/>
            <wp:effectExtent l="19050" t="19050" r="22225" b="196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482"/>
                    <a:stretch/>
                  </pic:blipFill>
                  <pic:spPr bwMode="auto">
                    <a:xfrm>
                      <a:off x="0" y="0"/>
                      <a:ext cx="5788484" cy="3924300"/>
                    </a:xfrm>
                    <a:prstGeom prst="rect">
                      <a:avLst/>
                    </a:prstGeom>
                    <a:ln w="3175">
                      <a:solidFill>
                        <a:schemeClr val="tx1"/>
                      </a:solidFill>
                    </a:ln>
                    <a:extLst>
                      <a:ext uri="{53640926-AAD7-44D8-BBD7-CCE9431645EC}">
                        <a14:shadowObscured xmlns:a14="http://schemas.microsoft.com/office/drawing/2010/main"/>
                      </a:ext>
                    </a:extLst>
                  </pic:spPr>
                </pic:pic>
              </a:graphicData>
            </a:graphic>
          </wp:inline>
        </w:drawing>
      </w:r>
    </w:p>
    <w:p w14:paraId="7CA6103B" w14:textId="12CD1391" w:rsidR="005026C8" w:rsidRDefault="00F65C1A" w:rsidP="0076228F">
      <w:pPr>
        <w:spacing w:line="480" w:lineRule="auto"/>
        <w:contextualSpacing/>
        <w:jc w:val="both"/>
        <w:rPr>
          <w:rFonts w:ascii="Times New Roman" w:hAnsi="Times New Roman" w:cs="Times New Roman"/>
          <w:sz w:val="24"/>
          <w:szCs w:val="24"/>
        </w:rPr>
      </w:pPr>
      <w:r w:rsidRPr="00B10A4E">
        <w:rPr>
          <w:rFonts w:ascii="Times New Roman" w:hAnsi="Times New Roman" w:cs="Times New Roman"/>
          <w:sz w:val="24"/>
          <w:szCs w:val="24"/>
        </w:rPr>
        <w:t>In some of our curricula, the subjective gap scores are complemented by objective data from a set of two multiple-choice assessment questions for each competency</w:t>
      </w:r>
      <w:r w:rsidR="00FD7A86">
        <w:rPr>
          <w:rFonts w:ascii="Times New Roman" w:hAnsi="Times New Roman" w:cs="Times New Roman"/>
          <w:sz w:val="24"/>
          <w:szCs w:val="24"/>
        </w:rPr>
        <w:t xml:space="preserve">. </w:t>
      </w:r>
      <w:r w:rsidR="00E84ADD">
        <w:rPr>
          <w:rFonts w:ascii="Times New Roman" w:hAnsi="Times New Roman" w:cs="Times New Roman"/>
          <w:sz w:val="24"/>
          <w:szCs w:val="24"/>
        </w:rPr>
        <w:t>F</w:t>
      </w:r>
      <w:r w:rsidR="002B3F92">
        <w:rPr>
          <w:rFonts w:ascii="Times New Roman" w:hAnsi="Times New Roman" w:cs="Times New Roman"/>
          <w:sz w:val="24"/>
          <w:szCs w:val="24"/>
        </w:rPr>
        <w:t xml:space="preserve">eedback </w:t>
      </w:r>
      <w:r w:rsidR="0067609C">
        <w:rPr>
          <w:rFonts w:ascii="Times New Roman" w:hAnsi="Times New Roman" w:cs="Times New Roman"/>
          <w:sz w:val="24"/>
          <w:szCs w:val="24"/>
        </w:rPr>
        <w:t>shows the</w:t>
      </w:r>
      <w:r w:rsidR="002B3F92">
        <w:rPr>
          <w:rFonts w:ascii="Times New Roman" w:hAnsi="Times New Roman" w:cs="Times New Roman"/>
          <w:sz w:val="24"/>
          <w:szCs w:val="24"/>
        </w:rPr>
        <w:t xml:space="preserve"> correct answer and </w:t>
      </w:r>
      <w:r w:rsidR="0067609C">
        <w:rPr>
          <w:rFonts w:ascii="Times New Roman" w:hAnsi="Times New Roman" w:cs="Times New Roman"/>
          <w:sz w:val="24"/>
          <w:szCs w:val="24"/>
        </w:rPr>
        <w:t>rationale and references</w:t>
      </w:r>
      <w:r w:rsidR="002B3F92">
        <w:rPr>
          <w:rFonts w:ascii="Times New Roman" w:hAnsi="Times New Roman" w:cs="Times New Roman"/>
          <w:sz w:val="24"/>
          <w:szCs w:val="24"/>
        </w:rPr>
        <w:t xml:space="preserve">. </w:t>
      </w:r>
      <w:r w:rsidR="00FD7A86">
        <w:rPr>
          <w:rFonts w:ascii="Times New Roman" w:hAnsi="Times New Roman" w:cs="Times New Roman"/>
          <w:sz w:val="24"/>
          <w:szCs w:val="24"/>
        </w:rPr>
        <w:t xml:space="preserve">This </w:t>
      </w:r>
      <w:r w:rsidR="00F74474">
        <w:rPr>
          <w:rFonts w:ascii="Times New Roman" w:hAnsi="Times New Roman" w:cs="Times New Roman"/>
          <w:sz w:val="24"/>
          <w:szCs w:val="24"/>
        </w:rPr>
        <w:t xml:space="preserve">approach </w:t>
      </w:r>
      <w:r w:rsidR="00E54A69">
        <w:rPr>
          <w:rFonts w:ascii="Times New Roman" w:hAnsi="Times New Roman" w:cs="Times New Roman"/>
          <w:sz w:val="24"/>
          <w:szCs w:val="24"/>
        </w:rPr>
        <w:t>was</w:t>
      </w:r>
      <w:r w:rsidR="00E84ADD">
        <w:rPr>
          <w:rFonts w:ascii="Times New Roman" w:hAnsi="Times New Roman" w:cs="Times New Roman"/>
          <w:sz w:val="24"/>
          <w:szCs w:val="24"/>
        </w:rPr>
        <w:t xml:space="preserve"> previously</w:t>
      </w:r>
      <w:r w:rsidR="00E54A69">
        <w:rPr>
          <w:rFonts w:ascii="Times New Roman" w:hAnsi="Times New Roman" w:cs="Times New Roman"/>
          <w:sz w:val="24"/>
          <w:szCs w:val="24"/>
        </w:rPr>
        <w:t xml:space="preserve"> </w:t>
      </w:r>
      <w:r w:rsidR="00E84ADD">
        <w:rPr>
          <w:rFonts w:ascii="Times New Roman" w:hAnsi="Times New Roman" w:cs="Times New Roman"/>
          <w:sz w:val="24"/>
          <w:szCs w:val="24"/>
        </w:rPr>
        <w:t>used</w:t>
      </w:r>
      <w:r w:rsidR="00E54A69">
        <w:rPr>
          <w:rFonts w:ascii="Times New Roman" w:hAnsi="Times New Roman" w:cs="Times New Roman"/>
          <w:sz w:val="24"/>
          <w:szCs w:val="24"/>
        </w:rPr>
        <w:t xml:space="preserve"> in </w:t>
      </w:r>
      <w:r w:rsidR="00FD7A86" w:rsidRPr="00F74474">
        <w:rPr>
          <w:rFonts w:ascii="Times New Roman" w:hAnsi="Times New Roman" w:cs="Times New Roman"/>
          <w:sz w:val="24"/>
          <w:szCs w:val="24"/>
        </w:rPr>
        <w:t>the Learning Assessment Toolkit</w:t>
      </w:r>
      <w:r w:rsidR="00C45DFD">
        <w:rPr>
          <w:rFonts w:ascii="Times New Roman" w:hAnsi="Times New Roman" w:cs="Times New Roman"/>
          <w:sz w:val="24"/>
          <w:szCs w:val="24"/>
        </w:rPr>
        <w:fldChar w:fldCharType="begin"/>
      </w:r>
      <w:r w:rsidR="00C45DFD">
        <w:rPr>
          <w:rFonts w:ascii="Times New Roman" w:hAnsi="Times New Roman" w:cs="Times New Roman"/>
          <w:sz w:val="24"/>
          <w:szCs w:val="24"/>
        </w:rPr>
        <w:instrText xml:space="preserve"> ADDIN EN.CITE &lt;EndNote&gt;&lt;Cite&gt;&lt;Author&gt;de Boer&lt;/Author&gt;&lt;Year&gt;2010&lt;/Year&gt;&lt;RecNum&gt;19&lt;/RecNum&gt;&lt;DisplayText&gt;&lt;style face="superscript"&gt;2&lt;/style&gt;&lt;/DisplayText&gt;&lt;record&gt;&lt;rec-number&gt;19&lt;/rec-number&gt;&lt;foreign-keys&gt;&lt;key app="EN" db-id="avxwpr2zp05wpkevs0nppd2f2a09asw2v2sd" timestamp="1592997569"&gt;19&lt;/key&gt;&lt;/foreign-keys&gt;&lt;ref-type name="Journal Article"&gt;17&lt;/ref-type&gt;&lt;contributors&gt;&lt;authors&gt;&lt;author&gt;de Boer, P. G.&lt;/author&gt;&lt;author&gt;Buckley, R.&lt;/author&gt;&lt;author&gt;Schmidt, P.&lt;/author&gt;&lt;author&gt;Fox, R.&lt;/author&gt;&lt;author&gt;Jupiter, J.&lt;/author&gt;&lt;/authors&gt;&lt;/contributors&gt;&lt;auth-address&gt;AO Education, Dubendorf, Switzerland. Piet.deboer@aofoundation.org&lt;/auth-address&gt;&lt;titles&gt;&lt;title&gt;Learning assessment toolkit&lt;/title&gt;&lt;secondary-title&gt;J Bone Joint Surg Am&lt;/secondary-title&gt;&lt;/titles&gt;&lt;periodical&gt;&lt;full-title&gt;J Bone Joint Surg Am&lt;/full-title&gt;&lt;/periodical&gt;&lt;pages&gt;1325-9&lt;/pages&gt;&lt;volume&gt;92&lt;/volume&gt;&lt;number&gt;5&lt;/number&gt;&lt;edition&gt;2010/05/05&lt;/edition&gt;&lt;keywords&gt;&lt;keyword&gt;Clinical Competence&lt;/keyword&gt;&lt;keyword&gt;Education, Medical, Graduate/*methods&lt;/keyword&gt;&lt;keyword&gt;Educational Measurement/*methods&lt;/keyword&gt;&lt;keyword&gt;Fractures, Bone/*surgery&lt;/keyword&gt;&lt;keyword&gt;Humans&lt;/keyword&gt;&lt;keyword&gt;Orthopedic Procedures/*education&lt;/keyword&gt;&lt;keyword&gt;Orthopedics/*education&lt;/keyword&gt;&lt;keyword&gt;Pilot Projects&lt;/keyword&gt;&lt;keyword&gt;Software&lt;/keyword&gt;&lt;/keywords&gt;&lt;dates&gt;&lt;year&gt;2010&lt;/year&gt;&lt;pub-dates&gt;&lt;date&gt;May&lt;/date&gt;&lt;/pub-dates&gt;&lt;/dates&gt;&lt;isbn&gt;1535-1386 (Electronic)&amp;#xD;0021-9355 (Linking)&lt;/isbn&gt;&lt;accession-num&gt;20439698&lt;/accession-num&gt;&lt;urls&gt;&lt;related-urls&gt;&lt;url&gt;https://www.ncbi.nlm.nih.gov/pubmed/20439698&lt;/url&gt;&lt;/related-urls&gt;&lt;/urls&gt;&lt;electronic-resource-num&gt;10.2106/JBJS.I.00775&lt;/electronic-resource-num&gt;&lt;/record&gt;&lt;/Cite&gt;&lt;/EndNote&gt;</w:instrText>
      </w:r>
      <w:r w:rsidR="00C45DFD">
        <w:rPr>
          <w:rFonts w:ascii="Times New Roman" w:hAnsi="Times New Roman" w:cs="Times New Roman"/>
          <w:sz w:val="24"/>
          <w:szCs w:val="24"/>
        </w:rPr>
        <w:fldChar w:fldCharType="separate"/>
      </w:r>
      <w:r w:rsidR="00C45DFD" w:rsidRPr="00C45DFD">
        <w:rPr>
          <w:rFonts w:ascii="Times New Roman" w:hAnsi="Times New Roman" w:cs="Times New Roman"/>
          <w:noProof/>
          <w:sz w:val="24"/>
          <w:szCs w:val="24"/>
          <w:vertAlign w:val="superscript"/>
        </w:rPr>
        <w:t>2</w:t>
      </w:r>
      <w:r w:rsidR="00C45DFD">
        <w:rPr>
          <w:rFonts w:ascii="Times New Roman" w:hAnsi="Times New Roman" w:cs="Times New Roman"/>
          <w:sz w:val="24"/>
          <w:szCs w:val="24"/>
        </w:rPr>
        <w:fldChar w:fldCharType="end"/>
      </w:r>
      <w:r w:rsidR="00C45DFD">
        <w:rPr>
          <w:rFonts w:ascii="Times New Roman" w:hAnsi="Times New Roman" w:cs="Times New Roman"/>
          <w:sz w:val="24"/>
          <w:szCs w:val="24"/>
        </w:rPr>
        <w:t xml:space="preserve"> </w:t>
      </w:r>
      <w:r w:rsidR="00E54A69" w:rsidRPr="00727FD3">
        <w:rPr>
          <w:rFonts w:ascii="Times New Roman" w:hAnsi="Times New Roman" w:cs="Times New Roman"/>
          <w:sz w:val="24"/>
          <w:szCs w:val="24"/>
        </w:rPr>
        <w:t>that was developed to supplement the judgment of surgical educators before and after a teaching event with real evidence</w:t>
      </w:r>
      <w:r w:rsidR="00CF5FFD">
        <w:rPr>
          <w:rFonts w:ascii="Times New Roman" w:hAnsi="Times New Roman" w:cs="Times New Roman"/>
          <w:sz w:val="24"/>
          <w:szCs w:val="24"/>
        </w:rPr>
        <w:t xml:space="preserve">. </w:t>
      </w:r>
      <w:r w:rsidR="003A173B" w:rsidRPr="003A173B">
        <w:rPr>
          <w:rFonts w:ascii="Times New Roman" w:hAnsi="Times New Roman" w:cs="Times New Roman"/>
          <w:sz w:val="24"/>
          <w:szCs w:val="24"/>
        </w:rPr>
        <w:t>This can detect areas where the subjective and objective data suggests that participants know more or know less that they think (ie, "different combinations of perceived and actual needs") and educators can plan strategies to address each scenario</w:t>
      </w:r>
      <w:r w:rsidR="00727FD3">
        <w:rPr>
          <w:rFonts w:ascii="Times New Roman" w:hAnsi="Times New Roman" w:cs="Times New Roman"/>
          <w:sz w:val="24"/>
          <w:szCs w:val="24"/>
        </w:rPr>
        <w:t xml:space="preserve"> </w:t>
      </w:r>
      <w:r w:rsidR="00727FD3" w:rsidRPr="00C45DFD">
        <w:rPr>
          <w:rFonts w:ascii="Times New Roman" w:hAnsi="Times New Roman" w:cs="Times New Roman"/>
          <w:sz w:val="24"/>
          <w:szCs w:val="24"/>
        </w:rPr>
        <w:t>(Appendix 4)</w:t>
      </w:r>
      <w:r w:rsidR="003A173B" w:rsidRPr="00C45DFD">
        <w:rPr>
          <w:rFonts w:ascii="Times New Roman" w:hAnsi="Times New Roman" w:cs="Times New Roman"/>
          <w:sz w:val="24"/>
          <w:szCs w:val="24"/>
        </w:rPr>
        <w:t>.</w:t>
      </w:r>
      <w:r w:rsidR="003A173B" w:rsidRPr="003A173B">
        <w:rPr>
          <w:rFonts w:ascii="Times New Roman" w:hAnsi="Times New Roman" w:cs="Times New Roman"/>
          <w:sz w:val="24"/>
          <w:szCs w:val="24"/>
        </w:rPr>
        <w:t xml:space="preserve">  </w:t>
      </w:r>
    </w:p>
    <w:p w14:paraId="332A515F" w14:textId="77777777" w:rsidR="00CF5FFD" w:rsidRDefault="00CF5FFD" w:rsidP="00E160C8">
      <w:pPr>
        <w:spacing w:line="480" w:lineRule="auto"/>
        <w:contextualSpacing/>
        <w:jc w:val="both"/>
        <w:rPr>
          <w:rFonts w:ascii="Times New Roman" w:hAnsi="Times New Roman" w:cs="Times New Roman"/>
          <w:sz w:val="24"/>
          <w:szCs w:val="24"/>
        </w:rPr>
      </w:pPr>
    </w:p>
    <w:p w14:paraId="61B9F95E" w14:textId="320B7F56" w:rsidR="00E160C8" w:rsidRDefault="00E160C8" w:rsidP="006A4152">
      <w:pPr>
        <w:pStyle w:val="Heading1"/>
      </w:pPr>
      <w:r w:rsidRPr="00E94438">
        <w:t>References</w:t>
      </w:r>
    </w:p>
    <w:p w14:paraId="4345DB0A" w14:textId="77777777" w:rsidR="00C45DFD" w:rsidRPr="006A4152" w:rsidRDefault="00C45DFD" w:rsidP="006A4152">
      <w:pPr>
        <w:spacing w:line="480" w:lineRule="auto"/>
        <w:jc w:val="both"/>
        <w:rPr>
          <w:rFonts w:ascii="Times New Roman" w:hAnsi="Times New Roman" w:cs="Times New Roman"/>
          <w:sz w:val="24"/>
          <w:szCs w:val="24"/>
        </w:rPr>
      </w:pPr>
    </w:p>
    <w:p w14:paraId="22254AED" w14:textId="77777777" w:rsidR="006A4152" w:rsidRPr="006A4152" w:rsidRDefault="00C45DFD" w:rsidP="006A4152">
      <w:pPr>
        <w:pStyle w:val="EndNoteBibliography"/>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EN.REFLIST </w:instrText>
      </w:r>
      <w:r>
        <w:rPr>
          <w:rFonts w:ascii="Times New Roman" w:hAnsi="Times New Roman" w:cs="Times New Roman"/>
          <w:sz w:val="24"/>
          <w:szCs w:val="24"/>
        </w:rPr>
        <w:fldChar w:fldCharType="separate"/>
      </w:r>
      <w:r w:rsidR="006A4152" w:rsidRPr="006A4152">
        <w:tab/>
        <w:t>1.</w:t>
      </w:r>
      <w:r w:rsidR="006A4152" w:rsidRPr="006A4152">
        <w:tab/>
        <w:t xml:space="preserve">Fox R, Miner C: Motivation and the facilitation of change, learning and participation in educational programs for health professionals. J Cont Educ Health Prof 1999;19:132-141. </w:t>
      </w:r>
    </w:p>
    <w:p w14:paraId="7B8FA276" w14:textId="77777777" w:rsidR="006A4152" w:rsidRPr="006A4152" w:rsidRDefault="006A4152" w:rsidP="006A4152">
      <w:pPr>
        <w:pStyle w:val="EndNoteBibliography"/>
      </w:pPr>
      <w:r w:rsidRPr="006A4152">
        <w:tab/>
        <w:t>2.</w:t>
      </w:r>
      <w:r w:rsidRPr="006A4152">
        <w:tab/>
        <w:t>de Boer PG, Buckley R, Schmidt P, et al: Learning assessment toolkit. J Bone Joint Surg Am 92:1325-9, 2010</w:t>
      </w:r>
    </w:p>
    <w:p w14:paraId="6FC8C6B2" w14:textId="77777777" w:rsidR="006A4152" w:rsidRPr="006A4152" w:rsidRDefault="006A4152" w:rsidP="006A4152">
      <w:pPr>
        <w:pStyle w:val="EndNoteBibliography"/>
      </w:pPr>
      <w:r w:rsidRPr="006A4152">
        <w:lastRenderedPageBreak/>
        <w:tab/>
        <w:t>3.</w:t>
      </w:r>
      <w:r w:rsidRPr="006A4152">
        <w:tab/>
        <w:t xml:space="preserve">Knox A: Influences on participation in continuing education. J Cont Educ Health Prof 1990; 10:261–274. </w:t>
      </w:r>
    </w:p>
    <w:p w14:paraId="43BEFF07" w14:textId="50588A91" w:rsidR="00E160C8" w:rsidRPr="00E94438" w:rsidRDefault="00C45DFD" w:rsidP="006A4152">
      <w:r>
        <w:fldChar w:fldCharType="end"/>
      </w:r>
    </w:p>
    <w:sectPr w:rsidR="00E160C8" w:rsidRPr="00E9443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07D38"/>
    <w:multiLevelType w:val="hybridMultilevel"/>
    <w:tmpl w:val="9E3E5C8A"/>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28C414E7"/>
    <w:multiLevelType w:val="hybridMultilevel"/>
    <w:tmpl w:val="AE72D06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96A764A"/>
    <w:multiLevelType w:val="hybridMultilevel"/>
    <w:tmpl w:val="AE72D06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487F6D35"/>
    <w:multiLevelType w:val="hybridMultilevel"/>
    <w:tmpl w:val="934C6CD6"/>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4EF96B8B"/>
    <w:multiLevelType w:val="hybridMultilevel"/>
    <w:tmpl w:val="0D281FF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780B154D"/>
    <w:multiLevelType w:val="hybridMultilevel"/>
    <w:tmpl w:val="C7BC1090"/>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15:restartNumberingAfterBreak="0">
    <w:nsid w:val="7DF73F04"/>
    <w:multiLevelType w:val="hybridMultilevel"/>
    <w:tmpl w:val="F8600D9C"/>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 Clinical Onc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vxwpr2zp05wpkevs0nppd2f2a09asw2v2sd&quot;&gt;My EndNote Library&lt;record-ids&gt;&lt;item&gt;19&lt;/item&gt;&lt;item&gt;29&lt;/item&gt;&lt;item&gt;84&lt;/item&gt;&lt;/record-ids&gt;&lt;/item&gt;&lt;/Libraries&gt;"/>
  </w:docVars>
  <w:rsids>
    <w:rsidRoot w:val="00E160C8"/>
    <w:rsid w:val="0000043A"/>
    <w:rsid w:val="00015C4F"/>
    <w:rsid w:val="00016234"/>
    <w:rsid w:val="00042CF7"/>
    <w:rsid w:val="00093BAA"/>
    <w:rsid w:val="00093D67"/>
    <w:rsid w:val="000C719C"/>
    <w:rsid w:val="000D1F94"/>
    <w:rsid w:val="000D3E54"/>
    <w:rsid w:val="001001DD"/>
    <w:rsid w:val="00133B4F"/>
    <w:rsid w:val="00134535"/>
    <w:rsid w:val="0014258D"/>
    <w:rsid w:val="00143F24"/>
    <w:rsid w:val="00152B43"/>
    <w:rsid w:val="0017313B"/>
    <w:rsid w:val="001A594C"/>
    <w:rsid w:val="001C3C9D"/>
    <w:rsid w:val="001E117F"/>
    <w:rsid w:val="001F3C26"/>
    <w:rsid w:val="0021483F"/>
    <w:rsid w:val="00227A5F"/>
    <w:rsid w:val="0024316C"/>
    <w:rsid w:val="00285706"/>
    <w:rsid w:val="002977BE"/>
    <w:rsid w:val="002B3F92"/>
    <w:rsid w:val="002B5965"/>
    <w:rsid w:val="002B6733"/>
    <w:rsid w:val="002C5AF2"/>
    <w:rsid w:val="0030198B"/>
    <w:rsid w:val="003056CD"/>
    <w:rsid w:val="00316BDC"/>
    <w:rsid w:val="0032079E"/>
    <w:rsid w:val="00357521"/>
    <w:rsid w:val="003612A4"/>
    <w:rsid w:val="00371696"/>
    <w:rsid w:val="00373DAB"/>
    <w:rsid w:val="003912D2"/>
    <w:rsid w:val="003977DB"/>
    <w:rsid w:val="003A173B"/>
    <w:rsid w:val="003B7DDB"/>
    <w:rsid w:val="003D51C5"/>
    <w:rsid w:val="003F431B"/>
    <w:rsid w:val="00402C12"/>
    <w:rsid w:val="00405F74"/>
    <w:rsid w:val="004171D4"/>
    <w:rsid w:val="00437798"/>
    <w:rsid w:val="00482CE3"/>
    <w:rsid w:val="00496DDD"/>
    <w:rsid w:val="004A44AF"/>
    <w:rsid w:val="004A70C6"/>
    <w:rsid w:val="004B0227"/>
    <w:rsid w:val="004B5CC8"/>
    <w:rsid w:val="004E048F"/>
    <w:rsid w:val="005026C8"/>
    <w:rsid w:val="00503203"/>
    <w:rsid w:val="0051179F"/>
    <w:rsid w:val="00512DD7"/>
    <w:rsid w:val="00552F1B"/>
    <w:rsid w:val="005602FC"/>
    <w:rsid w:val="0056160C"/>
    <w:rsid w:val="0057145B"/>
    <w:rsid w:val="00581C9D"/>
    <w:rsid w:val="00596B41"/>
    <w:rsid w:val="005A2440"/>
    <w:rsid w:val="005B373C"/>
    <w:rsid w:val="005C7F61"/>
    <w:rsid w:val="005D7743"/>
    <w:rsid w:val="005F1CD8"/>
    <w:rsid w:val="005F2F85"/>
    <w:rsid w:val="006319CB"/>
    <w:rsid w:val="00653763"/>
    <w:rsid w:val="0067344D"/>
    <w:rsid w:val="0067609C"/>
    <w:rsid w:val="00694590"/>
    <w:rsid w:val="00697063"/>
    <w:rsid w:val="006A3202"/>
    <w:rsid w:val="006A3D19"/>
    <w:rsid w:val="006A4152"/>
    <w:rsid w:val="006E3C39"/>
    <w:rsid w:val="006E646E"/>
    <w:rsid w:val="006F3355"/>
    <w:rsid w:val="006F564E"/>
    <w:rsid w:val="00706D51"/>
    <w:rsid w:val="007178BA"/>
    <w:rsid w:val="0072342E"/>
    <w:rsid w:val="00727FD3"/>
    <w:rsid w:val="0076228F"/>
    <w:rsid w:val="00762A9B"/>
    <w:rsid w:val="00776267"/>
    <w:rsid w:val="00785424"/>
    <w:rsid w:val="007A4384"/>
    <w:rsid w:val="007A6083"/>
    <w:rsid w:val="007A7764"/>
    <w:rsid w:val="007B4040"/>
    <w:rsid w:val="007B6509"/>
    <w:rsid w:val="007D4A7C"/>
    <w:rsid w:val="007E21EE"/>
    <w:rsid w:val="00800B1F"/>
    <w:rsid w:val="008010EB"/>
    <w:rsid w:val="0081460A"/>
    <w:rsid w:val="00822684"/>
    <w:rsid w:val="00840A1D"/>
    <w:rsid w:val="008B1273"/>
    <w:rsid w:val="008B7750"/>
    <w:rsid w:val="008C3FE3"/>
    <w:rsid w:val="008E4251"/>
    <w:rsid w:val="008E5660"/>
    <w:rsid w:val="009044F0"/>
    <w:rsid w:val="00920576"/>
    <w:rsid w:val="0092595E"/>
    <w:rsid w:val="00930062"/>
    <w:rsid w:val="00933A67"/>
    <w:rsid w:val="009529A6"/>
    <w:rsid w:val="0097629D"/>
    <w:rsid w:val="009858D3"/>
    <w:rsid w:val="00993CD4"/>
    <w:rsid w:val="0099697B"/>
    <w:rsid w:val="0099712A"/>
    <w:rsid w:val="009C7A82"/>
    <w:rsid w:val="009D7B19"/>
    <w:rsid w:val="009E4230"/>
    <w:rsid w:val="009F595A"/>
    <w:rsid w:val="00A001EF"/>
    <w:rsid w:val="00A04262"/>
    <w:rsid w:val="00A17F99"/>
    <w:rsid w:val="00A622C2"/>
    <w:rsid w:val="00A75450"/>
    <w:rsid w:val="00A7691E"/>
    <w:rsid w:val="00A76C53"/>
    <w:rsid w:val="00A77D76"/>
    <w:rsid w:val="00A949B0"/>
    <w:rsid w:val="00AA3E5F"/>
    <w:rsid w:val="00AA68A1"/>
    <w:rsid w:val="00AB15F7"/>
    <w:rsid w:val="00AC4F6A"/>
    <w:rsid w:val="00AE25D9"/>
    <w:rsid w:val="00AE5F59"/>
    <w:rsid w:val="00AE7236"/>
    <w:rsid w:val="00B10A4E"/>
    <w:rsid w:val="00B221D0"/>
    <w:rsid w:val="00B42EBD"/>
    <w:rsid w:val="00B44B4C"/>
    <w:rsid w:val="00B52EAF"/>
    <w:rsid w:val="00B53101"/>
    <w:rsid w:val="00B56BFE"/>
    <w:rsid w:val="00B742AD"/>
    <w:rsid w:val="00B74864"/>
    <w:rsid w:val="00BE0936"/>
    <w:rsid w:val="00C03597"/>
    <w:rsid w:val="00C06FC5"/>
    <w:rsid w:val="00C106EC"/>
    <w:rsid w:val="00C15EEA"/>
    <w:rsid w:val="00C228A3"/>
    <w:rsid w:val="00C45DFD"/>
    <w:rsid w:val="00C729D2"/>
    <w:rsid w:val="00C737C3"/>
    <w:rsid w:val="00C75506"/>
    <w:rsid w:val="00C7608F"/>
    <w:rsid w:val="00C916BB"/>
    <w:rsid w:val="00CA1327"/>
    <w:rsid w:val="00CA33BF"/>
    <w:rsid w:val="00CC2E24"/>
    <w:rsid w:val="00CC4425"/>
    <w:rsid w:val="00CC7160"/>
    <w:rsid w:val="00CD24C9"/>
    <w:rsid w:val="00CD24DB"/>
    <w:rsid w:val="00CE4985"/>
    <w:rsid w:val="00CF5FFD"/>
    <w:rsid w:val="00D14E76"/>
    <w:rsid w:val="00D23D5F"/>
    <w:rsid w:val="00D43C3F"/>
    <w:rsid w:val="00D45C63"/>
    <w:rsid w:val="00D46AFE"/>
    <w:rsid w:val="00DA293F"/>
    <w:rsid w:val="00DB64A9"/>
    <w:rsid w:val="00DD752D"/>
    <w:rsid w:val="00DE4D76"/>
    <w:rsid w:val="00DF08E1"/>
    <w:rsid w:val="00E006DE"/>
    <w:rsid w:val="00E160C8"/>
    <w:rsid w:val="00E353E2"/>
    <w:rsid w:val="00E41250"/>
    <w:rsid w:val="00E41C1A"/>
    <w:rsid w:val="00E53BDD"/>
    <w:rsid w:val="00E54A69"/>
    <w:rsid w:val="00E64447"/>
    <w:rsid w:val="00E81873"/>
    <w:rsid w:val="00E81E24"/>
    <w:rsid w:val="00E84ADD"/>
    <w:rsid w:val="00E90B94"/>
    <w:rsid w:val="00E92E6C"/>
    <w:rsid w:val="00E94438"/>
    <w:rsid w:val="00E949D8"/>
    <w:rsid w:val="00EA1B47"/>
    <w:rsid w:val="00EB1F7B"/>
    <w:rsid w:val="00EC73E9"/>
    <w:rsid w:val="00ED2A5D"/>
    <w:rsid w:val="00EE0371"/>
    <w:rsid w:val="00EE2E93"/>
    <w:rsid w:val="00F01FF0"/>
    <w:rsid w:val="00F24857"/>
    <w:rsid w:val="00F2603C"/>
    <w:rsid w:val="00F362A3"/>
    <w:rsid w:val="00F65C1A"/>
    <w:rsid w:val="00F74474"/>
    <w:rsid w:val="00F829D4"/>
    <w:rsid w:val="00F87E3D"/>
    <w:rsid w:val="00FB0B9E"/>
    <w:rsid w:val="00FC7AB4"/>
    <w:rsid w:val="00FD3FBA"/>
    <w:rsid w:val="00FD618B"/>
    <w:rsid w:val="00FD7A86"/>
  </w:rsids>
  <m:mathPr>
    <m:mathFont m:val="Cambria Math"/>
    <m:brkBin m:val="before"/>
    <m:brkBinSub m:val="--"/>
    <m:smallFrac m:val="0"/>
    <m:dispDef/>
    <m:lMargin m:val="0"/>
    <m:rMargin m:val="0"/>
    <m:defJc m:val="centerGroup"/>
    <m:wrapIndent m:val="1440"/>
    <m:intLim m:val="subSup"/>
    <m:naryLim m:val="undOvr"/>
  </m:mathPr>
  <w:themeFontLang w:val="de-CH"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C86BE"/>
  <w15:chartTrackingRefBased/>
  <w15:docId w15:val="{7B05E304-786B-4F89-92CC-5135299AB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0C8"/>
    <w:pPr>
      <w:spacing w:after="0" w:line="240" w:lineRule="auto"/>
    </w:pPr>
    <w:rPr>
      <w:rFonts w:ascii="Calibri" w:hAnsi="Calibri" w:cs="Calibri"/>
      <w:lang w:val="en-US"/>
    </w:rPr>
  </w:style>
  <w:style w:type="paragraph" w:styleId="Heading1">
    <w:name w:val="heading 1"/>
    <w:basedOn w:val="Normal"/>
    <w:next w:val="Normal"/>
    <w:link w:val="Heading1Char"/>
    <w:uiPriority w:val="9"/>
    <w:qFormat/>
    <w:rsid w:val="00E160C8"/>
    <w:pPr>
      <w:keepNext/>
      <w:keepLines/>
      <w:spacing w:before="240"/>
      <w:outlineLvl w:val="0"/>
    </w:pPr>
    <w:rPr>
      <w:rFonts w:asciiTheme="majorHAnsi" w:eastAsiaTheme="majorEastAsia" w:hAnsiTheme="majorHAnsi" w:cstheme="majorBidi"/>
      <w:color w:val="1E3D73"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60C8"/>
    <w:rPr>
      <w:rFonts w:asciiTheme="majorHAnsi" w:eastAsiaTheme="majorEastAsia" w:hAnsiTheme="majorHAnsi" w:cstheme="majorBidi"/>
      <w:color w:val="1E3D73" w:themeColor="accent1" w:themeShade="BF"/>
      <w:sz w:val="32"/>
      <w:szCs w:val="32"/>
      <w:lang w:val="en-US"/>
    </w:rPr>
  </w:style>
  <w:style w:type="paragraph" w:styleId="BalloonText">
    <w:name w:val="Balloon Text"/>
    <w:basedOn w:val="Normal"/>
    <w:link w:val="BalloonTextChar"/>
    <w:uiPriority w:val="99"/>
    <w:semiHidden/>
    <w:unhideWhenUsed/>
    <w:rsid w:val="00581C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C9D"/>
    <w:rPr>
      <w:rFonts w:ascii="Segoe UI" w:hAnsi="Segoe UI" w:cs="Segoe UI"/>
      <w:sz w:val="18"/>
      <w:szCs w:val="18"/>
      <w:lang w:val="en-US"/>
    </w:rPr>
  </w:style>
  <w:style w:type="paragraph" w:styleId="ListParagraph">
    <w:name w:val="List Paragraph"/>
    <w:basedOn w:val="Normal"/>
    <w:uiPriority w:val="34"/>
    <w:qFormat/>
    <w:rsid w:val="00727FD3"/>
    <w:pPr>
      <w:ind w:left="720"/>
      <w:contextualSpacing/>
    </w:pPr>
  </w:style>
  <w:style w:type="character" w:styleId="CommentReference">
    <w:name w:val="annotation reference"/>
    <w:basedOn w:val="DefaultParagraphFont"/>
    <w:uiPriority w:val="99"/>
    <w:semiHidden/>
    <w:unhideWhenUsed/>
    <w:rsid w:val="00152B43"/>
    <w:rPr>
      <w:sz w:val="16"/>
      <w:szCs w:val="16"/>
    </w:rPr>
  </w:style>
  <w:style w:type="paragraph" w:styleId="CommentText">
    <w:name w:val="annotation text"/>
    <w:basedOn w:val="Normal"/>
    <w:link w:val="CommentTextChar"/>
    <w:uiPriority w:val="99"/>
    <w:semiHidden/>
    <w:unhideWhenUsed/>
    <w:rsid w:val="00152B43"/>
    <w:rPr>
      <w:sz w:val="20"/>
      <w:szCs w:val="20"/>
    </w:rPr>
  </w:style>
  <w:style w:type="character" w:customStyle="1" w:styleId="CommentTextChar">
    <w:name w:val="Comment Text Char"/>
    <w:basedOn w:val="DefaultParagraphFont"/>
    <w:link w:val="CommentText"/>
    <w:uiPriority w:val="99"/>
    <w:semiHidden/>
    <w:rsid w:val="00152B43"/>
    <w:rPr>
      <w:rFonts w:ascii="Calibri" w:hAnsi="Calibri" w:cs="Calibri"/>
      <w:sz w:val="20"/>
      <w:szCs w:val="20"/>
      <w:lang w:val="en-US"/>
    </w:rPr>
  </w:style>
  <w:style w:type="table" w:styleId="TableGrid">
    <w:name w:val="Table Grid"/>
    <w:basedOn w:val="TableNormal"/>
    <w:uiPriority w:val="59"/>
    <w:rsid w:val="00DE4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16234"/>
    <w:rPr>
      <w:b/>
      <w:bCs/>
    </w:rPr>
  </w:style>
  <w:style w:type="character" w:customStyle="1" w:styleId="CommentSubjectChar">
    <w:name w:val="Comment Subject Char"/>
    <w:basedOn w:val="CommentTextChar"/>
    <w:link w:val="CommentSubject"/>
    <w:uiPriority w:val="99"/>
    <w:semiHidden/>
    <w:rsid w:val="00016234"/>
    <w:rPr>
      <w:rFonts w:ascii="Calibri" w:hAnsi="Calibri" w:cs="Calibri"/>
      <w:b/>
      <w:bCs/>
      <w:sz w:val="20"/>
      <w:szCs w:val="20"/>
      <w:lang w:val="en-US"/>
    </w:rPr>
  </w:style>
  <w:style w:type="paragraph" w:customStyle="1" w:styleId="EndNoteBibliographyTitle">
    <w:name w:val="EndNote Bibliography Title"/>
    <w:basedOn w:val="Normal"/>
    <w:link w:val="EndNoteBibliographyTitleChar"/>
    <w:rsid w:val="00C45DFD"/>
    <w:pPr>
      <w:jc w:val="center"/>
    </w:pPr>
    <w:rPr>
      <w:noProof/>
    </w:rPr>
  </w:style>
  <w:style w:type="character" w:customStyle="1" w:styleId="EndNoteBibliographyTitleChar">
    <w:name w:val="EndNote Bibliography Title Char"/>
    <w:basedOn w:val="DefaultParagraphFont"/>
    <w:link w:val="EndNoteBibliographyTitle"/>
    <w:rsid w:val="00C45DFD"/>
    <w:rPr>
      <w:rFonts w:ascii="Calibri" w:hAnsi="Calibri" w:cs="Calibri"/>
      <w:noProof/>
      <w:lang w:val="en-US"/>
    </w:rPr>
  </w:style>
  <w:style w:type="paragraph" w:customStyle="1" w:styleId="EndNoteBibliography">
    <w:name w:val="EndNote Bibliography"/>
    <w:basedOn w:val="Normal"/>
    <w:link w:val="EndNoteBibliographyChar"/>
    <w:rsid w:val="00C45DFD"/>
    <w:pPr>
      <w:jc w:val="both"/>
    </w:pPr>
    <w:rPr>
      <w:noProof/>
    </w:rPr>
  </w:style>
  <w:style w:type="character" w:customStyle="1" w:styleId="EndNoteBibliographyChar">
    <w:name w:val="EndNote Bibliography Char"/>
    <w:basedOn w:val="DefaultParagraphFont"/>
    <w:link w:val="EndNoteBibliography"/>
    <w:rsid w:val="00C45DFD"/>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aof">
  <a:themeElements>
    <a:clrScheme name="aof_colors_1">
      <a:dk1>
        <a:sysClr val="windowText" lastClr="000000"/>
      </a:dk1>
      <a:lt1>
        <a:sysClr val="window" lastClr="FFFFFF"/>
      </a:lt1>
      <a:dk2>
        <a:srgbClr val="1F497D"/>
      </a:dk2>
      <a:lt2>
        <a:srgbClr val="EEECE1"/>
      </a:lt2>
      <a:accent1>
        <a:srgbClr val="29529B"/>
      </a:accent1>
      <a:accent2>
        <a:srgbClr val="F08A00"/>
      </a:accent2>
      <a:accent3>
        <a:srgbClr val="83D0F0"/>
      </a:accent3>
      <a:accent4>
        <a:srgbClr val="B6C600"/>
      </a:accent4>
      <a:accent5>
        <a:srgbClr val="747476"/>
      </a:accent5>
      <a:accent6>
        <a:srgbClr val="FFD91A"/>
      </a:accent6>
      <a:hlink>
        <a:srgbClr val="29529B"/>
      </a:hlink>
      <a:folHlink>
        <a:srgbClr val="29529B"/>
      </a:folHlink>
    </a:clrScheme>
    <a:fontScheme name="aof_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1152</Words>
  <Characters>7259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Ghidinelli</dc:creator>
  <cp:keywords/>
  <dc:description/>
  <cp:lastModifiedBy>Monica Ghidinelli</cp:lastModifiedBy>
  <cp:revision>9</cp:revision>
  <dcterms:created xsi:type="dcterms:W3CDTF">2020-07-13T09:14:00Z</dcterms:created>
  <dcterms:modified xsi:type="dcterms:W3CDTF">2020-07-13T12:34:00Z</dcterms:modified>
</cp:coreProperties>
</file>