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5" w:rsidRPr="006900BD" w:rsidRDefault="00BA437C" w:rsidP="00793415">
      <w:pPr>
        <w:spacing w:line="48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Position Requirements &amp; Skills</w:t>
      </w:r>
      <w:r w:rsidR="00793415" w:rsidRPr="006900BD">
        <w:rPr>
          <w:rFonts w:ascii="Garamond" w:hAnsi="Garamond"/>
          <w:b/>
          <w:u w:val="single"/>
        </w:rPr>
        <w:t xml:space="preserve"> Factor Analysis &amp; Subscale Creation</w:t>
      </w:r>
    </w:p>
    <w:p w:rsidR="00BA437C" w:rsidRDefault="00C55237" w:rsidP="00793415">
      <w:pPr>
        <w:spacing w:line="48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To retain a parsimonious model while still capturing relevant associations between partnerships and respondent’s positional requirements and skill, we conducted factor analyses. Since the variables of interest were categorical, e</w:t>
      </w:r>
      <w:r w:rsidR="00793415" w:rsidRPr="006900BD">
        <w:rPr>
          <w:rFonts w:ascii="Garamond" w:hAnsi="Garamond"/>
        </w:rPr>
        <w:t xml:space="preserve">xploratory factor analysis with a </w:t>
      </w:r>
      <w:proofErr w:type="spellStart"/>
      <w:r w:rsidR="00793415" w:rsidRPr="006900BD">
        <w:rPr>
          <w:rFonts w:ascii="Garamond" w:hAnsi="Garamond"/>
        </w:rPr>
        <w:t>varimax</w:t>
      </w:r>
      <w:proofErr w:type="spellEnd"/>
      <w:r w:rsidR="00793415" w:rsidRPr="006900BD">
        <w:rPr>
          <w:rFonts w:ascii="Garamond" w:hAnsi="Garamond"/>
        </w:rPr>
        <w:t xml:space="preserve"> rotation was conducted on the </w:t>
      </w:r>
      <w:proofErr w:type="spellStart"/>
      <w:r w:rsidR="00793415" w:rsidRPr="006900BD">
        <w:rPr>
          <w:rFonts w:ascii="Garamond" w:hAnsi="Garamond"/>
        </w:rPr>
        <w:t>polychoric</w:t>
      </w:r>
      <w:proofErr w:type="spellEnd"/>
      <w:r w:rsidR="00793415" w:rsidRPr="006900BD">
        <w:rPr>
          <w:rFonts w:ascii="Garamond" w:hAnsi="Garamond"/>
        </w:rPr>
        <w:t xml:space="preserve"> correlation matrix of the data </w:t>
      </w:r>
      <w:r w:rsidR="00793415" w:rsidRPr="006900BD">
        <w:rPr>
          <w:rFonts w:ascii="Garamond" w:hAnsi="Garamond"/>
          <w:noProof/>
        </w:rPr>
        <w:t>(Pett, Lackey et al. 2003)</w:t>
      </w:r>
      <w:r w:rsidR="00793415" w:rsidRPr="006900BD">
        <w:rPr>
          <w:rFonts w:ascii="Garamond" w:hAnsi="Garamond"/>
        </w:rPr>
        <w:t xml:space="preserve">. </w:t>
      </w:r>
    </w:p>
    <w:p w:rsidR="00853E7C" w:rsidRDefault="00793415" w:rsidP="00793415">
      <w:pPr>
        <w:spacing w:line="480" w:lineRule="auto"/>
        <w:ind w:firstLine="720"/>
        <w:rPr>
          <w:rFonts w:ascii="Garamond" w:hAnsi="Garamond"/>
        </w:rPr>
      </w:pPr>
      <w:r w:rsidRPr="006900BD">
        <w:rPr>
          <w:rFonts w:ascii="Garamond" w:hAnsi="Garamond"/>
        </w:rPr>
        <w:t>Three factors were retained</w:t>
      </w:r>
      <w:r w:rsidR="00853E7C">
        <w:rPr>
          <w:rFonts w:ascii="Garamond" w:hAnsi="Garamond"/>
        </w:rPr>
        <w:t xml:space="preserve"> for </w:t>
      </w:r>
      <w:r w:rsidR="00C55237">
        <w:rPr>
          <w:rFonts w:ascii="Garamond" w:hAnsi="Garamond"/>
        </w:rPr>
        <w:t xml:space="preserve">both positional requirements and respondent’s skills. </w:t>
      </w:r>
      <w:r w:rsidR="00E05F42">
        <w:rPr>
          <w:rFonts w:ascii="Garamond" w:hAnsi="Garamond"/>
        </w:rPr>
        <w:t xml:space="preserve">All 18 of the positional requirements items loaded highly (&gt; 0.5) onto one of three factors while 17 of 18 skill items loaded highly onto one of three factors. </w:t>
      </w:r>
      <w:r w:rsidR="00C55237">
        <w:rPr>
          <w:rFonts w:ascii="Garamond" w:hAnsi="Garamond"/>
        </w:rPr>
        <w:t>Of these</w:t>
      </w:r>
      <w:r w:rsidR="00E05F42">
        <w:rPr>
          <w:rFonts w:ascii="Garamond" w:hAnsi="Garamond"/>
        </w:rPr>
        <w:t xml:space="preserve"> six factors,</w:t>
      </w:r>
      <w:r w:rsidR="00C55237">
        <w:rPr>
          <w:rFonts w:ascii="Garamond" w:hAnsi="Garamond"/>
        </w:rPr>
        <w:t xml:space="preserve"> </w:t>
      </w:r>
      <w:r w:rsidR="00853E7C">
        <w:rPr>
          <w:rFonts w:ascii="Garamond" w:hAnsi="Garamond"/>
        </w:rPr>
        <w:t>four</w:t>
      </w:r>
      <w:r w:rsidR="00C55237">
        <w:rPr>
          <w:rFonts w:ascii="Garamond" w:hAnsi="Garamond"/>
        </w:rPr>
        <w:t xml:space="preserve"> </w:t>
      </w:r>
      <w:r w:rsidR="00853E7C">
        <w:rPr>
          <w:rFonts w:ascii="Garamond" w:hAnsi="Garamond"/>
        </w:rPr>
        <w:t>had Eigenvalues greater than 1</w:t>
      </w:r>
      <w:r w:rsidR="00E05F42">
        <w:rPr>
          <w:rFonts w:ascii="Garamond" w:hAnsi="Garamond"/>
        </w:rPr>
        <w:t>;</w:t>
      </w:r>
      <w:r w:rsidRPr="006900BD">
        <w:rPr>
          <w:rFonts w:ascii="Garamond" w:hAnsi="Garamond"/>
        </w:rPr>
        <w:t xml:space="preserve"> </w:t>
      </w:r>
      <w:r w:rsidR="00E05F42">
        <w:rPr>
          <w:rFonts w:ascii="Garamond" w:hAnsi="Garamond"/>
        </w:rPr>
        <w:t>t</w:t>
      </w:r>
      <w:r w:rsidR="00853E7C">
        <w:rPr>
          <w:rFonts w:ascii="Garamond" w:hAnsi="Garamond"/>
        </w:rPr>
        <w:t xml:space="preserve">wo </w:t>
      </w:r>
      <w:r w:rsidR="00E05F42">
        <w:rPr>
          <w:rFonts w:ascii="Garamond" w:hAnsi="Garamond"/>
        </w:rPr>
        <w:t>had Eigenvalues less than one but were retained due to the conceptual completeness of capturing 35 of the 36 items</w:t>
      </w:r>
      <w:r w:rsidR="00AD22CB">
        <w:rPr>
          <w:rFonts w:ascii="Garamond" w:hAnsi="Garamond"/>
        </w:rPr>
        <w:t xml:space="preserve"> and due to the fact that the cumulative percent of </w:t>
      </w:r>
      <w:r w:rsidR="00AD22CB" w:rsidRPr="00AD22CB">
        <w:rPr>
          <w:rFonts w:ascii="Garamond" w:hAnsi="Garamond"/>
        </w:rPr>
        <w:t>variance accounted for by th</w:t>
      </w:r>
      <w:r w:rsidR="00AD22CB">
        <w:rPr>
          <w:rFonts w:ascii="Garamond" w:hAnsi="Garamond"/>
        </w:rPr>
        <w:t>e three factors was 100% for both positional requirements and skills.</w:t>
      </w:r>
    </w:p>
    <w:p w:rsidR="00793415" w:rsidRPr="006900BD" w:rsidRDefault="00793415" w:rsidP="00793415">
      <w:pPr>
        <w:spacing w:line="480" w:lineRule="auto"/>
        <w:ind w:firstLine="720"/>
        <w:rPr>
          <w:rFonts w:ascii="Garamond" w:hAnsi="Garamond"/>
        </w:rPr>
      </w:pPr>
      <w:r w:rsidRPr="006900BD">
        <w:rPr>
          <w:rFonts w:ascii="Garamond" w:hAnsi="Garamond"/>
        </w:rPr>
        <w:t xml:space="preserve">Scales for the </w:t>
      </w:r>
      <w:r w:rsidR="00E05F42">
        <w:rPr>
          <w:rFonts w:ascii="Garamond" w:hAnsi="Garamond"/>
        </w:rPr>
        <w:t>six</w:t>
      </w:r>
      <w:r w:rsidRPr="006900BD">
        <w:rPr>
          <w:rFonts w:ascii="Garamond" w:hAnsi="Garamond"/>
        </w:rPr>
        <w:t xml:space="preserve"> variables were obtained by averaging the scores for the items with loadings greater than 0.</w:t>
      </w:r>
      <w:r w:rsidR="00E05F42">
        <w:rPr>
          <w:rFonts w:ascii="Garamond" w:hAnsi="Garamond"/>
        </w:rPr>
        <w:t>5; items with loadings less than 0.5 were not included when calculating factor scores</w:t>
      </w:r>
      <w:r w:rsidRPr="006900BD">
        <w:rPr>
          <w:rFonts w:ascii="Garamond" w:hAnsi="Garamond"/>
        </w:rPr>
        <w:t xml:space="preserve"> </w:t>
      </w:r>
      <w:r w:rsidRPr="006900BD">
        <w:rPr>
          <w:rFonts w:ascii="Garamond" w:hAnsi="Garamond"/>
          <w:noProof/>
        </w:rPr>
        <w:t>(Pett, Lackey et al. 2003)</w:t>
      </w:r>
      <w:r w:rsidRPr="006900BD">
        <w:rPr>
          <w:rFonts w:ascii="Garamond" w:hAnsi="Garamond"/>
        </w:rPr>
        <w:t xml:space="preserve">. </w:t>
      </w:r>
    </w:p>
    <w:p w:rsidR="00E05F42" w:rsidRDefault="00E05F42">
      <w:pPr>
        <w:spacing w:after="200" w:line="276" w:lineRule="auto"/>
        <w:rPr>
          <w:rFonts w:ascii="Garamond" w:hAnsi="Garamond"/>
          <w:bCs/>
          <w:i/>
        </w:rPr>
      </w:pPr>
      <w:r>
        <w:rPr>
          <w:rFonts w:ascii="Garamond" w:hAnsi="Garamond"/>
          <w:b/>
          <w:i/>
        </w:rPr>
        <w:br w:type="page"/>
      </w:r>
    </w:p>
    <w:p w:rsidR="00793415" w:rsidRPr="006900BD" w:rsidRDefault="00793415" w:rsidP="00793415">
      <w:pPr>
        <w:pStyle w:val="Caption"/>
        <w:keepNext/>
        <w:spacing w:after="0"/>
        <w:rPr>
          <w:rFonts w:ascii="Garamond" w:hAnsi="Garamond"/>
          <w:b w:val="0"/>
          <w:i/>
          <w:color w:val="auto"/>
          <w:sz w:val="24"/>
          <w:szCs w:val="24"/>
        </w:rPr>
      </w:pPr>
      <w:r w:rsidRPr="006900BD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 xml:space="preserve">Table A1: </w:t>
      </w:r>
      <w:r w:rsidR="00853E7C">
        <w:rPr>
          <w:rFonts w:ascii="Garamond" w:hAnsi="Garamond"/>
          <w:b w:val="0"/>
          <w:i/>
          <w:color w:val="auto"/>
          <w:sz w:val="24"/>
          <w:szCs w:val="24"/>
        </w:rPr>
        <w:t>Exploratory factor analysis and subscale creation for respondent’s positional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5334"/>
        <w:gridCol w:w="1956"/>
      </w:tblGrid>
      <w:tr w:rsidR="00793415" w:rsidRPr="006900BD" w:rsidTr="008D458C">
        <w:trPr>
          <w:trHeight w:val="300"/>
        </w:trPr>
        <w:tc>
          <w:tcPr>
            <w:tcW w:w="918" w:type="dxa"/>
            <w:shd w:val="clear" w:color="auto" w:fill="D9D9D9" w:themeFill="background1" w:themeFillShade="D9"/>
            <w:noWrap/>
            <w:hideMark/>
          </w:tcPr>
          <w:p w:rsidR="00793415" w:rsidRPr="006900BD" w:rsidRDefault="00793415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Factor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793415" w:rsidRPr="006900BD" w:rsidRDefault="00793415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Eigen value</w:t>
            </w:r>
          </w:p>
        </w:tc>
        <w:tc>
          <w:tcPr>
            <w:tcW w:w="5334" w:type="dxa"/>
            <w:shd w:val="clear" w:color="auto" w:fill="D9D9D9" w:themeFill="background1" w:themeFillShade="D9"/>
            <w:noWrap/>
            <w:hideMark/>
          </w:tcPr>
          <w:p w:rsidR="00793415" w:rsidRPr="006900BD" w:rsidRDefault="00793415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Clinical Service (Loading*)</w:t>
            </w:r>
          </w:p>
        </w:tc>
        <w:tc>
          <w:tcPr>
            <w:tcW w:w="1956" w:type="dxa"/>
            <w:shd w:val="clear" w:color="auto" w:fill="D9D9D9" w:themeFill="background1" w:themeFillShade="D9"/>
            <w:noWrap/>
            <w:hideMark/>
          </w:tcPr>
          <w:p w:rsidR="00793415" w:rsidRPr="006900BD" w:rsidRDefault="00793415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Descriptive Name</w:t>
            </w:r>
          </w:p>
        </w:tc>
      </w:tr>
      <w:tr w:rsidR="00793415" w:rsidRPr="006900BD" w:rsidTr="008D458C">
        <w:trPr>
          <w:trHeight w:val="300"/>
        </w:trPr>
        <w:tc>
          <w:tcPr>
            <w:tcW w:w="918" w:type="dxa"/>
            <w:noWrap/>
            <w:hideMark/>
          </w:tcPr>
          <w:p w:rsidR="00793415" w:rsidRPr="006900BD" w:rsidRDefault="00793415" w:rsidP="0004594B">
            <w:pPr>
              <w:rPr>
                <w:rFonts w:ascii="Garamond" w:hAnsi="Garamond"/>
              </w:rPr>
            </w:pPr>
            <w:r w:rsidRPr="006900BD">
              <w:rPr>
                <w:rFonts w:ascii="Garamond" w:hAnsi="Garamond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793415" w:rsidRPr="006900BD" w:rsidRDefault="00E05F42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10.93</w:t>
            </w:r>
          </w:p>
        </w:tc>
        <w:tc>
          <w:tcPr>
            <w:tcW w:w="5334" w:type="dxa"/>
            <w:noWrap/>
            <w:hideMark/>
          </w:tcPr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Collaborating with diverse communities to identify and solve health problems. 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Addressing the needs of diverse populations in a culturally sensitive way. 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Assessing the broad array of factors that influence specific public health problems. 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Understanding the relationship between a new policy and many types of public health problems. 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Engaging partners outside your health department to collaborate on projects. 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Interpreting public health data to answer questions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Finding evidence on public health efforts that work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Applying evidence-based approaches to solve public health issues</w:t>
            </w:r>
          </w:p>
          <w:p w:rsidR="00793415" w:rsidRPr="00853E7C" w:rsidRDefault="00853E7C" w:rsidP="00E05F42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Influencing policy development </w:t>
            </w:r>
            <w:r w:rsidRPr="00853E7C">
              <w:rPr>
                <w:rFonts w:ascii="Garamond" w:hAnsi="Garamond"/>
                <w:i/>
              </w:rPr>
              <w:t>(competency only)</w:t>
            </w:r>
          </w:p>
        </w:tc>
        <w:tc>
          <w:tcPr>
            <w:tcW w:w="1956" w:type="dxa"/>
            <w:noWrap/>
            <w:hideMark/>
          </w:tcPr>
          <w:p w:rsidR="00793415" w:rsidRPr="006900BD" w:rsidRDefault="00853E7C" w:rsidP="008D458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Community </w:t>
            </w:r>
            <w:r w:rsidR="008D458C">
              <w:rPr>
                <w:rFonts w:ascii="Garamond" w:hAnsi="Garamond"/>
                <w:b/>
              </w:rPr>
              <w:t>Partnerships</w:t>
            </w:r>
            <w:r>
              <w:rPr>
                <w:rFonts w:ascii="Garamond" w:hAnsi="Garamond"/>
                <w:b/>
              </w:rPr>
              <w:t xml:space="preserve"> &amp; Data</w:t>
            </w:r>
          </w:p>
        </w:tc>
      </w:tr>
      <w:tr w:rsidR="00793415" w:rsidRPr="006900BD" w:rsidTr="008D458C">
        <w:trPr>
          <w:trHeight w:val="300"/>
        </w:trPr>
        <w:tc>
          <w:tcPr>
            <w:tcW w:w="918" w:type="dxa"/>
            <w:noWrap/>
            <w:hideMark/>
          </w:tcPr>
          <w:p w:rsidR="00793415" w:rsidRPr="006900BD" w:rsidRDefault="00793415" w:rsidP="0004594B">
            <w:pPr>
              <w:rPr>
                <w:rFonts w:ascii="Garamond" w:hAnsi="Garamond"/>
              </w:rPr>
            </w:pPr>
            <w:r w:rsidRPr="006900BD">
              <w:rPr>
                <w:rFonts w:ascii="Garamond" w:hAnsi="Garamond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793415" w:rsidRPr="006900BD" w:rsidRDefault="00E05F42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0.88</w:t>
            </w:r>
          </w:p>
        </w:tc>
        <w:tc>
          <w:tcPr>
            <w:tcW w:w="5334" w:type="dxa"/>
            <w:noWrap/>
            <w:hideMark/>
          </w:tcPr>
          <w:p w:rsidR="00853E7C" w:rsidRPr="00853E7C" w:rsidRDefault="00853E7C" w:rsidP="00E05F42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Communicating ideas and information in a way that different audiences can understand. </w:t>
            </w:r>
            <w:r w:rsidR="00E05F42">
              <w:rPr>
                <w:rFonts w:ascii="Garamond" w:hAnsi="Garamond"/>
              </w:rPr>
              <w:t>(0.68)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Communicating in a way that persuades others to act. </w:t>
            </w:r>
            <w:r w:rsidR="00E05F42">
              <w:rPr>
                <w:rFonts w:ascii="Garamond" w:hAnsi="Garamond"/>
              </w:rPr>
              <w:t>(0.66)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Engaging staff within your health department to collaborate on projects.</w:t>
            </w:r>
            <w:r w:rsidR="00E05F42">
              <w:rPr>
                <w:rFonts w:ascii="Garamond" w:hAnsi="Garamond"/>
              </w:rPr>
              <w:t xml:space="preserve"> (0.52)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Managing change in response to dynamic, evolving circumstances. </w:t>
            </w:r>
            <w:r w:rsidR="00E05F42">
              <w:rPr>
                <w:rFonts w:ascii="Garamond" w:hAnsi="Garamond"/>
              </w:rPr>
              <w:t>(0.62)</w:t>
            </w:r>
          </w:p>
          <w:p w:rsidR="00853E7C" w:rsidRPr="00853E7C" w:rsidRDefault="00853E7C" w:rsidP="00E05F42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Anticipating the changes in your environment (physical, political, environmental) that may influence your work.</w:t>
            </w:r>
            <w:r w:rsidR="00E05F42">
              <w:rPr>
                <w:rFonts w:ascii="Garamond" w:hAnsi="Garamond"/>
              </w:rPr>
              <w:t xml:space="preserve"> (0.53)</w:t>
            </w:r>
          </w:p>
          <w:p w:rsidR="00853E7C" w:rsidRDefault="00853E7C" w:rsidP="00E05F42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Gathering reliable information to answer questions</w:t>
            </w:r>
            <w:r w:rsidR="008646C4">
              <w:rPr>
                <w:rFonts w:ascii="Garamond" w:hAnsi="Garamond"/>
              </w:rPr>
              <w:t xml:space="preserve"> (0.68)</w:t>
            </w:r>
          </w:p>
          <w:p w:rsidR="00793415" w:rsidRPr="008646C4" w:rsidRDefault="00853E7C" w:rsidP="008646C4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="Garamond" w:hAnsi="Garamond"/>
              </w:rPr>
            </w:pPr>
            <w:r w:rsidRPr="008646C4">
              <w:rPr>
                <w:rFonts w:ascii="Garamond" w:hAnsi="Garamond"/>
              </w:rPr>
              <w:t>Applying quality improvement concepts in my work</w:t>
            </w:r>
            <w:r w:rsidR="00E05F42" w:rsidRPr="008646C4">
              <w:rPr>
                <w:rFonts w:ascii="Garamond" w:hAnsi="Garamond"/>
              </w:rPr>
              <w:t xml:space="preserve"> (</w:t>
            </w:r>
            <w:r w:rsidR="008646C4">
              <w:rPr>
                <w:rFonts w:ascii="Garamond" w:hAnsi="Garamond"/>
              </w:rPr>
              <w:t>0.52)</w:t>
            </w:r>
          </w:p>
        </w:tc>
        <w:tc>
          <w:tcPr>
            <w:tcW w:w="1956" w:type="dxa"/>
            <w:noWrap/>
            <w:hideMark/>
          </w:tcPr>
          <w:p w:rsidR="00793415" w:rsidRPr="006900BD" w:rsidRDefault="00853E7C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Management &amp; Communication</w:t>
            </w:r>
          </w:p>
        </w:tc>
      </w:tr>
      <w:tr w:rsidR="00793415" w:rsidRPr="006900BD" w:rsidTr="008D458C">
        <w:trPr>
          <w:trHeight w:val="300"/>
        </w:trPr>
        <w:tc>
          <w:tcPr>
            <w:tcW w:w="918" w:type="dxa"/>
            <w:noWrap/>
            <w:hideMark/>
          </w:tcPr>
          <w:p w:rsidR="00793415" w:rsidRPr="006900BD" w:rsidRDefault="00793415" w:rsidP="0004594B">
            <w:pPr>
              <w:rPr>
                <w:rFonts w:ascii="Garamond" w:hAnsi="Garamond"/>
              </w:rPr>
            </w:pPr>
            <w:r w:rsidRPr="006900BD">
              <w:rPr>
                <w:rFonts w:ascii="Garamond" w:hAnsi="Garamond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793415" w:rsidRPr="006900BD" w:rsidRDefault="00E05F42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0.70</w:t>
            </w:r>
          </w:p>
        </w:tc>
        <w:tc>
          <w:tcPr>
            <w:tcW w:w="5334" w:type="dxa"/>
            <w:noWrap/>
            <w:hideMark/>
          </w:tcPr>
          <w:p w:rsidR="00853E7C" w:rsidRPr="00853E7C" w:rsidRDefault="00853E7C" w:rsidP="00E05F42">
            <w:pPr>
              <w:pStyle w:val="ListParagraph"/>
              <w:numPr>
                <w:ilvl w:val="0"/>
                <w:numId w:val="4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Preparing a program budget with justification</w:t>
            </w:r>
            <w:r w:rsidR="00E05F42">
              <w:rPr>
                <w:rFonts w:ascii="Garamond" w:hAnsi="Garamond"/>
              </w:rPr>
              <w:t xml:space="preserve"> (0.79)</w:t>
            </w:r>
          </w:p>
          <w:p w:rsidR="00793415" w:rsidRPr="00853E7C" w:rsidRDefault="00853E7C" w:rsidP="00E05F42">
            <w:pPr>
              <w:pStyle w:val="ListParagraph"/>
              <w:numPr>
                <w:ilvl w:val="0"/>
                <w:numId w:val="4"/>
              </w:numPr>
              <w:ind w:left="207" w:hanging="180"/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Ensuring that programs are managed within the current and forecasted budget constraints</w:t>
            </w:r>
            <w:r w:rsidR="00E05F42">
              <w:rPr>
                <w:rFonts w:ascii="Garamond" w:hAnsi="Garamond"/>
              </w:rPr>
              <w:t xml:space="preserve"> (0.78)</w:t>
            </w:r>
          </w:p>
        </w:tc>
        <w:tc>
          <w:tcPr>
            <w:tcW w:w="1956" w:type="dxa"/>
            <w:noWrap/>
            <w:hideMark/>
          </w:tcPr>
          <w:p w:rsidR="00793415" w:rsidRPr="006900BD" w:rsidRDefault="00853E7C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Budgeting</w:t>
            </w:r>
          </w:p>
        </w:tc>
      </w:tr>
    </w:tbl>
    <w:p w:rsidR="00853E7C" w:rsidRDefault="00853E7C" w:rsidP="00853E7C">
      <w:r w:rsidRPr="006900BD">
        <w:rPr>
          <w:rFonts w:ascii="Garamond" w:hAnsi="Garamond"/>
          <w:i/>
        </w:rPr>
        <w:t>*Loadings w</w:t>
      </w:r>
      <w:r w:rsidR="008646C4">
        <w:rPr>
          <w:rFonts w:ascii="Garamond" w:hAnsi="Garamond"/>
          <w:i/>
        </w:rPr>
        <w:t>ith absolute value less than 0.5</w:t>
      </w:r>
      <w:r w:rsidRPr="006900BD">
        <w:rPr>
          <w:rFonts w:ascii="Garamond" w:hAnsi="Garamond"/>
          <w:i/>
        </w:rPr>
        <w:t xml:space="preserve">0 </w:t>
      </w:r>
      <w:r w:rsidR="008646C4">
        <w:rPr>
          <w:rFonts w:ascii="Garamond" w:hAnsi="Garamond"/>
          <w:i/>
        </w:rPr>
        <w:t xml:space="preserve">not shown and </w:t>
      </w:r>
      <w:r w:rsidRPr="006900BD">
        <w:rPr>
          <w:rFonts w:ascii="Garamond" w:hAnsi="Garamond"/>
          <w:i/>
        </w:rPr>
        <w:t>were not used</w:t>
      </w:r>
      <w:r w:rsidR="008646C4">
        <w:rPr>
          <w:rFonts w:ascii="Garamond" w:hAnsi="Garamond"/>
          <w:i/>
        </w:rPr>
        <w:t xml:space="preserve"> in scale calculations</w:t>
      </w:r>
    </w:p>
    <w:p w:rsidR="00853E7C" w:rsidRDefault="00853E7C">
      <w:pPr>
        <w:rPr>
          <w:rFonts w:ascii="Garamond" w:hAnsi="Garamond"/>
          <w:i/>
        </w:rPr>
      </w:pPr>
    </w:p>
    <w:p w:rsidR="008646C4" w:rsidRDefault="008646C4">
      <w:pPr>
        <w:rPr>
          <w:rFonts w:ascii="Garamond" w:hAnsi="Garamond"/>
          <w:i/>
        </w:rPr>
      </w:pPr>
    </w:p>
    <w:p w:rsidR="00853E7C" w:rsidRPr="006900BD" w:rsidRDefault="00853E7C" w:rsidP="00853E7C">
      <w:pPr>
        <w:pStyle w:val="Caption"/>
        <w:keepNext/>
        <w:spacing w:after="0"/>
        <w:rPr>
          <w:rFonts w:ascii="Garamond" w:hAnsi="Garamond"/>
          <w:b w:val="0"/>
          <w:i/>
          <w:color w:val="auto"/>
          <w:sz w:val="24"/>
          <w:szCs w:val="24"/>
        </w:rPr>
      </w:pPr>
      <w:r w:rsidRPr="006900BD">
        <w:rPr>
          <w:rFonts w:ascii="Garamond" w:hAnsi="Garamond"/>
          <w:b w:val="0"/>
          <w:i/>
          <w:color w:val="auto"/>
          <w:sz w:val="24"/>
          <w:szCs w:val="24"/>
        </w:rPr>
        <w:t>Table A</w:t>
      </w:r>
      <w:r>
        <w:rPr>
          <w:rFonts w:ascii="Garamond" w:hAnsi="Garamond"/>
          <w:b w:val="0"/>
          <w:i/>
          <w:color w:val="auto"/>
          <w:sz w:val="24"/>
          <w:szCs w:val="24"/>
        </w:rPr>
        <w:t>2</w:t>
      </w:r>
      <w:r w:rsidRPr="006900BD">
        <w:rPr>
          <w:rFonts w:ascii="Garamond" w:hAnsi="Garamond"/>
          <w:b w:val="0"/>
          <w:i/>
          <w:color w:val="auto"/>
          <w:sz w:val="24"/>
          <w:szCs w:val="24"/>
        </w:rPr>
        <w:t xml:space="preserve">: </w:t>
      </w:r>
      <w:r>
        <w:rPr>
          <w:rFonts w:ascii="Garamond" w:hAnsi="Garamond"/>
          <w:b w:val="0"/>
          <w:i/>
          <w:color w:val="auto"/>
          <w:sz w:val="24"/>
          <w:szCs w:val="24"/>
        </w:rPr>
        <w:t>Exploratory factor analysis and subscale creation for respondent’s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55"/>
        <w:gridCol w:w="5334"/>
        <w:gridCol w:w="1911"/>
      </w:tblGrid>
      <w:tr w:rsidR="00853E7C" w:rsidRPr="006900BD" w:rsidTr="008D458C">
        <w:trPr>
          <w:trHeight w:val="300"/>
        </w:trPr>
        <w:tc>
          <w:tcPr>
            <w:tcW w:w="918" w:type="dxa"/>
            <w:shd w:val="clear" w:color="auto" w:fill="D9D9D9" w:themeFill="background1" w:themeFillShade="D9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Factor</w:t>
            </w:r>
          </w:p>
        </w:tc>
        <w:tc>
          <w:tcPr>
            <w:tcW w:w="855" w:type="dxa"/>
            <w:shd w:val="clear" w:color="auto" w:fill="D9D9D9" w:themeFill="background1" w:themeFillShade="D9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Eigen value</w:t>
            </w:r>
          </w:p>
        </w:tc>
        <w:tc>
          <w:tcPr>
            <w:tcW w:w="5334" w:type="dxa"/>
            <w:shd w:val="clear" w:color="auto" w:fill="D9D9D9" w:themeFill="background1" w:themeFillShade="D9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Clinical Service (Loading*)</w:t>
            </w:r>
          </w:p>
        </w:tc>
        <w:tc>
          <w:tcPr>
            <w:tcW w:w="1911" w:type="dxa"/>
            <w:shd w:val="clear" w:color="auto" w:fill="D9D9D9" w:themeFill="background1" w:themeFillShade="D9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  <w:b/>
              </w:rPr>
            </w:pPr>
            <w:r w:rsidRPr="006900BD">
              <w:rPr>
                <w:rFonts w:ascii="Garamond" w:hAnsi="Garamond"/>
                <w:b/>
              </w:rPr>
              <w:t>Descriptive Name</w:t>
            </w:r>
          </w:p>
        </w:tc>
      </w:tr>
      <w:tr w:rsidR="00853E7C" w:rsidRPr="006900BD" w:rsidTr="008D458C">
        <w:trPr>
          <w:trHeight w:val="300"/>
        </w:trPr>
        <w:tc>
          <w:tcPr>
            <w:tcW w:w="918" w:type="dxa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</w:rPr>
            </w:pPr>
            <w:r w:rsidRPr="006900BD">
              <w:rPr>
                <w:rFonts w:ascii="Garamond" w:hAnsi="Garamond"/>
              </w:rPr>
              <w:t>1</w:t>
            </w:r>
          </w:p>
        </w:tc>
        <w:tc>
          <w:tcPr>
            <w:tcW w:w="855" w:type="dxa"/>
            <w:noWrap/>
            <w:hideMark/>
          </w:tcPr>
          <w:p w:rsidR="00853E7C" w:rsidRPr="006900BD" w:rsidRDefault="004328C7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9.60</w:t>
            </w:r>
          </w:p>
        </w:tc>
        <w:tc>
          <w:tcPr>
            <w:tcW w:w="5334" w:type="dxa"/>
            <w:noWrap/>
            <w:hideMark/>
          </w:tcPr>
          <w:p w:rsidR="00853E7C" w:rsidRPr="00853E7C" w:rsidRDefault="00853E7C" w:rsidP="0004594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Collaborating with diverse communities to identify and solve health problems. </w:t>
            </w:r>
            <w:r w:rsidR="008646C4">
              <w:rPr>
                <w:rFonts w:ascii="Garamond" w:hAnsi="Garamond"/>
              </w:rPr>
              <w:t>(0.74)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lastRenderedPageBreak/>
              <w:t xml:space="preserve">Addressing the needs of diverse populations in a culturally sensitive way. </w:t>
            </w:r>
            <w:r w:rsidR="008646C4">
              <w:rPr>
                <w:rFonts w:ascii="Garamond" w:hAnsi="Garamond"/>
              </w:rPr>
              <w:t>(0.55)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Assessing the broad array of factors that influence specific public health problems. </w:t>
            </w:r>
            <w:r w:rsidR="008646C4">
              <w:rPr>
                <w:rFonts w:ascii="Garamond" w:hAnsi="Garamond"/>
              </w:rPr>
              <w:t>(0.80)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Understanding the relationship between a new policy and many types of public health problems. </w:t>
            </w:r>
            <w:r w:rsidR="008646C4">
              <w:rPr>
                <w:rFonts w:ascii="Garamond" w:hAnsi="Garamond"/>
              </w:rPr>
              <w:t>(0.66)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Engaging partners outside your health department to collaborate on projects. </w:t>
            </w:r>
            <w:r w:rsidR="008646C4">
              <w:rPr>
                <w:rFonts w:ascii="Garamond" w:hAnsi="Garamond"/>
              </w:rPr>
              <w:t>(0.53)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Interpreting public health data to answer questions</w:t>
            </w:r>
            <w:r w:rsidR="008646C4">
              <w:rPr>
                <w:rFonts w:ascii="Garamond" w:hAnsi="Garamond"/>
              </w:rPr>
              <w:t xml:space="preserve"> (0.72)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Finding evidence on public health efforts that work</w:t>
            </w:r>
            <w:r w:rsidR="008646C4">
              <w:rPr>
                <w:rFonts w:ascii="Garamond" w:hAnsi="Garamond"/>
              </w:rPr>
              <w:t xml:space="preserve"> (0.80)</w:t>
            </w:r>
          </w:p>
          <w:p w:rsidR="00853E7C" w:rsidRPr="00E05F42" w:rsidRDefault="00853E7C" w:rsidP="00E05F4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Applying evidence-based approaches to solve public health issues</w:t>
            </w:r>
            <w:r w:rsidR="008646C4">
              <w:rPr>
                <w:rFonts w:ascii="Garamond" w:hAnsi="Garamond"/>
              </w:rPr>
              <w:t xml:space="preserve"> (0.81)</w:t>
            </w:r>
          </w:p>
        </w:tc>
        <w:tc>
          <w:tcPr>
            <w:tcW w:w="1911" w:type="dxa"/>
            <w:noWrap/>
            <w:hideMark/>
          </w:tcPr>
          <w:p w:rsidR="00853E7C" w:rsidRPr="006900BD" w:rsidRDefault="00853E7C" w:rsidP="008D458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Community </w:t>
            </w:r>
            <w:r w:rsidR="008D458C">
              <w:rPr>
                <w:rFonts w:ascii="Garamond" w:hAnsi="Garamond"/>
                <w:b/>
              </w:rPr>
              <w:t>Partnerships</w:t>
            </w:r>
            <w:r>
              <w:rPr>
                <w:rFonts w:ascii="Garamond" w:hAnsi="Garamond"/>
                <w:b/>
              </w:rPr>
              <w:t xml:space="preserve"> &amp; </w:t>
            </w:r>
            <w:r>
              <w:rPr>
                <w:rFonts w:ascii="Garamond" w:hAnsi="Garamond"/>
                <w:b/>
              </w:rPr>
              <w:lastRenderedPageBreak/>
              <w:t>Data</w:t>
            </w:r>
          </w:p>
        </w:tc>
      </w:tr>
      <w:tr w:rsidR="00853E7C" w:rsidRPr="006900BD" w:rsidTr="008D458C">
        <w:trPr>
          <w:trHeight w:val="300"/>
        </w:trPr>
        <w:tc>
          <w:tcPr>
            <w:tcW w:w="918" w:type="dxa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</w:rPr>
            </w:pPr>
            <w:r w:rsidRPr="006900BD">
              <w:rPr>
                <w:rFonts w:ascii="Garamond" w:hAnsi="Garamond"/>
              </w:rPr>
              <w:lastRenderedPageBreak/>
              <w:t>2</w:t>
            </w:r>
          </w:p>
        </w:tc>
        <w:tc>
          <w:tcPr>
            <w:tcW w:w="855" w:type="dxa"/>
            <w:noWrap/>
            <w:hideMark/>
          </w:tcPr>
          <w:p w:rsidR="00853E7C" w:rsidRPr="006900BD" w:rsidRDefault="004328C7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1.05</w:t>
            </w:r>
          </w:p>
        </w:tc>
        <w:tc>
          <w:tcPr>
            <w:tcW w:w="5334" w:type="dxa"/>
            <w:noWrap/>
            <w:hideMark/>
          </w:tcPr>
          <w:p w:rsidR="00853E7C" w:rsidRPr="00853E7C" w:rsidRDefault="00853E7C" w:rsidP="000459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Communicating ideas and information in a way that different audiences can understand. </w:t>
            </w:r>
            <w:r w:rsidR="008646C4">
              <w:rPr>
                <w:rFonts w:ascii="Garamond" w:hAnsi="Garamond"/>
              </w:rPr>
              <w:t>(0.71)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Communicating in a way that persuades others to act. </w:t>
            </w:r>
            <w:r w:rsidR="008646C4">
              <w:rPr>
                <w:rFonts w:ascii="Garamond" w:hAnsi="Garamond"/>
              </w:rPr>
              <w:t>(0.70)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Engaging staff within your health department to collaborate on projects.</w:t>
            </w:r>
            <w:r w:rsidR="008646C4">
              <w:rPr>
                <w:rFonts w:ascii="Garamond" w:hAnsi="Garamond"/>
              </w:rPr>
              <w:t xml:space="preserve"> (0.52)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 xml:space="preserve">Managing change in response to dynamic, evolving circumstances. </w:t>
            </w:r>
            <w:r w:rsidR="008646C4">
              <w:rPr>
                <w:rFonts w:ascii="Garamond" w:hAnsi="Garamond"/>
              </w:rPr>
              <w:t>(0.62)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Anticipating the changes in your environment (physical, political, environmental) that may influence your work.</w:t>
            </w:r>
            <w:r w:rsidR="008646C4">
              <w:rPr>
                <w:rFonts w:ascii="Garamond" w:hAnsi="Garamond"/>
              </w:rPr>
              <w:t xml:space="preserve"> (0.67)</w:t>
            </w:r>
          </w:p>
          <w:p w:rsidR="00853E7C" w:rsidRPr="008646C4" w:rsidRDefault="00853E7C" w:rsidP="008646C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Gathering reliable information to answer questions</w:t>
            </w:r>
            <w:r w:rsidR="008646C4">
              <w:rPr>
                <w:rFonts w:ascii="Garamond" w:hAnsi="Garamond"/>
              </w:rPr>
              <w:t xml:space="preserve"> (0.54)</w:t>
            </w:r>
          </w:p>
        </w:tc>
        <w:tc>
          <w:tcPr>
            <w:tcW w:w="1911" w:type="dxa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Management &amp; Communication</w:t>
            </w:r>
          </w:p>
        </w:tc>
      </w:tr>
      <w:tr w:rsidR="00853E7C" w:rsidRPr="006900BD" w:rsidTr="008D458C">
        <w:trPr>
          <w:trHeight w:val="300"/>
        </w:trPr>
        <w:tc>
          <w:tcPr>
            <w:tcW w:w="918" w:type="dxa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</w:rPr>
            </w:pPr>
            <w:r w:rsidRPr="006900BD">
              <w:rPr>
                <w:rFonts w:ascii="Garamond" w:hAnsi="Garamond"/>
              </w:rPr>
              <w:t>3</w:t>
            </w:r>
          </w:p>
        </w:tc>
        <w:tc>
          <w:tcPr>
            <w:tcW w:w="855" w:type="dxa"/>
            <w:noWrap/>
            <w:hideMark/>
          </w:tcPr>
          <w:p w:rsidR="00853E7C" w:rsidRPr="006900BD" w:rsidRDefault="004328C7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0.86</w:t>
            </w:r>
          </w:p>
        </w:tc>
        <w:tc>
          <w:tcPr>
            <w:tcW w:w="5334" w:type="dxa"/>
            <w:noWrap/>
            <w:hideMark/>
          </w:tcPr>
          <w:p w:rsidR="00853E7C" w:rsidRPr="00853E7C" w:rsidRDefault="00853E7C" w:rsidP="0004594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Preparing a program budget with justification</w:t>
            </w:r>
            <w:r w:rsidR="008646C4">
              <w:rPr>
                <w:rFonts w:ascii="Garamond" w:hAnsi="Garamond"/>
              </w:rPr>
              <w:t xml:space="preserve"> (0.82)</w:t>
            </w:r>
          </w:p>
          <w:p w:rsidR="00853E7C" w:rsidRPr="00853E7C" w:rsidRDefault="00853E7C" w:rsidP="0004594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853E7C">
              <w:rPr>
                <w:rFonts w:ascii="Garamond" w:hAnsi="Garamond"/>
              </w:rPr>
              <w:t>Ensuring that programs are managed within the current and forecasted budget constraints</w:t>
            </w:r>
            <w:r w:rsidR="008646C4">
              <w:rPr>
                <w:rFonts w:ascii="Garamond" w:hAnsi="Garamond"/>
              </w:rPr>
              <w:t xml:space="preserve"> (0.82)</w:t>
            </w:r>
          </w:p>
        </w:tc>
        <w:tc>
          <w:tcPr>
            <w:tcW w:w="1911" w:type="dxa"/>
            <w:noWrap/>
            <w:hideMark/>
          </w:tcPr>
          <w:p w:rsidR="00853E7C" w:rsidRPr="006900BD" w:rsidRDefault="00853E7C" w:rsidP="0004594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Budgeting</w:t>
            </w:r>
          </w:p>
        </w:tc>
      </w:tr>
    </w:tbl>
    <w:p w:rsidR="00853E7C" w:rsidRDefault="008646C4" w:rsidP="008646C4">
      <w:r w:rsidRPr="006900BD">
        <w:rPr>
          <w:rFonts w:ascii="Garamond" w:hAnsi="Garamond"/>
          <w:i/>
        </w:rPr>
        <w:t>*Loadings w</w:t>
      </w:r>
      <w:r>
        <w:rPr>
          <w:rFonts w:ascii="Garamond" w:hAnsi="Garamond"/>
          <w:i/>
        </w:rPr>
        <w:t>ith absolute value less than 0.5</w:t>
      </w:r>
      <w:r w:rsidRPr="006900BD">
        <w:rPr>
          <w:rFonts w:ascii="Garamond" w:hAnsi="Garamond"/>
          <w:i/>
        </w:rPr>
        <w:t xml:space="preserve">0 </w:t>
      </w:r>
      <w:r>
        <w:rPr>
          <w:rFonts w:ascii="Garamond" w:hAnsi="Garamond"/>
          <w:i/>
        </w:rPr>
        <w:t xml:space="preserve">not shown and </w:t>
      </w:r>
      <w:r w:rsidRPr="006900BD">
        <w:rPr>
          <w:rFonts w:ascii="Garamond" w:hAnsi="Garamond"/>
          <w:i/>
        </w:rPr>
        <w:t>were not used</w:t>
      </w:r>
      <w:r>
        <w:rPr>
          <w:rFonts w:ascii="Garamond" w:hAnsi="Garamond"/>
          <w:i/>
        </w:rPr>
        <w:t xml:space="preserve"> in scale calculations</w:t>
      </w:r>
      <w:bookmarkStart w:id="0" w:name="_GoBack"/>
      <w:bookmarkEnd w:id="0"/>
    </w:p>
    <w:sectPr w:rsidR="00853E7C" w:rsidSect="009C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428D"/>
    <w:multiLevelType w:val="hybridMultilevel"/>
    <w:tmpl w:val="FB1A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15E1"/>
    <w:multiLevelType w:val="hybridMultilevel"/>
    <w:tmpl w:val="058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50387"/>
    <w:multiLevelType w:val="hybridMultilevel"/>
    <w:tmpl w:val="2206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91E66"/>
    <w:multiLevelType w:val="hybridMultilevel"/>
    <w:tmpl w:val="251C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90029"/>
    <w:multiLevelType w:val="hybridMultilevel"/>
    <w:tmpl w:val="9076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415"/>
    <w:rsid w:val="004328C7"/>
    <w:rsid w:val="00793415"/>
    <w:rsid w:val="00853E7C"/>
    <w:rsid w:val="008646C4"/>
    <w:rsid w:val="008D458C"/>
    <w:rsid w:val="009C1913"/>
    <w:rsid w:val="00AD22CB"/>
    <w:rsid w:val="00BA437C"/>
    <w:rsid w:val="00C55237"/>
    <w:rsid w:val="00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F4148-294A-4F6E-B9C1-BCE6FF8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1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4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93415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McCullough</dc:creator>
  <cp:lastModifiedBy>Mac McCullough</cp:lastModifiedBy>
  <cp:revision>7</cp:revision>
  <dcterms:created xsi:type="dcterms:W3CDTF">2015-03-16T23:58:00Z</dcterms:created>
  <dcterms:modified xsi:type="dcterms:W3CDTF">2015-05-01T18:48:00Z</dcterms:modified>
</cp:coreProperties>
</file>