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A3" w:rsidRDefault="003166A3" w:rsidP="00E40F7D">
      <w:pPr>
        <w:pStyle w:val="Heading4"/>
        <w:spacing w:before="0" w:line="480" w:lineRule="auto"/>
        <w:rPr>
          <w:rStyle w:val="Heading4Char"/>
          <w:rFonts w:asciiTheme="minorHAnsi" w:hAnsiTheme="minorHAnsi"/>
          <w:b/>
          <w:color w:val="auto"/>
        </w:rPr>
      </w:pPr>
      <w:r>
        <w:rPr>
          <w:rStyle w:val="Heading4Char"/>
          <w:rFonts w:asciiTheme="minorHAnsi" w:hAnsiTheme="minorHAnsi"/>
          <w:b/>
          <w:color w:val="auto"/>
        </w:rPr>
        <w:t>Supplemental Digital Content</w:t>
      </w:r>
    </w:p>
    <w:p w:rsidR="003166A3" w:rsidRDefault="003166A3" w:rsidP="00E40F7D">
      <w:pPr>
        <w:pStyle w:val="Heading4"/>
        <w:spacing w:before="0" w:line="480" w:lineRule="auto"/>
        <w:rPr>
          <w:rStyle w:val="Heading4Char"/>
          <w:rFonts w:asciiTheme="minorHAnsi" w:hAnsiTheme="minorHAnsi"/>
          <w:b/>
          <w:color w:val="auto"/>
        </w:rPr>
      </w:pPr>
      <w:r>
        <w:rPr>
          <w:rStyle w:val="Heading4Char"/>
          <w:rFonts w:asciiTheme="minorHAnsi" w:hAnsiTheme="minorHAnsi"/>
          <w:b/>
          <w:color w:val="auto"/>
        </w:rPr>
        <w:br w:type="page"/>
      </w:r>
    </w:p>
    <w:p w:rsidR="00E40F7D" w:rsidRPr="00EF4C5C" w:rsidRDefault="00E40F7D" w:rsidP="00E40F7D">
      <w:pPr>
        <w:pStyle w:val="Heading4"/>
        <w:spacing w:before="0" w:line="480" w:lineRule="auto"/>
        <w:rPr>
          <w:rFonts w:asciiTheme="minorHAnsi" w:hAnsiTheme="minorHAnsi"/>
          <w:b/>
          <w:i w:val="0"/>
          <w:color w:val="auto"/>
        </w:rPr>
      </w:pPr>
      <w:r w:rsidRPr="00EF4C5C">
        <w:rPr>
          <w:rStyle w:val="Heading4Char"/>
          <w:rFonts w:asciiTheme="minorHAnsi" w:hAnsiTheme="minorHAnsi"/>
          <w:b/>
          <w:color w:val="auto"/>
        </w:rPr>
        <w:lastRenderedPageBreak/>
        <w:t xml:space="preserve">TABLE </w:t>
      </w:r>
      <w:r>
        <w:rPr>
          <w:rStyle w:val="Heading4Char"/>
          <w:rFonts w:asciiTheme="minorHAnsi" w:hAnsiTheme="minorHAnsi"/>
          <w:b/>
          <w:color w:val="auto"/>
        </w:rPr>
        <w:t>5</w:t>
      </w:r>
      <w:r w:rsidRPr="00EF4C5C">
        <w:rPr>
          <w:rStyle w:val="Heading4Char"/>
          <w:rFonts w:asciiTheme="minorHAnsi" w:hAnsiTheme="minorHAnsi"/>
          <w:b/>
          <w:color w:val="auto"/>
        </w:rPr>
        <w:t xml:space="preserve">: </w:t>
      </w:r>
      <w:r w:rsidRPr="00EF4C5C">
        <w:rPr>
          <w:rFonts w:asciiTheme="minorHAnsi" w:hAnsiTheme="minorHAnsi"/>
          <w:b/>
          <w:i w:val="0"/>
          <w:color w:val="auto"/>
        </w:rPr>
        <w:t xml:space="preserve">COMMUNITY VIOLENCE 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95"/>
        <w:gridCol w:w="8010"/>
        <w:gridCol w:w="3870"/>
      </w:tblGrid>
      <w:tr w:rsidR="00676F48" w:rsidTr="00B6472E">
        <w:trPr>
          <w:tblHeader/>
        </w:trPr>
        <w:tc>
          <w:tcPr>
            <w:tcW w:w="1795" w:type="dxa"/>
            <w:tcBorders>
              <w:bottom w:val="single" w:sz="4" w:space="0" w:color="auto"/>
              <w:right w:val="nil"/>
            </w:tcBorders>
          </w:tcPr>
          <w:p w:rsidR="00676F48" w:rsidRPr="003A55F1" w:rsidRDefault="00676F48" w:rsidP="00B6472E">
            <w:pPr>
              <w:pStyle w:val="Heading1"/>
              <w:spacing w:before="0" w:line="480" w:lineRule="auto"/>
              <w:outlineLvl w:val="0"/>
              <w:rPr>
                <w:b/>
                <w:color w:val="auto"/>
                <w:sz w:val="20"/>
                <w:szCs w:val="20"/>
              </w:rPr>
            </w:pPr>
            <w:r w:rsidRPr="003A55F1">
              <w:rPr>
                <w:b/>
                <w:color w:val="auto"/>
                <w:sz w:val="20"/>
                <w:szCs w:val="20"/>
              </w:rPr>
              <w:t>Construct</w:t>
            </w:r>
          </w:p>
        </w:tc>
        <w:tc>
          <w:tcPr>
            <w:tcW w:w="8010" w:type="dxa"/>
            <w:tcBorders>
              <w:left w:val="nil"/>
              <w:bottom w:val="single" w:sz="4" w:space="0" w:color="auto"/>
              <w:right w:val="nil"/>
            </w:tcBorders>
          </w:tcPr>
          <w:p w:rsidR="00676F48" w:rsidRPr="003A55F1" w:rsidRDefault="00676F48" w:rsidP="003850DF">
            <w:pPr>
              <w:pStyle w:val="Heading1"/>
              <w:spacing w:before="0" w:line="480" w:lineRule="auto"/>
              <w:outlineLvl w:val="0"/>
              <w:rPr>
                <w:b/>
                <w:color w:val="auto"/>
                <w:sz w:val="20"/>
                <w:szCs w:val="20"/>
              </w:rPr>
            </w:pPr>
            <w:r w:rsidRPr="003A55F1">
              <w:rPr>
                <w:b/>
                <w:color w:val="auto"/>
                <w:sz w:val="20"/>
                <w:szCs w:val="20"/>
              </w:rPr>
              <w:t>Indicators</w:t>
            </w:r>
            <w:bookmarkStart w:id="0" w:name="_Ref494184150"/>
            <w:r w:rsidR="003850DF">
              <w:rPr>
                <w:rStyle w:val="EndnoteReference"/>
                <w:b/>
                <w:color w:val="auto"/>
                <w:sz w:val="20"/>
                <w:szCs w:val="20"/>
              </w:rPr>
              <w:endnoteReference w:id="1"/>
            </w:r>
            <w:bookmarkEnd w:id="0"/>
          </w:p>
        </w:tc>
        <w:tc>
          <w:tcPr>
            <w:tcW w:w="3870" w:type="dxa"/>
            <w:tcBorders>
              <w:left w:val="nil"/>
              <w:bottom w:val="single" w:sz="4" w:space="0" w:color="auto"/>
            </w:tcBorders>
          </w:tcPr>
          <w:p w:rsidR="00676F48" w:rsidRPr="003A55F1" w:rsidRDefault="00676F48" w:rsidP="00B6472E">
            <w:pPr>
              <w:pStyle w:val="Heading1"/>
              <w:spacing w:before="0" w:line="480" w:lineRule="auto"/>
              <w:outlineLvl w:val="0"/>
              <w:rPr>
                <w:b/>
                <w:color w:val="auto"/>
                <w:sz w:val="20"/>
                <w:szCs w:val="20"/>
              </w:rPr>
            </w:pPr>
            <w:r w:rsidRPr="003A55F1">
              <w:rPr>
                <w:b/>
                <w:color w:val="auto"/>
                <w:sz w:val="20"/>
                <w:szCs w:val="20"/>
              </w:rPr>
              <w:t>Data Source</w:t>
            </w:r>
          </w:p>
        </w:tc>
      </w:tr>
      <w:tr w:rsidR="00676F48" w:rsidTr="00B6472E">
        <w:tc>
          <w:tcPr>
            <w:tcW w:w="1795" w:type="dxa"/>
            <w:tcBorders>
              <w:bottom w:val="nil"/>
              <w:right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Adolescent victim rates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96</w:t>
            </w:r>
          </w:p>
        </w:tc>
        <w:tc>
          <w:tcPr>
            <w:tcW w:w="8010" w:type="dxa"/>
            <w:tcBorders>
              <w:left w:val="nil"/>
              <w:bottom w:val="nil"/>
              <w:right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No. of assault victims (aged 12-18) divided by the No. of population aged 18 years or younger multiple of 10,000 in each zip code area</w:t>
            </w:r>
          </w:p>
        </w:tc>
        <w:tc>
          <w:tcPr>
            <w:tcW w:w="3870" w:type="dxa"/>
            <w:tcBorders>
              <w:left w:val="nil"/>
              <w:bottom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Project Ujima Database</w:t>
            </w:r>
            <w:r w:rsidRPr="003A55F1"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676F48" w:rsidTr="00676F48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Alternative Social Control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77</w:t>
            </w:r>
            <w:r w:rsidRPr="003A5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(Total No. of homicides/Total number of people) x 100,000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FBI Uniform Crime Report</w:t>
            </w:r>
          </w:p>
        </w:tc>
      </w:tr>
      <w:tr w:rsidR="00676F48" w:rsidTr="00676F48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Assault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97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Overnight hospitalization related to an assault for a citizen 15 years or older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Hospital discharge data</w:t>
            </w:r>
          </w:p>
        </w:tc>
      </w:tr>
      <w:tr w:rsidR="00676F48" w:rsidTr="00676F48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676F48" w:rsidRPr="003A55F1" w:rsidRDefault="00676F48" w:rsidP="00B6472E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Bias crime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98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Count of bias crime by race, sexual orientation, religion, gender &amp; disability to construct three variables: total bias crimes, anti-black bias crimes, and violent bias crimes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Police department crime data, State Criminal Justice Statistics Center data</w:t>
            </w:r>
          </w:p>
        </w:tc>
      </w:tr>
      <w:tr w:rsidR="00676F48" w:rsidTr="00B6472E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676F48" w:rsidRPr="003A55F1" w:rsidRDefault="00676F48" w:rsidP="00B6472E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Black homicide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99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No. of black homicides within census tracts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City police department</w:t>
            </w:r>
          </w:p>
        </w:tc>
      </w:tr>
      <w:tr w:rsidR="00676F48" w:rsidTr="00B6472E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676F48" w:rsidRPr="003A55F1" w:rsidRDefault="00676F48" w:rsidP="00B6472E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Child abuse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100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Index of the number of reports and substantiated cases of child physical, mental and sexual abuse, neglect, child prostitution, and allowing a child to ingest an illegal drug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State Department of Human Services (DHS), Division of Data Management, Bureau of Research and Statistics</w:t>
            </w:r>
          </w:p>
        </w:tc>
      </w:tr>
      <w:tr w:rsidR="00676F48" w:rsidTr="00676F48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Child abuse incidence rates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100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No. of county level reports and substantiated cases for the years 1984 through 1993 divided by the county population under 18 years of age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State Department of Human Services (DHS), Division of Data Management, Bureau of Research and Statistics</w:t>
            </w:r>
          </w:p>
        </w:tc>
      </w:tr>
      <w:tr w:rsidR="00676F48" w:rsidTr="00676F48">
        <w:tc>
          <w:tcPr>
            <w:tcW w:w="1795" w:type="dxa"/>
            <w:tcBorders>
              <w:top w:val="nil"/>
              <w:bottom w:val="single" w:sz="4" w:space="0" w:color="auto"/>
              <w:right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Child sexual assault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101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Divided the number of reported instances of child sexual assault in each census tract over the three-year period by the 2000 total population of each census tract and multiplied by 1,000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Police department &amp; Sheriff's office</w:t>
            </w:r>
          </w:p>
        </w:tc>
      </w:tr>
      <w:tr w:rsidR="00676F48" w:rsidTr="00676F48"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</w:tcPr>
          <w:p w:rsidR="00676F48" w:rsidRPr="003A55F1" w:rsidRDefault="00676F48" w:rsidP="00B6472E">
            <w:pPr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lastRenderedPageBreak/>
              <w:t>Community crime</w:t>
            </w:r>
            <w:bookmarkStart w:id="1" w:name="_Ref482965268"/>
            <w:r w:rsidRPr="003A55F1">
              <w:rPr>
                <w:noProof/>
                <w:color w:val="000000"/>
                <w:sz w:val="20"/>
                <w:szCs w:val="20"/>
                <w:vertAlign w:val="superscript"/>
              </w:rPr>
              <w:t>102</w:t>
            </w:r>
            <w:bookmarkEnd w:id="1"/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Total number of community crimes per LAPD reporting district acreage per school year: assault, homicide, robbery, and sex offenses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Los Angeles Unified School District (LAUSD) Police Department and Los Angeles Police Department</w:t>
            </w:r>
          </w:p>
        </w:tc>
      </w:tr>
      <w:tr w:rsidR="00676F48" w:rsidTr="00676F48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676F48" w:rsidRPr="003A55F1" w:rsidRDefault="00676F48" w:rsidP="00B6472E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Community safety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91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Violent crime rate per 100K population &amp; homicide death rate per 100K population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County Health Rankings</w:t>
            </w:r>
          </w:p>
        </w:tc>
      </w:tr>
      <w:tr w:rsidR="00676F48" w:rsidTr="00676F48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676F48" w:rsidRPr="003A55F1" w:rsidRDefault="00676F48" w:rsidP="00B6472E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Crime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103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No. of calls law enforcement officials receive to respond to domestic violence; reports of nonviolent crime; and reports of violent crime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State Department of Justice</w:t>
            </w:r>
          </w:p>
        </w:tc>
      </w:tr>
      <w:tr w:rsidR="00676F48" w:rsidTr="00676F48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676F48" w:rsidRPr="003A55F1" w:rsidRDefault="00676F48" w:rsidP="00B6472E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Crime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51</w:t>
            </w:r>
            <w:r w:rsidRPr="003A55F1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3-year average count of all homicides, rapes, and robberies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National Neighborhood Crime Study (NNCS)</w:t>
            </w:r>
            <w:r w:rsidRPr="003A55F1">
              <w:rPr>
                <w:rStyle w:val="FootnoteReference"/>
                <w:sz w:val="20"/>
                <w:szCs w:val="20"/>
              </w:rPr>
              <w:footnoteReference w:id="2"/>
            </w:r>
          </w:p>
        </w:tc>
      </w:tr>
      <w:tr w:rsidR="00676F48" w:rsidTr="00101A2C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676F48" w:rsidRPr="003A55F1" w:rsidRDefault="00676F48" w:rsidP="00B6472E">
            <w:pPr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Crime</w:t>
            </w:r>
            <w:bookmarkStart w:id="2" w:name="_Ref474503723"/>
            <w:r w:rsidRPr="003A55F1">
              <w:rPr>
                <w:noProof/>
                <w:color w:val="000000"/>
                <w:sz w:val="20"/>
                <w:szCs w:val="20"/>
                <w:vertAlign w:val="superscript"/>
              </w:rPr>
              <w:t>104</w:t>
            </w:r>
            <w:bookmarkEnd w:id="2"/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676F48" w:rsidRPr="003A55F1" w:rsidRDefault="00676F48" w:rsidP="00B6472E">
            <w:pPr>
              <w:tabs>
                <w:tab w:val="left" w:pos="930"/>
              </w:tabs>
              <w:spacing w:line="480" w:lineRule="auto"/>
              <w:rPr>
                <w:color w:val="000000"/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  <w:u w:val="single"/>
              </w:rPr>
              <w:t>Index of violent crime</w:t>
            </w:r>
            <w:r w:rsidRPr="003A55F1">
              <w:rPr>
                <w:color w:val="000000"/>
                <w:sz w:val="20"/>
                <w:szCs w:val="20"/>
              </w:rPr>
              <w:t xml:space="preserve">: Homicide, assault, robbery; </w:t>
            </w:r>
            <w:r w:rsidRPr="003A55F1">
              <w:rPr>
                <w:color w:val="000000"/>
                <w:sz w:val="20"/>
                <w:szCs w:val="20"/>
                <w:u w:val="single"/>
              </w:rPr>
              <w:t>Index of property crime</w:t>
            </w:r>
            <w:r w:rsidRPr="003A55F1">
              <w:rPr>
                <w:color w:val="000000"/>
                <w:sz w:val="20"/>
                <w:szCs w:val="20"/>
              </w:rPr>
              <w:t xml:space="preserve">: Burglaries, thefts, and vehicle theft; </w:t>
            </w:r>
          </w:p>
          <w:p w:rsidR="00676F48" w:rsidRPr="003A55F1" w:rsidRDefault="00676F48" w:rsidP="00B6472E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  <w:u w:val="single"/>
              </w:rPr>
              <w:t>Index of disorder crime</w:t>
            </w:r>
            <w:r w:rsidRPr="003A55F1">
              <w:rPr>
                <w:color w:val="000000"/>
                <w:sz w:val="20"/>
                <w:szCs w:val="20"/>
              </w:rPr>
              <w:t>: Sales/possession of illicit drugs, prostitution, alcohol violations, criminal mischief, and littering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City police department, Louisville/Jefferson County Information Consortium (LOJIC) &amp; U.S. Census</w:t>
            </w:r>
          </w:p>
        </w:tc>
      </w:tr>
      <w:tr w:rsidR="00676F48" w:rsidTr="00101A2C">
        <w:tc>
          <w:tcPr>
            <w:tcW w:w="1795" w:type="dxa"/>
            <w:tcBorders>
              <w:top w:val="nil"/>
              <w:bottom w:val="single" w:sz="4" w:space="0" w:color="auto"/>
              <w:right w:val="nil"/>
            </w:tcBorders>
          </w:tcPr>
          <w:p w:rsidR="00676F48" w:rsidRPr="003A55F1" w:rsidRDefault="00676F48" w:rsidP="00B6472E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Crime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105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  <w:u w:val="single"/>
              </w:rPr>
              <w:t>Proximal exposure to violent crime</w:t>
            </w:r>
            <w:r w:rsidRPr="003A55F1">
              <w:rPr>
                <w:sz w:val="20"/>
                <w:szCs w:val="20"/>
              </w:rPr>
              <w:t xml:space="preserve">: Count of violent crime within a one-half mile radius of maternal residence and distance from maternal residence to nearest violent crime; </w:t>
            </w:r>
          </w:p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  <w:u w:val="single"/>
              </w:rPr>
              <w:t>Area-level violent crime</w:t>
            </w:r>
            <w:r w:rsidRPr="003A55F1">
              <w:rPr>
                <w:sz w:val="20"/>
                <w:szCs w:val="20"/>
              </w:rPr>
              <w:t>: Count of violent crimes within a block group and block group rate of violent crimes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</w:tcBorders>
          </w:tcPr>
          <w:p w:rsidR="00676F48" w:rsidRPr="003A55F1" w:rsidRDefault="00676F48" w:rsidP="00B6472E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City crime report and U.S. Census (block groups)</w:t>
            </w:r>
          </w:p>
        </w:tc>
      </w:tr>
    </w:tbl>
    <w:p w:rsidR="00101A2C" w:rsidRDefault="00101A2C"/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95"/>
        <w:gridCol w:w="8010"/>
        <w:gridCol w:w="3870"/>
      </w:tblGrid>
      <w:tr w:rsidR="00101A2C" w:rsidTr="00101A2C">
        <w:trPr>
          <w:tblHeader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A2C" w:rsidRPr="003A55F1" w:rsidRDefault="00101A2C" w:rsidP="00101A2C">
            <w:pPr>
              <w:pStyle w:val="Heading1"/>
              <w:spacing w:before="0" w:line="480" w:lineRule="auto"/>
              <w:outlineLvl w:val="0"/>
              <w:rPr>
                <w:b/>
                <w:color w:val="auto"/>
                <w:sz w:val="20"/>
                <w:szCs w:val="20"/>
              </w:rPr>
            </w:pPr>
            <w:r w:rsidRPr="003A55F1">
              <w:rPr>
                <w:b/>
                <w:color w:val="auto"/>
                <w:sz w:val="20"/>
                <w:szCs w:val="20"/>
              </w:rPr>
              <w:lastRenderedPageBreak/>
              <w:t>Construct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A2C" w:rsidRPr="003A55F1" w:rsidRDefault="00101A2C" w:rsidP="00101A2C">
            <w:pPr>
              <w:pStyle w:val="Heading1"/>
              <w:spacing w:before="0" w:line="480" w:lineRule="auto"/>
              <w:outlineLvl w:val="0"/>
              <w:rPr>
                <w:b/>
                <w:color w:val="auto"/>
                <w:sz w:val="20"/>
                <w:szCs w:val="20"/>
              </w:rPr>
            </w:pPr>
            <w:r w:rsidRPr="003A55F1">
              <w:rPr>
                <w:b/>
                <w:color w:val="auto"/>
                <w:sz w:val="20"/>
                <w:szCs w:val="20"/>
              </w:rPr>
              <w:t>Indicators</w:t>
            </w:r>
            <w:r w:rsidRPr="00101A2C">
              <w:rPr>
                <w:rStyle w:val="EndnoteReference"/>
              </w:rPr>
              <w:fldChar w:fldCharType="begin"/>
            </w:r>
            <w:r w:rsidRPr="00101A2C">
              <w:rPr>
                <w:b/>
                <w:color w:val="auto"/>
                <w:sz w:val="20"/>
                <w:szCs w:val="20"/>
                <w:vertAlign w:val="superscript"/>
              </w:rPr>
              <w:instrText xml:space="preserve"> NOTEREF _Ref494184150 \h </w:instrText>
            </w:r>
            <w:r w:rsidRPr="00101A2C">
              <w:rPr>
                <w:rStyle w:val="EndnoteReference"/>
              </w:rPr>
            </w:r>
            <w:r w:rsidRPr="00101A2C">
              <w:rPr>
                <w:rStyle w:val="EndnoteReference"/>
              </w:rPr>
              <w:instrText xml:space="preserve"> \* MERGEFORMAT </w:instrText>
            </w:r>
            <w:r w:rsidRPr="00101A2C">
              <w:rPr>
                <w:rStyle w:val="EndnoteReference"/>
              </w:rPr>
              <w:fldChar w:fldCharType="separate"/>
            </w:r>
            <w:r w:rsidRPr="00101A2C">
              <w:rPr>
                <w:b/>
                <w:color w:val="auto"/>
                <w:sz w:val="20"/>
                <w:szCs w:val="20"/>
                <w:vertAlign w:val="superscript"/>
              </w:rPr>
              <w:t>a</w:t>
            </w:r>
            <w:r w:rsidRPr="00101A2C">
              <w:rPr>
                <w:rStyle w:val="EndnoteReference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A2C" w:rsidRPr="003A55F1" w:rsidRDefault="00101A2C" w:rsidP="00101A2C">
            <w:pPr>
              <w:pStyle w:val="Heading1"/>
              <w:spacing w:before="0" w:line="480" w:lineRule="auto"/>
              <w:outlineLvl w:val="0"/>
              <w:rPr>
                <w:b/>
                <w:color w:val="auto"/>
                <w:sz w:val="20"/>
                <w:szCs w:val="20"/>
              </w:rPr>
            </w:pPr>
            <w:r w:rsidRPr="003A55F1">
              <w:rPr>
                <w:b/>
                <w:color w:val="auto"/>
                <w:sz w:val="20"/>
                <w:szCs w:val="20"/>
              </w:rPr>
              <w:t>Data Source</w:t>
            </w:r>
          </w:p>
        </w:tc>
      </w:tr>
      <w:tr w:rsidR="00101A2C" w:rsidTr="00101A2C"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</w:tcPr>
          <w:p w:rsidR="00101A2C" w:rsidRPr="003A55F1" w:rsidRDefault="00101A2C" w:rsidP="00101A2C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Crime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106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  <w:u w:val="single"/>
              </w:rPr>
              <w:t>Co-offending</w:t>
            </w:r>
            <w:r w:rsidRPr="003A55F1">
              <w:rPr>
                <w:sz w:val="20"/>
                <w:szCs w:val="20"/>
              </w:rPr>
              <w:t xml:space="preserve">: Instances in which 2 or more people were arrested together for the same crime &amp; homicide victimization amongst offenders using 1) Homicide records containing detailed </w:t>
            </w:r>
            <w:r>
              <w:rPr>
                <w:sz w:val="20"/>
                <w:szCs w:val="20"/>
              </w:rPr>
              <w:t>i</w:t>
            </w:r>
            <w:r w:rsidRPr="003A55F1">
              <w:rPr>
                <w:sz w:val="20"/>
                <w:szCs w:val="20"/>
              </w:rPr>
              <w:t>nformation on the incident and participants and 2) Records of all arrests among residents in the community during the observation period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City police department data</w:t>
            </w:r>
          </w:p>
        </w:tc>
      </w:tr>
      <w:tr w:rsidR="00101A2C" w:rsidTr="00101A2C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Community violence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107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Index of: Blood in the street, the presence of shell casings, police tape, memorials, people yelling, people swearing, and people fighting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Neighborhood Inventory for Environmental Typology</w:t>
            </w:r>
          </w:p>
        </w:tc>
      </w:tr>
      <w:tr w:rsidR="00101A2C" w:rsidTr="00676F48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Domestic violence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108</w:t>
            </w:r>
            <w:r w:rsidRPr="003A5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  <w:u w:val="single"/>
              </w:rPr>
              <w:t>Emergency Protective Order</w:t>
            </w:r>
            <w:r w:rsidRPr="003A55F1">
              <w:rPr>
                <w:sz w:val="20"/>
                <w:szCs w:val="20"/>
              </w:rPr>
              <w:t>: Number issued per 1,000 female residents aged 15 and older</w:t>
            </w:r>
          </w:p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  <w:u w:val="single"/>
              </w:rPr>
              <w:t>Domestic Violence Order</w:t>
            </w:r>
            <w:r w:rsidRPr="003A55F1">
              <w:rPr>
                <w:sz w:val="20"/>
                <w:szCs w:val="20"/>
              </w:rPr>
              <w:t>: Number issued statewide per 1,000 female residents aged 15 and older</w:t>
            </w:r>
          </w:p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  <w:u w:val="single"/>
              </w:rPr>
              <w:t>Docket observations</w:t>
            </w:r>
            <w:r w:rsidRPr="003A55F1">
              <w:rPr>
                <w:sz w:val="20"/>
                <w:szCs w:val="20"/>
              </w:rPr>
              <w:t>: Number court sessions; # court activity; % pre-adjudication activity; % post-adjudication activity; % adjudicated cases; % DVOs issued; % EPOs dismissed; % transferred to circuit court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State police data and observation data</w:t>
            </w:r>
          </w:p>
        </w:tc>
      </w:tr>
      <w:tr w:rsidR="00101A2C" w:rsidTr="00101A2C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Drug-related crime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Number of arrests for drug offenses per 1K population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Criminal Justice Statistics Center</w:t>
            </w:r>
          </w:p>
        </w:tc>
      </w:tr>
      <w:tr w:rsidR="00101A2C" w:rsidTr="00101A2C">
        <w:tc>
          <w:tcPr>
            <w:tcW w:w="1795" w:type="dxa"/>
            <w:tcBorders>
              <w:top w:val="nil"/>
              <w:bottom w:val="single" w:sz="4" w:space="0" w:color="auto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Fatalities and injuries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41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Count of cases coded by the Office of the Medical Examiner (for fatalities) and hospital staff (for injuries) using ICD-10 codes to classify injuries as either intentional or self-inflicted</w:t>
            </w:r>
          </w:p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Count of all cases; gun cases; and cases with African American victims given the disproportionate effect of violence on African Americans within the city and nationally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Vital Statistics records and hospital admissions registers of the city’s Department of Health and Mental Hygiene</w:t>
            </w:r>
          </w:p>
        </w:tc>
      </w:tr>
      <w:tr w:rsidR="00101A2C" w:rsidTr="00101A2C"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</w:tcPr>
          <w:p w:rsidR="00101A2C" w:rsidRPr="003A55F1" w:rsidRDefault="00101A2C" w:rsidP="00101A2C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lastRenderedPageBreak/>
              <w:t>Gang homicide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109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All cases in which either the victim or the offender in the homicide is identified as a gang member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City police department datasets</w:t>
            </w:r>
          </w:p>
        </w:tc>
      </w:tr>
      <w:tr w:rsidR="00101A2C" w:rsidTr="00101A2C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Gang homicides &amp; gang membership</w:t>
            </w:r>
            <w:r w:rsidRPr="003A55F1">
              <w:rPr>
                <w:noProof/>
                <w:color w:val="000000"/>
                <w:sz w:val="20"/>
                <w:szCs w:val="20"/>
                <w:vertAlign w:val="superscript"/>
              </w:rPr>
              <w:t>87</w:t>
            </w:r>
            <w:r w:rsidRPr="003A55F1">
              <w:rPr>
                <w:color w:val="000000"/>
                <w:sz w:val="20"/>
                <w:szCs w:val="20"/>
              </w:rPr>
              <w:t xml:space="preserve"> </w:t>
            </w:r>
            <w:r w:rsidRPr="003A55F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  <w:u w:val="single"/>
              </w:rPr>
              <w:t>Gang homicides</w:t>
            </w:r>
            <w:r w:rsidRPr="003A55F1">
              <w:rPr>
                <w:color w:val="000000"/>
                <w:sz w:val="20"/>
                <w:szCs w:val="20"/>
              </w:rPr>
              <w:t>: The proportion of all homicides in a given city and year classified as gang-related</w:t>
            </w:r>
            <w:r w:rsidRPr="003A55F1">
              <w:rPr>
                <w:color w:val="000000"/>
                <w:sz w:val="20"/>
                <w:szCs w:val="20"/>
              </w:rPr>
              <w:br/>
            </w:r>
            <w:r w:rsidRPr="003A55F1">
              <w:rPr>
                <w:color w:val="000000"/>
                <w:sz w:val="20"/>
                <w:szCs w:val="20"/>
                <w:u w:val="single"/>
              </w:rPr>
              <w:t>Gang membership</w:t>
            </w:r>
            <w:r w:rsidRPr="003A55F1">
              <w:rPr>
                <w:color w:val="000000"/>
                <w:sz w:val="20"/>
                <w:szCs w:val="20"/>
              </w:rPr>
              <w:t>: Average gang membership for each city in the sample over 2, 4-year periods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National Youth Gangs Survey</w:t>
            </w:r>
          </w:p>
        </w:tc>
      </w:tr>
      <w:tr w:rsidR="00101A2C" w:rsidTr="00676F48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Gang violence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110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Gang concentration: Count of gang members within each neighborhood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City police department gang-intelligence data</w:t>
            </w:r>
          </w:p>
        </w:tc>
      </w:tr>
      <w:tr w:rsidR="00101A2C" w:rsidTr="00B6472E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Gang homicides &amp; gang membership</w:t>
            </w:r>
            <w:r w:rsidRPr="003A55F1">
              <w:rPr>
                <w:noProof/>
                <w:color w:val="000000"/>
                <w:sz w:val="20"/>
                <w:szCs w:val="20"/>
                <w:vertAlign w:val="superscript"/>
              </w:rPr>
              <w:t>87</w:t>
            </w:r>
            <w:r w:rsidRPr="003A55F1">
              <w:rPr>
                <w:color w:val="000000"/>
                <w:sz w:val="20"/>
                <w:szCs w:val="20"/>
              </w:rPr>
              <w:t xml:space="preserve"> </w:t>
            </w:r>
            <w:r w:rsidRPr="003A55F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  <w:u w:val="single"/>
              </w:rPr>
              <w:t>Gang homicides</w:t>
            </w:r>
            <w:r w:rsidRPr="003A55F1">
              <w:rPr>
                <w:color w:val="000000"/>
                <w:sz w:val="20"/>
                <w:szCs w:val="20"/>
              </w:rPr>
              <w:t>: The proportion of all homicides in a given city and year classified as gang-related</w:t>
            </w:r>
            <w:r w:rsidRPr="003A55F1">
              <w:rPr>
                <w:color w:val="000000"/>
                <w:sz w:val="20"/>
                <w:szCs w:val="20"/>
              </w:rPr>
              <w:br/>
            </w:r>
            <w:r w:rsidRPr="003A55F1">
              <w:rPr>
                <w:color w:val="000000"/>
                <w:sz w:val="20"/>
                <w:szCs w:val="20"/>
                <w:u w:val="single"/>
              </w:rPr>
              <w:t>Gang membership</w:t>
            </w:r>
            <w:r w:rsidRPr="003A55F1">
              <w:rPr>
                <w:color w:val="000000"/>
                <w:sz w:val="20"/>
                <w:szCs w:val="20"/>
              </w:rPr>
              <w:t>: Average gang membership for each city in the sample over 2, 4-year periods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National Youth Gangs Survey</w:t>
            </w:r>
          </w:p>
        </w:tc>
      </w:tr>
      <w:tr w:rsidR="00101A2C" w:rsidTr="00B6472E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Gang violence</w:t>
            </w:r>
            <w:bookmarkStart w:id="3" w:name="_Ref474503065"/>
            <w:r w:rsidRPr="003A55F1">
              <w:rPr>
                <w:noProof/>
                <w:sz w:val="20"/>
                <w:szCs w:val="20"/>
                <w:vertAlign w:val="superscript"/>
              </w:rPr>
              <w:t>111</w:t>
            </w:r>
            <w:bookmarkEnd w:id="3"/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210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  <w:u w:val="single"/>
              </w:rPr>
              <w:t>Gang network membership</w:t>
            </w:r>
            <w:r w:rsidRPr="003A55F1">
              <w:rPr>
                <w:sz w:val="20"/>
                <w:szCs w:val="20"/>
              </w:rPr>
              <w:t>: Number of ties between individuals from all situations in which two or more individuals were observed in each other’s presence by the police and recorded in Field Intelligence Observation data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City police data</w:t>
            </w:r>
          </w:p>
        </w:tc>
      </w:tr>
      <w:tr w:rsidR="00101A2C" w:rsidTr="00B6472E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Gang violence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112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Violent acts in which police identified the victim and offender as known gang members, and homicides and shootings that occurred between unique gangs or gang sub-groups; excluding acts of violence committed between members of the same gang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City police data</w:t>
            </w:r>
          </w:p>
        </w:tc>
      </w:tr>
      <w:tr w:rsidR="00101A2C" w:rsidTr="00101A2C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Gunshot injury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111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Whether or not an individual was the victim of either a fatal or non-fatal gunshot wound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City police data</w:t>
            </w:r>
          </w:p>
        </w:tc>
      </w:tr>
      <w:tr w:rsidR="00101A2C" w:rsidTr="00101A2C">
        <w:tc>
          <w:tcPr>
            <w:tcW w:w="1795" w:type="dxa"/>
            <w:tcBorders>
              <w:top w:val="nil"/>
              <w:bottom w:val="single" w:sz="4" w:space="0" w:color="auto"/>
              <w:right w:val="nil"/>
            </w:tcBorders>
          </w:tcPr>
          <w:p w:rsidR="00101A2C" w:rsidRPr="003A55F1" w:rsidRDefault="00101A2C" w:rsidP="00101A2C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Hate crime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113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Index of 3 years of hate crime data: Threats, harassment, assault or assault and battery, and assault or assault and battery by means of a dangerous weapon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City police department community disorders unit data</w:t>
            </w:r>
          </w:p>
        </w:tc>
      </w:tr>
      <w:tr w:rsidR="00101A2C" w:rsidTr="00101A2C"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</w:tcPr>
          <w:p w:rsidR="00101A2C" w:rsidRPr="003A55F1" w:rsidRDefault="00101A2C" w:rsidP="00101A2C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lastRenderedPageBreak/>
              <w:t>Hate crime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114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Total number of hate crimes motivated by sexual orientation bias in the previous 5 years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FBI’s Uniform Crime Reports</w:t>
            </w:r>
          </w:p>
        </w:tc>
      </w:tr>
      <w:tr w:rsidR="00101A2C" w:rsidTr="00101A2C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Homicide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115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Overall rates and rates of intimate partner, filicide, parricide, and siblicide for each city (most of these crimes were rare)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2000 Census File SF 3 and FBI’s Uniform Crime Report’s Supplemental Homicide Report</w:t>
            </w:r>
          </w:p>
        </w:tc>
      </w:tr>
      <w:tr w:rsidR="00101A2C" w:rsidTr="00676F48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Homicide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62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Victimization rate for each racial/ethnic group for each metropolitan area and number of homicide deaths by race/ethnic group and MSA of occurrence/ total race/ethnic population by five-year age groups for each MSA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U.S. Census</w:t>
            </w:r>
          </w:p>
        </w:tc>
      </w:tr>
      <w:tr w:rsidR="00101A2C" w:rsidTr="00B6472E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Homicide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75, 116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  <w:u w:val="single"/>
              </w:rPr>
              <w:t>Incident homicide rate</w:t>
            </w:r>
            <w:r w:rsidRPr="003A55F1">
              <w:rPr>
                <w:sz w:val="20"/>
                <w:szCs w:val="20"/>
              </w:rPr>
              <w:t>: Multi-year aggregated counts of homicide geocoded to match neighborhood clusters in which events occurred;</w:t>
            </w:r>
          </w:p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  <w:u w:val="single"/>
              </w:rPr>
              <w:t>Homicide victimization</w:t>
            </w:r>
            <w:r w:rsidRPr="003A55F1">
              <w:rPr>
                <w:sz w:val="20"/>
                <w:szCs w:val="20"/>
              </w:rPr>
              <w:t>: Count of causes of death due to injuries inflicted by another person with intent to injure or kill, by any means geocoded based on home residence of the victim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City police department data; Vital Statistics data; County coroner office</w:t>
            </w:r>
          </w:p>
        </w:tc>
      </w:tr>
      <w:tr w:rsidR="00101A2C" w:rsidTr="00C56BA0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Homicide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PEVuZE5vdGU+PENpdGU+PEF1dGhvcj5NYXJlczwvQXV0aG9yPjxZZWFyPjIwMTA8L1llYXI+PFJl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PEVuZE5vdGU+PENpdGU+PEF1dGhvcj5NYXJlczwvQXV0aG9yPjxZZWFyPjIwMTA8L1llYXI+PFJl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8B308B">
              <w:rPr>
                <w:noProof/>
                <w:color w:val="000000"/>
                <w:sz w:val="20"/>
                <w:szCs w:val="20"/>
                <w:vertAlign w:val="superscript"/>
              </w:rPr>
              <w:t>117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Pr="003A55F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Mean per census tract of gang homicides; non-gang homicides; robbery-related homicides; intimate homicides; drug-involved homicides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 xml:space="preserve">City police department data &amp; Neighborhood Change Database [NCDB] </w:t>
            </w:r>
          </w:p>
        </w:tc>
      </w:tr>
      <w:tr w:rsidR="00C56BA0" w:rsidTr="00C56BA0">
        <w:tc>
          <w:tcPr>
            <w:tcW w:w="1795" w:type="dxa"/>
            <w:tcBorders>
              <w:top w:val="nil"/>
              <w:bottom w:val="single" w:sz="4" w:space="0" w:color="auto"/>
              <w:right w:val="nil"/>
            </w:tcBorders>
          </w:tcPr>
          <w:p w:rsidR="00C56BA0" w:rsidRPr="003A55F1" w:rsidRDefault="00C56BA0" w:rsidP="00101A2C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Homicide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118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BA0" w:rsidRPr="003A55F1" w:rsidRDefault="00C56BA0" w:rsidP="00C56BA0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  <w:u w:val="single"/>
              </w:rPr>
            </w:pPr>
            <w:r w:rsidRPr="003A55F1">
              <w:rPr>
                <w:sz w:val="20"/>
                <w:szCs w:val="20"/>
                <w:u w:val="single"/>
              </w:rPr>
              <w:t>Victim characteristics</w:t>
            </w:r>
            <w:r w:rsidRPr="003A55F1">
              <w:rPr>
                <w:sz w:val="20"/>
                <w:szCs w:val="20"/>
              </w:rPr>
              <w:t>: Gender (1 = female; 0 = male); Race (1 = white victim; 0 = non-white victim); Age (victim under 10 years of age, victim aged 65 and over, and victim aged 11-64 as the reference category); Victim has a prior record for a violent crime (1 = prior record for murder, attempted murder, aggravated assault, sexual assault, assault, or robbery; 0 = no record for such offenses); Victim has a prior record for a non-violent crime (1 = prior record for any property or drug offense [traffic offenses are excluded]; 0 = no record for such offenses)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</w:tcBorders>
          </w:tcPr>
          <w:p w:rsidR="00C56BA0" w:rsidRPr="003A55F1" w:rsidRDefault="00C56BA0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City police department data</w:t>
            </w:r>
          </w:p>
        </w:tc>
      </w:tr>
      <w:tr w:rsidR="00101A2C" w:rsidTr="00C56BA0"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</w:tcPr>
          <w:p w:rsidR="00101A2C" w:rsidRPr="003A55F1" w:rsidRDefault="00101A2C" w:rsidP="00101A2C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  <w:u w:val="single"/>
              </w:rPr>
              <w:t>Incident characteristics</w:t>
            </w:r>
            <w:r w:rsidRPr="003A55F1">
              <w:rPr>
                <w:sz w:val="20"/>
                <w:szCs w:val="20"/>
              </w:rPr>
              <w:t>: Weapon (contact weapon, other weapon, and firearm as the reference category); Circumstances (felony- related, revenge/retaliation, other circumstances, unknown circumstances, and argument as the reference category); Location (other indoor location, outdoor location, and residence as the reference category)</w:t>
            </w:r>
          </w:p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  <w:u w:val="single"/>
              </w:rPr>
              <w:t>Availability of witnesses</w:t>
            </w:r>
            <w:r w:rsidRPr="003A55F1">
              <w:rPr>
                <w:sz w:val="20"/>
                <w:szCs w:val="20"/>
              </w:rPr>
              <w:t>: Whether or not a third party was present at the time of the incident (someone other than the suspect or victim)</w:t>
            </w:r>
          </w:p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  <w:u w:val="single"/>
              </w:rPr>
              <w:t>Offender characteristics</w:t>
            </w:r>
            <w:r w:rsidRPr="003A55F1">
              <w:rPr>
                <w:sz w:val="20"/>
                <w:szCs w:val="20"/>
              </w:rPr>
              <w:t>: Demographic characteristics such as offender gender (1 = female; 0 =male); race (1 = white offender; 0 = non-white offender); Age (continuous variable); multiple offenders (1 = yes; 0 = no); Offender has a prior record for a violent crime (1 = prior record for murder, attempted murder, aggravated assault, sexual assault, assault, or robbery; 0 = no record for such offenses); Offender has a prior record for a non-violent crime (1 = prior record for any property or drug offense [traffic offenses are excluded]; 0 = no record for such offenses); Victim-offender relationship (family, friend/acquaintance, stranger, and intimate partner) as the reference category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01A2C" w:rsidTr="00833681">
        <w:tc>
          <w:tcPr>
            <w:tcW w:w="1795" w:type="dxa"/>
            <w:tcBorders>
              <w:top w:val="nil"/>
              <w:bottom w:val="single" w:sz="4" w:space="0" w:color="auto"/>
              <w:right w:val="nil"/>
            </w:tcBorders>
          </w:tcPr>
          <w:p w:rsidR="00101A2C" w:rsidRPr="003A55F1" w:rsidRDefault="00101A2C" w:rsidP="00101A2C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Homicide incident threat</w:t>
            </w:r>
            <w:r w:rsidRPr="003A55F1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&lt;EndNote&gt;&lt;Cite&gt;&lt;Author&gt;Pizarro&lt;/Author&gt;&lt;Year&gt;2006&lt;/Year&gt;&lt;RecNum&gt;1707&lt;/RecNum&gt;&lt;DisplayText&gt;&lt;style face="superscript"&gt;119&lt;/style&gt;&lt;/DisplayText&gt;&lt;record&gt;&lt;rec-number&gt;1707&lt;/rec-number&gt;&lt;foreign-keys&gt;&lt;key app="EN" db-id="txwsrv2xx0t5sbe29ro5aavg9edrvpzxpvfs" timestamp="1398360643"&gt;1707&lt;/key&gt;&lt;/foreign-keys&gt;&lt;ref-type name="Journal Article"&gt;17&lt;/ref-type&gt;&lt;contributors&gt;&lt;authors&gt;&lt;author&gt;Pizarro, Jesenia M.&lt;/author&gt;&lt;author&gt;McGloin, Jean Marie&lt;/author&gt;&lt;/authors&gt;&lt;/contributors&gt;&lt;auth-address&gt;Pizarro, Jesenia M.: jmcgloin@crim.umd.edu&lt;/auth-address&gt;&lt;titles&gt;&lt;title&gt;Explaining gang homicides in Newark, New Jersey: Collective behavior or social disorganization?&lt;/title&gt;&lt;secondary-title&gt;Journal of Criminal Justice&lt;/secondary-title&gt;&lt;/titles&gt;&lt;periodical&gt;&lt;full-title&gt;Journal of Criminal Justice&lt;/full-title&gt;&lt;/periodical&gt;&lt;pages&gt;195-207&lt;/pages&gt;&lt;volume&gt;34&lt;/volume&gt;&lt;number&gt;2&lt;/number&gt;&lt;dates&gt;&lt;year&gt;2006&lt;/year&gt;&lt;pub-dates&gt;&lt;date&gt;Mar-Apr&lt;/date&gt;&lt;/pub-dates&gt;&lt;/dates&gt;&lt;accession-num&gt;2006-05114-008&lt;/accession-num&gt;&lt;urls&gt;&lt;related-urls&gt;&lt;url&gt;http://ovidsp.ovid.com/ovidweb.cgi?T=JS&amp;amp;CSC=Y&amp;amp;NEWS=N&amp;amp;PAGE=fulltext&amp;amp;D=psyc5&amp;amp;AN=2006-05114-008&lt;/url&gt;&lt;url&gt;http://sfxhosted.exlibrisgroup.com/cdc?sid=OVID:psycdb&amp;amp;id=pmid:&amp;amp;id=10.1016%2Fj.jcrimjus.2006.01.002&amp;amp;issn=0047-2352&amp;amp;isbn=&amp;amp;volume=34&amp;amp;issue=2&amp;amp;spage=195&amp;amp;pages=195-207&amp;amp;date=2006&amp;amp;title=Journal+of+Criminal+Justice&amp;amp;atitle=Explaining+gang+homicides+in+Newark%2C+New+Jersey%3A+Collective+behavior+or+social+disorganization%3F&amp;amp;aulast=Pizarro&amp;amp;pid=%3Cauthor%3EPizarro%2C+Jesenia+M%2CMcGloin%2C+Jean+Marie%3C%2Fauthor%3E&amp;amp;%3CAN%3E2006-05114-008%3C%2FAN%3E&amp;amp;%3CDT%3EJournal+Article%3C%2FDT%3E&lt;/url&gt;&lt;/related-urls&gt;&lt;/urls&gt;&lt;remote-database-name&gt;PsycINFO&lt;/remote-database-name&gt;&lt;remote-database-provider&gt;Ovid Technologies&lt;/remote-database-provider&gt;&lt;/record&gt;&lt;/Cite&gt;&lt;/EndNote&gt;</w:instrText>
            </w:r>
            <w:r w:rsidRPr="003A55F1">
              <w:rPr>
                <w:sz w:val="20"/>
                <w:szCs w:val="20"/>
              </w:rPr>
              <w:fldChar w:fldCharType="separate"/>
            </w:r>
            <w:r w:rsidRPr="008B308B">
              <w:rPr>
                <w:noProof/>
                <w:sz w:val="20"/>
                <w:szCs w:val="20"/>
                <w:vertAlign w:val="superscript"/>
              </w:rPr>
              <w:t>119</w:t>
            </w:r>
            <w:r w:rsidRPr="003A55F1">
              <w:rPr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Location (inside, outside in the street); Weapon (gun, knife/cutting object, blunt object, personal weapon, other); Victim/offender relationship (domestic, friend, acquaintance, stranger, unknown); Multiple suspects (yes, no); Homicide was sparked by a “threat” against a person’s group or the person’s status within a group (yes, no)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City police department data</w:t>
            </w:r>
          </w:p>
        </w:tc>
      </w:tr>
      <w:tr w:rsidR="00101A2C" w:rsidTr="00676F48"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</w:tcPr>
          <w:p w:rsidR="00101A2C" w:rsidRPr="003A55F1" w:rsidRDefault="00101A2C" w:rsidP="00101A2C">
            <w:pPr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lastRenderedPageBreak/>
              <w:t>Intentional injury</w:t>
            </w:r>
            <w:r>
              <w:rPr>
                <w:noProof/>
                <w:sz w:val="20"/>
                <w:szCs w:val="20"/>
                <w:vertAlign w:val="superscript"/>
              </w:rPr>
              <w:t>120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Number of cases having an ICD-9-CM code in the range of E960-E969, “homicide and injury purposely inflicted by other persons’’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State Hospital Discharge data</w:t>
            </w:r>
          </w:p>
        </w:tc>
      </w:tr>
      <w:tr w:rsidR="00101A2C" w:rsidTr="00B6472E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Intimate partner femicide</w:t>
            </w:r>
            <w:r>
              <w:rPr>
                <w:noProof/>
                <w:sz w:val="20"/>
                <w:szCs w:val="20"/>
                <w:vertAlign w:val="superscript"/>
              </w:rPr>
              <w:t>121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Number of deaths of female by male intimate partners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Wisconsin Violent Death Reporting System (WVDRS) matched with the Wisconsin Coalition Against Domestic Violence annual report on DV homicides</w:t>
            </w:r>
          </w:p>
        </w:tc>
      </w:tr>
      <w:tr w:rsidR="00101A2C" w:rsidTr="00B6472E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Intimate partner femicide</w:t>
            </w:r>
            <w:r>
              <w:rPr>
                <w:noProof/>
                <w:sz w:val="20"/>
                <w:szCs w:val="20"/>
                <w:vertAlign w:val="superscript"/>
              </w:rPr>
              <w:t>122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Homicides of women aged 15 or older classified based on their relationship to the perpetrator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Medical examiner records</w:t>
            </w:r>
          </w:p>
        </w:tc>
      </w:tr>
      <w:tr w:rsidR="00101A2C" w:rsidTr="00B6472E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Juvenile arrests</w:t>
            </w:r>
            <w:bookmarkStart w:id="4" w:name="_Ref474503759"/>
            <w:r w:rsidRPr="003A55F1">
              <w:rPr>
                <w:noProof/>
                <w:sz w:val="20"/>
                <w:szCs w:val="20"/>
                <w:vertAlign w:val="superscript"/>
              </w:rPr>
              <w:t>12</w:t>
            </w:r>
            <w:bookmarkEnd w:id="4"/>
            <w:r>
              <w:rPr>
                <w:noProof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Felony, misdemeanor; petty misdemeanor; violation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Juvenile Justice Information System from State Attorney General’s Office</w:t>
            </w:r>
          </w:p>
        </w:tc>
      </w:tr>
      <w:tr w:rsidR="00101A2C" w:rsidTr="00B6472E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Mortality from homicide</w:t>
            </w:r>
            <w:r>
              <w:rPr>
                <w:noProof/>
                <w:color w:val="000000"/>
                <w:sz w:val="20"/>
                <w:szCs w:val="20"/>
                <w:vertAlign w:val="superscript"/>
              </w:rPr>
              <w:t>124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Age-adjusted mortality rates standardized to the 1990 US population and expressed as # of deaths per 100,000 persons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 xml:space="preserve">National Center for Health Statistics Compressed Mortality File </w:t>
            </w:r>
          </w:p>
        </w:tc>
      </w:tr>
      <w:tr w:rsidR="00101A2C" w:rsidTr="00B6472E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Neighborhood Crime</w:t>
            </w:r>
            <w:r>
              <w:rPr>
                <w:noProof/>
                <w:color w:val="000000"/>
                <w:sz w:val="20"/>
                <w:szCs w:val="20"/>
                <w:vertAlign w:val="superscript"/>
              </w:rPr>
              <w:t>125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Index of: Number of robberies, aggravated assaults, rapes, and homicides per 100,000 residents in each county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U.S. Census</w:t>
            </w:r>
          </w:p>
        </w:tc>
      </w:tr>
      <w:tr w:rsidR="00101A2C" w:rsidTr="00676F48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Non-lethal assaults against police</w:t>
            </w:r>
            <w:bookmarkStart w:id="5" w:name="_Ref482965040"/>
            <w:r w:rsidRPr="003A55F1">
              <w:rPr>
                <w:noProof/>
                <w:color w:val="000000"/>
                <w:sz w:val="20"/>
                <w:szCs w:val="20"/>
                <w:vertAlign w:val="superscript"/>
              </w:rPr>
              <w:t>12</w:t>
            </w:r>
            <w:bookmarkEnd w:id="5"/>
            <w:r>
              <w:rPr>
                <w:noProof/>
                <w:color w:val="000000"/>
                <w:sz w:val="20"/>
                <w:szCs w:val="20"/>
                <w:vertAlign w:val="superscript"/>
              </w:rPr>
              <w:t>6</w:t>
            </w:r>
            <w:r w:rsidRPr="003A55F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color w:val="000000"/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 xml:space="preserve">Number </w:t>
            </w:r>
            <w:r w:rsidRPr="003A55F1">
              <w:rPr>
                <w:color w:val="000000"/>
                <w:sz w:val="20"/>
                <w:szCs w:val="20"/>
              </w:rPr>
              <w:t>of nonlethal assaults against police</w:t>
            </w:r>
            <w:r w:rsidRPr="003A55F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FBI Uniform Crime Reports</w:t>
            </w:r>
          </w:p>
        </w:tc>
      </w:tr>
      <w:tr w:rsidR="00101A2C" w:rsidTr="00676F48">
        <w:tc>
          <w:tcPr>
            <w:tcW w:w="1795" w:type="dxa"/>
            <w:tcBorders>
              <w:top w:val="nil"/>
              <w:bottom w:val="single" w:sz="4" w:space="0" w:color="auto"/>
              <w:right w:val="nil"/>
            </w:tcBorders>
          </w:tcPr>
          <w:p w:rsidR="00101A2C" w:rsidRPr="003A55F1" w:rsidRDefault="00101A2C" w:rsidP="00101A2C">
            <w:pPr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Offending rates</w:t>
            </w:r>
            <w:r>
              <w:rPr>
                <w:noProof/>
                <w:color w:val="000000"/>
                <w:sz w:val="20"/>
                <w:szCs w:val="20"/>
                <w:vertAlign w:val="superscript"/>
              </w:rPr>
              <w:t>127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Six-year counts of homicide, robbery, aggravated assault, burglary, and larceny by gender excluding offenders under 10 or 65 and older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FBI Uniform Crime Reports &amp; Supplemental Homicide Report</w:t>
            </w:r>
          </w:p>
        </w:tc>
      </w:tr>
      <w:tr w:rsidR="00101A2C" w:rsidTr="00676F48"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</w:tcPr>
          <w:p w:rsidR="00101A2C" w:rsidRPr="003A55F1" w:rsidRDefault="00101A2C" w:rsidP="00101A2C">
            <w:pPr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lastRenderedPageBreak/>
              <w:t>Officer killings</w:t>
            </w:r>
            <w:r>
              <w:rPr>
                <w:noProof/>
                <w:color w:val="000000"/>
                <w:sz w:val="20"/>
                <w:szCs w:val="20"/>
                <w:vertAlign w:val="superscript"/>
              </w:rPr>
              <w:t>126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Sum of police officers killed over period of nine years regardless of race of offender or victim</w:t>
            </w:r>
            <w:r w:rsidRPr="003A55F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FBI Uniform Crime Reports</w:t>
            </w:r>
          </w:p>
        </w:tc>
      </w:tr>
      <w:tr w:rsidR="00101A2C" w:rsidTr="00B6472E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Police use of force</w:t>
            </w:r>
            <w:r>
              <w:rPr>
                <w:noProof/>
                <w:color w:val="000000"/>
                <w:sz w:val="20"/>
                <w:szCs w:val="20"/>
                <w:vertAlign w:val="superscript"/>
              </w:rPr>
              <w:t>128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 xml:space="preserve">Acts that threaten or inflict physical harm on suspects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Police crime records &amp; in-person interviews with police officers</w:t>
            </w:r>
          </w:p>
        </w:tc>
      </w:tr>
      <w:tr w:rsidR="00101A2C" w:rsidTr="00B6472E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rPr>
                <w:color w:val="000000"/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Property crime</w:t>
            </w:r>
            <w:r w:rsidRPr="003A55F1">
              <w:rPr>
                <w:noProof/>
                <w:color w:val="000000"/>
                <w:sz w:val="20"/>
                <w:szCs w:val="20"/>
                <w:vertAlign w:val="superscript"/>
              </w:rPr>
              <w:t>39, 60</w:t>
            </w:r>
            <w:r w:rsidRPr="003A55F1">
              <w:rPr>
                <w:i/>
                <w:sz w:val="20"/>
                <w:szCs w:val="20"/>
                <w:vertAlign w:val="superscript"/>
              </w:rPr>
              <w:fldChar w:fldCharType="begin"/>
            </w:r>
            <w:r w:rsidRPr="003A55F1">
              <w:rPr>
                <w:i/>
                <w:sz w:val="20"/>
                <w:szCs w:val="20"/>
                <w:vertAlign w:val="superscript"/>
              </w:rPr>
              <w:instrText xml:space="preserve"> NOTEREF _Ref474501517 \h  \* MERGEFORMAT </w:instrText>
            </w:r>
            <w:r w:rsidRPr="003A55F1">
              <w:rPr>
                <w:i/>
                <w:sz w:val="20"/>
                <w:szCs w:val="20"/>
                <w:vertAlign w:val="superscript"/>
              </w:rPr>
            </w:r>
            <w:r w:rsidRPr="003A55F1">
              <w:rPr>
                <w:i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color w:val="000000"/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Total number of burglary, larceny, and motor vehicle theft, number per 100K population, and sum divided by city population then multiplied by 100K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City police department data</w:t>
            </w:r>
            <w:r w:rsidRPr="003A55F1">
              <w:rPr>
                <w:color w:val="000000"/>
                <w:sz w:val="20"/>
                <w:szCs w:val="20"/>
              </w:rPr>
              <w:t xml:space="preserve"> &amp; U.S. Census; FBI Uniform Crime Report</w:t>
            </w:r>
          </w:p>
        </w:tc>
      </w:tr>
      <w:tr w:rsidR="00101A2C" w:rsidTr="00B6472E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School crime</w:t>
            </w:r>
            <w:r w:rsidRPr="003A55F1">
              <w:rPr>
                <w:noProof/>
                <w:color w:val="000000"/>
                <w:sz w:val="20"/>
                <w:szCs w:val="20"/>
                <w:vertAlign w:val="superscript"/>
              </w:rPr>
              <w:t>102</w:t>
            </w:r>
            <w:r w:rsidRPr="003A55F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color w:val="000000"/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  <w:u w:val="single"/>
              </w:rPr>
              <w:t>Index of total number of school crimes per 1000 students enrolled in the school year</w:t>
            </w:r>
            <w:r w:rsidRPr="003A55F1">
              <w:rPr>
                <w:color w:val="000000"/>
                <w:sz w:val="20"/>
                <w:szCs w:val="20"/>
              </w:rPr>
              <w:t xml:space="preserve">: Assaults, batteries, homicides, robberies, weapons possession, substance abuse, and sex offenses; </w:t>
            </w:r>
          </w:p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  <w:u w:val="single"/>
              </w:rPr>
              <w:t>Suspension/ expulsion rates</w:t>
            </w:r>
            <w:r w:rsidRPr="003A55F1">
              <w:rPr>
                <w:color w:val="000000"/>
                <w:sz w:val="20"/>
                <w:szCs w:val="20"/>
              </w:rPr>
              <w:t>: Number of expulsions/suspensions per student enrollment per 100 students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State Department of Education</w:t>
            </w:r>
          </w:p>
        </w:tc>
      </w:tr>
      <w:tr w:rsidR="00101A2C" w:rsidTr="00B6472E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Sexually oriented business (SOB) crime density</w:t>
            </w:r>
            <w:r w:rsidRPr="003A55F1">
              <w:rPr>
                <w:noProof/>
                <w:color w:val="000000"/>
                <w:sz w:val="20"/>
                <w:szCs w:val="20"/>
                <w:vertAlign w:val="superscript"/>
              </w:rPr>
              <w:t>104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Count of crime incidents within 500 feet (1st buffer zone) to 1,000 feet (2nd buffer zone) of the SOB</w:t>
            </w:r>
            <w:r w:rsidRPr="003A55F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 xml:space="preserve">City police department, Louisville/Jefferson County Information Consortium (LOJIC) &amp; U.S. Census </w:t>
            </w:r>
          </w:p>
        </w:tc>
      </w:tr>
      <w:tr w:rsidR="00101A2C" w:rsidTr="00833681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violence</w:t>
            </w:r>
            <w:r>
              <w:rPr>
                <w:noProof/>
                <w:sz w:val="20"/>
                <w:szCs w:val="20"/>
                <w:vertAlign w:val="superscript"/>
              </w:rPr>
              <w:t>123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Non-fatal injuries from assaults (rate per 1K)</w:t>
            </w:r>
            <w:r>
              <w:rPr>
                <w:sz w:val="20"/>
                <w:szCs w:val="20"/>
              </w:rPr>
              <w:t xml:space="preserve"> for youth ages 10-19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External causes of injury codes retrieved from state department of health</w:t>
            </w:r>
          </w:p>
        </w:tc>
      </w:tr>
      <w:tr w:rsidR="00101A2C" w:rsidTr="00833681">
        <w:tc>
          <w:tcPr>
            <w:tcW w:w="1795" w:type="dxa"/>
            <w:tcBorders>
              <w:top w:val="nil"/>
              <w:bottom w:val="single" w:sz="4" w:space="0" w:color="auto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Violence and victimization</w:t>
            </w:r>
            <w:r w:rsidRPr="003A55F1">
              <w:rPr>
                <w:noProof/>
                <w:color w:val="000000"/>
                <w:sz w:val="20"/>
                <w:szCs w:val="20"/>
                <w:vertAlign w:val="superscript"/>
              </w:rPr>
              <w:t>129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color w:val="000000"/>
                <w:sz w:val="20"/>
                <w:szCs w:val="20"/>
              </w:rPr>
            </w:pPr>
            <w:r w:rsidRPr="003A55F1">
              <w:rPr>
                <w:bCs/>
                <w:color w:val="000000"/>
                <w:sz w:val="20"/>
                <w:szCs w:val="20"/>
              </w:rPr>
              <w:t>Index of average, annual, zip code rates of homicide and calls for service to police per capita:</w:t>
            </w:r>
            <w:r w:rsidRPr="003A55F1">
              <w:rPr>
                <w:color w:val="000000"/>
                <w:sz w:val="20"/>
                <w:szCs w:val="20"/>
              </w:rPr>
              <w:t xml:space="preserve"> assault with a deadly weapon, arson, attack, battery, bomb, burglary, child abuse, dispute, explosion, kidnapping, murder, prowler or a neighbor reporting an open window or door, robbery, screaming, shots fired, theft, and vandalism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</w:tcBorders>
          </w:tcPr>
          <w:p w:rsidR="00101A2C" w:rsidRPr="003A55F1" w:rsidRDefault="00101A2C" w:rsidP="00101A2C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State Department of Health and Human Services &amp; city police department data</w:t>
            </w:r>
          </w:p>
        </w:tc>
      </w:tr>
      <w:tr w:rsidR="00101A2C" w:rsidTr="00833681"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lastRenderedPageBreak/>
              <w:t>Violent and firearm-related crime</w:t>
            </w:r>
            <w:r w:rsidRPr="003A55F1">
              <w:rPr>
                <w:noProof/>
                <w:color w:val="000000"/>
                <w:sz w:val="20"/>
                <w:szCs w:val="20"/>
                <w:vertAlign w:val="superscript"/>
              </w:rPr>
              <w:t>130</w:t>
            </w:r>
            <w:r w:rsidRPr="003A55F1">
              <w:rPr>
                <w:color w:val="000000"/>
                <w:sz w:val="20"/>
                <w:szCs w:val="20"/>
              </w:rPr>
              <w:t xml:space="preserve"> </w:t>
            </w:r>
            <w:r w:rsidRPr="003A55F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color w:val="000000"/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  <w:u w:val="single"/>
              </w:rPr>
              <w:t>Violent and firearm-related crimes (VFC)</w:t>
            </w:r>
            <w:r w:rsidRPr="003A55F1">
              <w:rPr>
                <w:color w:val="000000"/>
                <w:sz w:val="20"/>
                <w:szCs w:val="20"/>
              </w:rPr>
              <w:t xml:space="preserve">: Number of VFC handguns per 1000 gun years of exposure; </w:t>
            </w:r>
          </w:p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color w:val="000000"/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  <w:u w:val="single"/>
              </w:rPr>
              <w:t>Time to crime</w:t>
            </w:r>
            <w:r w:rsidRPr="003A55F1">
              <w:rPr>
                <w:color w:val="000000"/>
                <w:sz w:val="20"/>
                <w:szCs w:val="20"/>
              </w:rPr>
              <w:t>: Median time between the traced guns’ sales and their recoveries by police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 xml:space="preserve">State Department of Justice (CDOJ) &amp; ATF (Bureau of Alcohol, Tobacco, Firearms and Explosives) </w:t>
            </w:r>
          </w:p>
        </w:tc>
      </w:tr>
      <w:tr w:rsidR="00101A2C" w:rsidTr="00B6472E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Violent crime</w:t>
            </w:r>
            <w:r w:rsidRPr="003A55F1">
              <w:rPr>
                <w:noProof/>
                <w:sz w:val="20"/>
                <w:szCs w:val="20"/>
                <w:vertAlign w:val="superscript"/>
              </w:rPr>
              <w:t>131, 132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color w:val="000000"/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Aggravated assault; non-aggravated assault; drive-by shooting; homicide; kidnapping; rape; robbery; and sexual offenses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City police department data</w:t>
            </w:r>
          </w:p>
        </w:tc>
      </w:tr>
      <w:tr w:rsidR="00101A2C" w:rsidTr="00B6472E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Violent crime</w:t>
            </w:r>
            <w:r w:rsidRPr="003A55F1">
              <w:rPr>
                <w:noProof/>
                <w:color w:val="000000"/>
                <w:sz w:val="20"/>
                <w:szCs w:val="20"/>
                <w:vertAlign w:val="superscript"/>
              </w:rPr>
              <w:t>133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Index of total number divided by each city’s population and multiplied by 100K of: Aggravated assault, homicide, forcible rape, and robbery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FBI Uniform Crime Reports</w:t>
            </w:r>
          </w:p>
        </w:tc>
      </w:tr>
      <w:tr w:rsidR="00101A2C" w:rsidTr="00676F48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Violent crime density</w:t>
            </w:r>
            <w:r w:rsidRPr="003A55F1">
              <w:rPr>
                <w:noProof/>
                <w:color w:val="000000"/>
                <w:sz w:val="20"/>
                <w:szCs w:val="20"/>
                <w:vertAlign w:val="superscript"/>
              </w:rPr>
              <w:t>134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tabs>
                <w:tab w:val="left" w:pos="930"/>
              </w:tabs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Index of number of crimes within ½ mile of the perimeter of the target area plotted on a map: Fighting, shooting, stabbing, murder, domestic violence, gang-related activity, robbery, and sex crimes: rape, sexual abuse, molestation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Daily newspaper police blotters (with confirmation by the city police department) were used to measure crime.</w:t>
            </w:r>
          </w:p>
        </w:tc>
      </w:tr>
      <w:tr w:rsidR="00101A2C" w:rsidTr="00A93A19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 xml:space="preserve">Violent crime &amp; </w:t>
            </w:r>
            <w:r w:rsidRPr="003A55F1">
              <w:rPr>
                <w:color w:val="000000"/>
                <w:sz w:val="20"/>
                <w:szCs w:val="20"/>
              </w:rPr>
              <w:br/>
              <w:t>violence uncertainty</w:t>
            </w:r>
            <w:r w:rsidRPr="003A55F1">
              <w:rPr>
                <w:noProof/>
                <w:color w:val="000000"/>
                <w:sz w:val="20"/>
                <w:szCs w:val="20"/>
                <w:vertAlign w:val="superscript"/>
              </w:rPr>
              <w:t>135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  <w:u w:val="single"/>
              </w:rPr>
              <w:t>Index of violent crime</w:t>
            </w:r>
            <w:r w:rsidRPr="003A55F1">
              <w:rPr>
                <w:color w:val="000000"/>
                <w:sz w:val="20"/>
                <w:szCs w:val="20"/>
              </w:rPr>
              <w:t>: Tract-level counts of assault, homicide, rape, and robbery with a deadly weapon;</w:t>
            </w:r>
          </w:p>
          <w:p w:rsidR="00101A2C" w:rsidRPr="003A55F1" w:rsidRDefault="00101A2C" w:rsidP="00101A2C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  <w:u w:val="single"/>
              </w:rPr>
              <w:t>Violence uncertainty</w:t>
            </w:r>
            <w:r w:rsidRPr="003A55F1">
              <w:rPr>
                <w:color w:val="000000"/>
                <w:sz w:val="20"/>
                <w:szCs w:val="20"/>
              </w:rPr>
              <w:t>: Residual change score for tract-level violence (regressing the six-month violent crime rate per tract on the previous six-month violence crime rate per tract)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101A2C" w:rsidRPr="003A55F1" w:rsidRDefault="00101A2C" w:rsidP="00101A2C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sz w:val="20"/>
                <w:szCs w:val="20"/>
              </w:rPr>
              <w:t>City police department data</w:t>
            </w:r>
            <w:r w:rsidRPr="003A55F1">
              <w:rPr>
                <w:color w:val="000000"/>
                <w:sz w:val="20"/>
                <w:szCs w:val="20"/>
              </w:rPr>
              <w:t xml:space="preserve"> &amp; U.S. Census</w:t>
            </w:r>
          </w:p>
        </w:tc>
      </w:tr>
      <w:tr w:rsidR="00A93A19" w:rsidTr="00A93A19">
        <w:tc>
          <w:tcPr>
            <w:tcW w:w="1795" w:type="dxa"/>
            <w:tcBorders>
              <w:top w:val="nil"/>
              <w:bottom w:val="single" w:sz="4" w:space="0" w:color="auto"/>
              <w:right w:val="nil"/>
            </w:tcBorders>
          </w:tcPr>
          <w:p w:rsidR="00A93A19" w:rsidRDefault="00A93A19" w:rsidP="00A93A19">
            <w:pP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Violent injury</w:t>
            </w:r>
            <w:r w:rsidRPr="00C56BA0">
              <w:rPr>
                <w:color w:val="000000"/>
                <w:sz w:val="20"/>
                <w:szCs w:val="20"/>
                <w:vertAlign w:val="superscript"/>
              </w:rPr>
              <w:t>136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A19" w:rsidRPr="003A55F1" w:rsidRDefault="00A93A19" w:rsidP="00A93A19">
            <w:pPr>
              <w:spacing w:line="480" w:lineRule="auto"/>
              <w:rPr>
                <w:color w:val="000000"/>
                <w:sz w:val="20"/>
                <w:szCs w:val="20"/>
                <w:u w:val="single"/>
              </w:rPr>
            </w:pPr>
            <w:r w:rsidRPr="003A55F1">
              <w:rPr>
                <w:color w:val="000000"/>
                <w:sz w:val="20"/>
                <w:szCs w:val="20"/>
                <w:u w:val="single"/>
              </w:rPr>
              <w:t>Index of violent injury</w:t>
            </w:r>
            <w:r w:rsidRPr="003A55F1">
              <w:rPr>
                <w:color w:val="000000"/>
                <w:sz w:val="20"/>
                <w:szCs w:val="20"/>
              </w:rPr>
              <w:t>: Injury coded by paramedics for where an assault occurred, including rape, fig</w:t>
            </w:r>
            <w:r>
              <w:rPr>
                <w:color w:val="000000"/>
                <w:sz w:val="20"/>
                <w:szCs w:val="20"/>
              </w:rPr>
              <w:t>ht/brawl, shooting, or stabbing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</w:tcBorders>
          </w:tcPr>
          <w:p w:rsidR="00A93A19" w:rsidRPr="003A55F1" w:rsidRDefault="00A93A19" w:rsidP="00A93A19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 xml:space="preserve">City Ambulance Authority </w:t>
            </w:r>
          </w:p>
        </w:tc>
      </w:tr>
      <w:tr w:rsidR="00A93A19" w:rsidTr="00A93A19"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</w:tcPr>
          <w:p w:rsidR="00A93A19" w:rsidRPr="003A55F1" w:rsidRDefault="00A93A19" w:rsidP="00A93A19">
            <w:pPr>
              <w:spacing w:line="48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bookmarkStart w:id="6" w:name="_GoBack"/>
            <w:bookmarkEnd w:id="6"/>
            <w:r w:rsidRPr="003A55F1">
              <w:rPr>
                <w:color w:val="000000"/>
                <w:sz w:val="20"/>
                <w:szCs w:val="20"/>
              </w:rPr>
              <w:t>ntentional injury-related ambulance pickups</w:t>
            </w:r>
            <w:r w:rsidRPr="003A55F1">
              <w:rPr>
                <w:noProof/>
                <w:color w:val="000000"/>
                <w:sz w:val="20"/>
                <w:szCs w:val="20"/>
                <w:vertAlign w:val="superscript"/>
              </w:rPr>
              <w:t>136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A19" w:rsidRPr="003A55F1" w:rsidRDefault="00A93A19" w:rsidP="00A93A19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  <w:u w:val="single"/>
              </w:rPr>
              <w:t>Rate of intentional injury-related ambulance pickups</w:t>
            </w:r>
            <w:r w:rsidRPr="003A55F1">
              <w:rPr>
                <w:color w:val="000000"/>
                <w:sz w:val="20"/>
                <w:szCs w:val="20"/>
              </w:rPr>
              <w:t xml:space="preserve">: Average number of injury-related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3A55F1">
              <w:rPr>
                <w:color w:val="000000"/>
                <w:sz w:val="20"/>
                <w:szCs w:val="20"/>
              </w:rPr>
              <w:t>mbulance pickups per month for each census tract per 1,000 populations in the specified time period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</w:tcBorders>
          </w:tcPr>
          <w:p w:rsidR="00A93A19" w:rsidRPr="003A55F1" w:rsidRDefault="00A93A19" w:rsidP="00A93A19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 xml:space="preserve">City Ambulance Authority </w:t>
            </w:r>
          </w:p>
        </w:tc>
      </w:tr>
      <w:tr w:rsidR="00A93A19" w:rsidTr="00B6472E"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A93A19" w:rsidRPr="003A55F1" w:rsidRDefault="00A93A19" w:rsidP="00A93A19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Violent victimization</w:t>
            </w:r>
            <w:r w:rsidRPr="003A55F1">
              <w:rPr>
                <w:noProof/>
                <w:color w:val="000000"/>
                <w:sz w:val="20"/>
                <w:szCs w:val="20"/>
                <w:vertAlign w:val="superscript"/>
              </w:rPr>
              <w:t>137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A93A19" w:rsidRPr="003A55F1" w:rsidRDefault="00A93A19" w:rsidP="00A93A19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Sum of all outpatient hospitalizations for injuries coded as assaults for adolescents aged 10–17 and adolescents and young adults aged 15–24 over a 3-year period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A93A19" w:rsidRPr="003A55F1" w:rsidRDefault="00A93A19" w:rsidP="00A93A19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Hospital data</w:t>
            </w:r>
          </w:p>
        </w:tc>
      </w:tr>
      <w:tr w:rsidR="00A93A19" w:rsidTr="00B6472E">
        <w:tc>
          <w:tcPr>
            <w:tcW w:w="1795" w:type="dxa"/>
            <w:tcBorders>
              <w:top w:val="nil"/>
              <w:right w:val="nil"/>
            </w:tcBorders>
          </w:tcPr>
          <w:p w:rsidR="00A93A19" w:rsidRPr="003A55F1" w:rsidRDefault="00A93A19" w:rsidP="00A93A19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>Youth homicide offenses</w:t>
            </w:r>
            <w:r w:rsidRPr="003A55F1">
              <w:rPr>
                <w:noProof/>
                <w:color w:val="000000"/>
                <w:sz w:val="20"/>
                <w:szCs w:val="20"/>
                <w:vertAlign w:val="superscript"/>
              </w:rPr>
              <w:t>87</w:t>
            </w:r>
          </w:p>
        </w:tc>
        <w:tc>
          <w:tcPr>
            <w:tcW w:w="8010" w:type="dxa"/>
            <w:tcBorders>
              <w:top w:val="nil"/>
              <w:left w:val="nil"/>
              <w:right w:val="nil"/>
            </w:tcBorders>
          </w:tcPr>
          <w:p w:rsidR="00A93A19" w:rsidRPr="003A55F1" w:rsidRDefault="00A93A19" w:rsidP="00A93A19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  <w:u w:val="single"/>
              </w:rPr>
              <w:t>Youth homicide offenses</w:t>
            </w:r>
            <w:r w:rsidRPr="003A55F1">
              <w:rPr>
                <w:color w:val="000000"/>
                <w:sz w:val="20"/>
                <w:szCs w:val="20"/>
              </w:rPr>
              <w:t>: Homicide rate per 100 000 for offenders aged 13–17 and aged 18–24 included both men and women</w:t>
            </w:r>
          </w:p>
        </w:tc>
        <w:tc>
          <w:tcPr>
            <w:tcW w:w="3870" w:type="dxa"/>
            <w:tcBorders>
              <w:top w:val="nil"/>
              <w:left w:val="nil"/>
            </w:tcBorders>
          </w:tcPr>
          <w:p w:rsidR="00A93A19" w:rsidRPr="003A55F1" w:rsidRDefault="00A93A19" w:rsidP="00A93A19">
            <w:pPr>
              <w:spacing w:line="480" w:lineRule="auto"/>
              <w:rPr>
                <w:sz w:val="20"/>
                <w:szCs w:val="20"/>
              </w:rPr>
            </w:pPr>
            <w:r w:rsidRPr="003A55F1">
              <w:rPr>
                <w:color w:val="000000"/>
                <w:sz w:val="20"/>
                <w:szCs w:val="20"/>
              </w:rPr>
              <w:t xml:space="preserve">U.S. Department of Justice’s Supplemental Homicide Report </w:t>
            </w:r>
          </w:p>
        </w:tc>
      </w:tr>
    </w:tbl>
    <w:p w:rsidR="00FC70C6" w:rsidRDefault="00FC70C6"/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96.</w:t>
      </w:r>
      <w:r>
        <w:tab/>
        <w:t>Melzer-Lange MD, Van Thatcher CD, Liu J, Zhu S. Urban community characteristics and adolescent assault victims. WMJ. 2007;106:394-6.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97.</w:t>
      </w:r>
      <w:r>
        <w:tab/>
        <w:t>Gruenewald PJ, Freisthler B, Remer L, Lascala EA, Treno A. Ecological models of alcohol outlets and violent assaults: crime potentials and geospatial analysis. Addiction. 2006;101:666-77.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98.</w:t>
      </w:r>
      <w:r>
        <w:tab/>
        <w:t>Grattet R. The Urban Ecology of Bias Crime: A Study of Disorganized and Defended Neighborhoods. Social Problems. 2009;56:132-50. (in English).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99.</w:t>
      </w:r>
      <w:r>
        <w:tab/>
        <w:t>Lee MT, Martinez R. Social Disorganization Revisited: Mapping the Recent Immigration and Black Homicide Relationship in Northern Miami. Sociological Focus. 2002;35:363-80. (in English).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100.</w:t>
      </w:r>
      <w:r>
        <w:tab/>
        <w:t>Weissman AM, Jogerst GJ, Dawson JD. Community Characteristics Associated with Child Abuse in Iowa. Child Abuse &amp; Neglect. 2003;27:1145-59. (in English).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101.</w:t>
      </w:r>
      <w:r>
        <w:tab/>
        <w:t>Mustaine EE, Tewksbury R, Huff-Corzine L, Corzine J, Marshall H. Community characteristics and child sexual assault: Social disorganization and age. Journal of Criminal Justice. 2014;42:173-83.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102.</w:t>
      </w:r>
      <w:r>
        <w:tab/>
        <w:t>Limbos MA, Casteel C. Schools and neighborhoods: organizational and environmental factors associated with crime in secondary schools. Journal of School Health. 2008;78:539-44; quiz 69-71.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lastRenderedPageBreak/>
        <w:t>103.</w:t>
      </w:r>
      <w:r>
        <w:tab/>
        <w:t>Jeffrey J, Sternfeld I, Tager I. The association between childhood asthma and community violence, Los Angeles County, 2000. Public Health Reports. 2006;121:720-8.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104.</w:t>
      </w:r>
      <w:r>
        <w:tab/>
        <w:t>McCord ES, Tewksbury R. Does the Presence of Sexually Oriented Businesses Relate to Increased Levels of Crime? An Examination Using Spatial Analyses. Crime &amp; Delinquency. 2013;59:1108-25. (in English).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105.</w:t>
      </w:r>
      <w:r>
        <w:tab/>
        <w:t>Messer LC, Kaufman JS, Dole N, Herring A, Laraia BA. Violent crime exposure classification and adverse birth outcomes: a geographically-defined cohort study. International Journal of Health Geographics [Electronic Resource]. 2006;5:22.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106.</w:t>
      </w:r>
      <w:r>
        <w:tab/>
        <w:t>Papachristos AV, Wildeman C. Network exposure and homicide victimization in an African American community. American journal of public health. 2014;104:143-50.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107.</w:t>
      </w:r>
      <w:r>
        <w:tab/>
        <w:t>Milam A, Furr-Holden C, Leaf P. Perceived school and neighborhood safety, neighborhood violence and academic achievement in urban school children. The Urban Review. 2010;42:458-67.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108.</w:t>
      </w:r>
      <w:r>
        <w:tab/>
        <w:t>Logan TK, Shannon L, Walker R. Protective orders in rural and urban areas: a multiple perspective study. Violence Against Women. 2005;11:876-911.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109.</w:t>
      </w:r>
      <w:r>
        <w:tab/>
        <w:t>Papachristos ANB. Murder by Structure: Dominance Relations and the Social Structure of Gang Homicide. American Journal of Sociology. 2009;115:74-128. (in English).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110.</w:t>
      </w:r>
      <w:r>
        <w:tab/>
        <w:t>Katz CM, Schnebly SM. Neighborhood variation in gang member concentrations. Crime &amp; Delinquency. 2011;57:377-407.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111.</w:t>
      </w:r>
      <w:r>
        <w:tab/>
        <w:t>Papachristos AV, Braga AA, Hureau DM. Social networks and the risk of gunshot injury. Journal of urban health : bulletin of the New York Academy of Medicine. 2012;89:992-1003.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112.</w:t>
      </w:r>
      <w:r>
        <w:tab/>
        <w:t>Papachristos AV, Hureau DM, Braga AA. The Corner and the Crew: The Influence of Geography and Social Networks on Gang Violence. American Sociological Review. 2013;78:417-47. (in English).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lastRenderedPageBreak/>
        <w:t>113.</w:t>
      </w:r>
      <w:r>
        <w:tab/>
        <w:t>Duncan DT, Hatzenbuehler ML, Johnson RM. Neighborhood-level LGBT hate crimes and current illicit drug use among sexual minority youth. Drug and Alcohol Dependence. 2014;135:65-70.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114.</w:t>
      </w:r>
      <w:r>
        <w:tab/>
        <w:t>Spring AL. Declining Segregation of Same-Sex Partners: Evidence from Census 2000 and 2010. Population Research and Policy Review. 2013;32:687-716. (in English).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115.</w:t>
      </w:r>
      <w:r>
        <w:tab/>
        <w:t>Diem C, Pizarro JM. Social Structure and Family Homicides. Journal of Family Violence. 2010;25:521-32. (in English).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116.</w:t>
      </w:r>
      <w:r>
        <w:tab/>
        <w:t>Robinson PL, Boscardin WJ, George SM, Teklehaimanot S, Heslin KC, Bluthenthal RN. The effect of urban street gang densities on small area homicide incidence in a large metropolitan county, 1994-2002. Journal of Urban Health. 2009;86:511-23.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117.</w:t>
      </w:r>
      <w:r>
        <w:tab/>
        <w:t>Mares D. Social Disorganization and Gang Homicides in Chicago: A Neighborhood Level Comparison of Disaggregated Homicides. Youth Violence and Juvenile Justice. 2010;8:38-57. (in English).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118.</w:t>
      </w:r>
      <w:r>
        <w:tab/>
        <w:t>Regoeczi WC, Jarvis JP. Beyond the Social Production of Homicide Rates: Extending Social Disorganization Theory to Explain Homicide Case Outcomes. Justice Quarterly. 2013;30:983-1014. (in English).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119.</w:t>
      </w:r>
      <w:r>
        <w:tab/>
        <w:t>Pizarro JM, McGloin JM. Explaining gang homicides in Newark, New Jersey: Collective behavior or social disorganization? Journal of Criminal Justice. 2006;34:195-207.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120.</w:t>
      </w:r>
      <w:r>
        <w:tab/>
        <w:t>Fabio A, Li W, Strotmeyer S, Branas CC. Racial segregation and county level intentional injury in Pennsylvania: analysis of hospital discharge data for 1997-1999. Journal of Epidemiology &amp; Community Health. 2004;58:346-51.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121.</w:t>
      </w:r>
      <w:r>
        <w:tab/>
        <w:t>Beyer KM, Layde PM, Hamberger LK, Laud PW. Characteristics of the residential neighborhood environment differentiate intimate partner femicide in urban versus rural settings. Journal of Rural Health. 2013;29:281-93.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122.</w:t>
      </w:r>
      <w:r>
        <w:tab/>
        <w:t>Frye V, Wilt S. Femicide and social disorganization. Violence Against Women. 2001;7:335-51.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lastRenderedPageBreak/>
        <w:t>123.</w:t>
      </w:r>
      <w:r>
        <w:tab/>
        <w:t>Sugimoto-Matsuda JJ, Hishinuma ES, Momohara CB, Rehuher D, Soli FM, Bautista RP, et al. Monitoring the multi-faceted problem of youth violence: the Asian/Pacific Islander Youth Violence Prevention Center's surveillance system. Journal of Community Health. 2012;37:1015-25.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124.</w:t>
      </w:r>
      <w:r>
        <w:tab/>
        <w:t>Galea S, Karpati A, Kennedy B. Social Capital and Violence in the United States, 1974-1993. Social Science and Medicine. 2002;55:1373-83. (in English).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125.</w:t>
      </w:r>
      <w:r>
        <w:tab/>
        <w:t>Barnes JC, Jacobs BA. Genetic Risk for Violent Behavior and Environmental Exposure to Disadvantage and Violent Crime: The Case for Gene-Environment Interaction. Journal of Interpersonal Violence. 2013;28:92-120. (in English).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126.</w:t>
      </w:r>
      <w:r>
        <w:tab/>
        <w:t>Jacobs D, Carmichael JT. Subordination and Violence against State Control Agents: Testing Political Explanations for Lethal Assaults against the Police. Social Forces. 2002;80:1223-51. (in English).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127.</w:t>
      </w:r>
      <w:r>
        <w:tab/>
        <w:t>Steffensmeier DJ, Haynie DL. Gender, Structural Disadvantage, and Urban Crime: Do Macrosocial Variables also Explain Female Offending Rates? Criminology. 2000;38:403-38. (in English).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128.</w:t>
      </w:r>
      <w:r>
        <w:tab/>
        <w:t>Terrill W, Reisig MD. Neighborhood Context and Police Use of Force. Journal of Research in Crime and Delinquency. 2003;40:291-321. (in English).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129.</w:t>
      </w:r>
      <w:r>
        <w:tab/>
        <w:t>Jacobson JO. Do drug treatment facilities increase clients' exposure to potential neighborhood-level triggers for relapse? A small-area assessment of a large, public treatment system. Journal of Urban Health. 2006;83:150-61.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130.</w:t>
      </w:r>
      <w:r>
        <w:tab/>
        <w:t>Wintemute GJ, Cook PJ, Wright MA. Risk factors among handgun retailers for frequent and disproportionate sales of guns used in violent and firearm related crimes. Injury Prevention. 2005;11:357-63.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131.</w:t>
      </w:r>
      <w:r>
        <w:tab/>
        <w:t>Olson CP, Laurikkala MK, Huff-Corzine L, Corzine J. Immigration and violent crime: Citizenship status and social disorganization. Homicide Studies: An Interdisciplinary &amp; International Journal. 2009;13:227-41.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132.</w:t>
      </w:r>
      <w:r>
        <w:tab/>
        <w:t>Yang S-M. Assessing the spatial–temporal relationship between disorder and violence. Journal of Quantitative Criminology. 2010;26:139-63.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lastRenderedPageBreak/>
        <w:t>133.</w:t>
      </w:r>
      <w:r>
        <w:tab/>
        <w:t xml:space="preserve">Zhao JS, Scheider MC, Thurman Q. </w:t>
      </w:r>
      <w:r w:rsidR="00833681">
        <w:t>Funding community policing to reduce crime: have cops grants made a difference</w:t>
      </w:r>
      <w:r>
        <w:t>? Criminology &amp; Public Policy. 2002;2:7-32. (in English).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134.</w:t>
      </w:r>
      <w:r>
        <w:tab/>
        <w:t>Gomez JE, Johnson BA, Selva M, Sallis JF. Violent crime and outdoor physical activity among inner-city youth. Preventive Medicine. 2004;39:876-81.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135.</w:t>
      </w:r>
      <w:r>
        <w:tab/>
        <w:t>Kane RJ. The ecology of unhealthy places: Violence, birthweight, and the importance of territoriality in structurally disadvantaged communities. Social Science and Medicine. 2011;73:1585-92.</w:t>
      </w:r>
    </w:p>
    <w:p w:rsidR="003850DF" w:rsidRDefault="003850DF" w:rsidP="003850DF">
      <w:pPr>
        <w:pStyle w:val="EndNoteBibliography"/>
        <w:spacing w:after="0" w:line="480" w:lineRule="auto"/>
        <w:ind w:left="720" w:hanging="720"/>
      </w:pPr>
      <w:r>
        <w:t>136.</w:t>
      </w:r>
      <w:r>
        <w:tab/>
        <w:t>Masho SW, Bishop DL, Edmonds T, Farrell AD. Using surveillance data to inform community action: the effect of alcohol sale restrictions on intentional injury-related ambulance pickups. Prevention Science. 2014;15:22-30.</w:t>
      </w:r>
    </w:p>
    <w:p w:rsidR="003850DF" w:rsidRPr="003850DF" w:rsidRDefault="003850DF" w:rsidP="003850DF">
      <w:pPr>
        <w:spacing w:after="0" w:line="480" w:lineRule="auto"/>
        <w:ind w:left="720" w:hanging="720"/>
        <w:rPr>
          <w:rFonts w:ascii="Calibri Light" w:hAnsi="Calibri Light" w:cs="Calibri Light"/>
        </w:rPr>
      </w:pPr>
      <w:r w:rsidRPr="00A02A22">
        <w:rPr>
          <w:rFonts w:ascii="Calibri Light" w:hAnsi="Calibri Light" w:cs="Calibri Light"/>
        </w:rPr>
        <w:t>137.</w:t>
      </w:r>
      <w:r w:rsidRPr="00A02A22">
        <w:rPr>
          <w:rFonts w:ascii="Calibri Light" w:hAnsi="Calibri Light" w:cs="Calibri Light"/>
        </w:rPr>
        <w:tab/>
        <w:t>Kaylen MT, Pridemore WA. A reassessment of the association between social disorganization and youth violence in rural areas. Social Science Quarterly. 2011;92:978-1001.</w:t>
      </w:r>
    </w:p>
    <w:sectPr w:rsidR="003850DF" w:rsidRPr="003850DF" w:rsidSect="00833681">
      <w:headerReference w:type="default" r:id="rId7"/>
      <w:footnotePr>
        <w:numFmt w:val="chicago"/>
      </w:footnotePr>
      <w:endnotePr>
        <w:numFmt w:val="lowerLetter"/>
      </w:endnotePr>
      <w:type w:val="continuous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90" w:rsidRDefault="00504790" w:rsidP="00504790">
      <w:pPr>
        <w:spacing w:after="0" w:line="240" w:lineRule="auto"/>
      </w:pPr>
      <w:r>
        <w:separator/>
      </w:r>
    </w:p>
  </w:endnote>
  <w:endnote w:type="continuationSeparator" w:id="0">
    <w:p w:rsidR="00504790" w:rsidRDefault="00504790" w:rsidP="00504790">
      <w:pPr>
        <w:spacing w:after="0" w:line="240" w:lineRule="auto"/>
      </w:pPr>
      <w:r>
        <w:continuationSeparator/>
      </w:r>
    </w:p>
  </w:endnote>
  <w:endnote w:id="1">
    <w:p w:rsidR="003850DF" w:rsidRDefault="003850DF" w:rsidP="003850DF">
      <w:pPr>
        <w:pStyle w:val="EndnoteText"/>
        <w:spacing w:line="480" w:lineRule="auto"/>
      </w:pPr>
      <w:r>
        <w:rPr>
          <w:rStyle w:val="EndnoteReference"/>
        </w:rPr>
        <w:endnoteRef/>
      </w:r>
      <w:r>
        <w:t xml:space="preserve"> Multiple indicators that represent some form of an index are formatted with the prefix “index of”; constructs that are represented by multiple sub-constructs/indices are underlined and separated by semi-colons; otherwise multiple indicators that are not part of an index are separated by commas.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90" w:rsidRDefault="00504790" w:rsidP="00504790">
      <w:pPr>
        <w:spacing w:after="0" w:line="240" w:lineRule="auto"/>
      </w:pPr>
      <w:r>
        <w:separator/>
      </w:r>
    </w:p>
  </w:footnote>
  <w:footnote w:type="continuationSeparator" w:id="0">
    <w:p w:rsidR="00504790" w:rsidRDefault="00504790" w:rsidP="00504790">
      <w:pPr>
        <w:spacing w:after="0" w:line="240" w:lineRule="auto"/>
      </w:pPr>
      <w:r>
        <w:continuationSeparator/>
      </w:r>
    </w:p>
  </w:footnote>
  <w:footnote w:id="1">
    <w:p w:rsidR="00676F48" w:rsidRDefault="00676F48" w:rsidP="00676F48">
      <w:pPr>
        <w:pStyle w:val="FootnoteText"/>
        <w:spacing w:line="480" w:lineRule="auto"/>
      </w:pPr>
      <w:r>
        <w:rPr>
          <w:rStyle w:val="FootnoteReference"/>
        </w:rPr>
        <w:footnoteRef/>
      </w:r>
      <w:r>
        <w:t xml:space="preserve"> The indicator can be found using other publicly available data sources (e.g., FBI Uniform Crime Reports, city police department data, newspaper crime blotters).</w:t>
      </w:r>
    </w:p>
  </w:footnote>
  <w:footnote w:id="2">
    <w:p w:rsidR="00676F48" w:rsidRDefault="00676F48" w:rsidP="00676F48">
      <w:pPr>
        <w:pStyle w:val="FootnoteText"/>
      </w:pPr>
      <w:r>
        <w:rPr>
          <w:rStyle w:val="FootnoteReference"/>
        </w:rPr>
        <w:footnoteRef/>
      </w:r>
      <w:r>
        <w:t xml:space="preserve"> The indicator can be found using other publicly </w:t>
      </w:r>
      <w:r w:rsidRPr="00282B60">
        <w:t>available data sources (i.e., FBI Uniform Crime Report).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90" w:rsidRDefault="00504790">
    <w:pPr>
      <w:pStyle w:val="Header"/>
    </w:pPr>
    <w:r>
      <w:t>INDICATORS FOR VIOLENCE PREVENTION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numFmt w:val="chicago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8F"/>
    <w:rsid w:val="00101A2C"/>
    <w:rsid w:val="001A584C"/>
    <w:rsid w:val="001C1997"/>
    <w:rsid w:val="003166A3"/>
    <w:rsid w:val="003850DF"/>
    <w:rsid w:val="00504790"/>
    <w:rsid w:val="005438A9"/>
    <w:rsid w:val="0063368F"/>
    <w:rsid w:val="00637A77"/>
    <w:rsid w:val="00676F48"/>
    <w:rsid w:val="00833681"/>
    <w:rsid w:val="00865D9D"/>
    <w:rsid w:val="008B7C97"/>
    <w:rsid w:val="009E28E2"/>
    <w:rsid w:val="00A93A19"/>
    <w:rsid w:val="00AB1EE7"/>
    <w:rsid w:val="00C56BA0"/>
    <w:rsid w:val="00D26908"/>
    <w:rsid w:val="00E3288E"/>
    <w:rsid w:val="00E40F7D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C8A8"/>
  <w15:chartTrackingRefBased/>
  <w15:docId w15:val="{5B3576B1-8638-4BDE-BB13-9D3C41D0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F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68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36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04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790"/>
  </w:style>
  <w:style w:type="paragraph" w:styleId="Footer">
    <w:name w:val="footer"/>
    <w:basedOn w:val="Normal"/>
    <w:link w:val="FooterChar"/>
    <w:uiPriority w:val="99"/>
    <w:unhideWhenUsed/>
    <w:rsid w:val="00504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790"/>
  </w:style>
  <w:style w:type="table" w:styleId="TableGrid">
    <w:name w:val="Table Grid"/>
    <w:basedOn w:val="TableNormal"/>
    <w:uiPriority w:val="59"/>
    <w:rsid w:val="001C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7C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C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7C97"/>
    <w:rPr>
      <w:vertAlign w:val="superscript"/>
    </w:rPr>
  </w:style>
  <w:style w:type="character" w:customStyle="1" w:styleId="reference-text">
    <w:name w:val="reference-text"/>
    <w:basedOn w:val="DefaultParagraphFont"/>
    <w:rsid w:val="008B7C97"/>
  </w:style>
  <w:style w:type="character" w:customStyle="1" w:styleId="Heading1Char">
    <w:name w:val="Heading 1 Char"/>
    <w:basedOn w:val="DefaultParagraphFont"/>
    <w:link w:val="Heading1"/>
    <w:uiPriority w:val="9"/>
    <w:rsid w:val="00676F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3850DF"/>
    <w:pPr>
      <w:spacing w:line="240" w:lineRule="auto"/>
    </w:pPr>
    <w:rPr>
      <w:rFonts w:ascii="Calibri Light" w:eastAsia="Calibri" w:hAnsi="Calibri Light" w:cs="Calibri Light"/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3850DF"/>
    <w:rPr>
      <w:rFonts w:ascii="Calibri Light" w:eastAsia="Calibri" w:hAnsi="Calibri Light" w:cs="Calibri Light"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50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50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5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1A9C-E036-4A1F-9D42-97AAD59E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Armstead, Theresa (CDC/ONDIEH/NCIPC)</dc:creator>
  <cp:keywords/>
  <dc:description/>
  <cp:lastModifiedBy>Armstead, Theresa (CDC/ONDIEH/NCIPC)</cp:lastModifiedBy>
  <cp:revision>6</cp:revision>
  <dcterms:created xsi:type="dcterms:W3CDTF">2017-09-26T13:52:00Z</dcterms:created>
  <dcterms:modified xsi:type="dcterms:W3CDTF">2017-09-26T14:21:00Z</dcterms:modified>
</cp:coreProperties>
</file>