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C8A" w:rsidRDefault="008A4C8A" w:rsidP="00FC2E45">
      <w:pPr>
        <w:pStyle w:val="Heading4"/>
        <w:spacing w:before="0" w:line="480" w:lineRule="auto"/>
        <w:rPr>
          <w:rStyle w:val="Heading4Char"/>
          <w:rFonts w:ascii="Calibri" w:hAnsi="Calibri" w:cs="Calibri"/>
          <w:b/>
          <w:bCs/>
          <w:color w:val="auto"/>
        </w:rPr>
      </w:pPr>
      <w:r>
        <w:rPr>
          <w:rStyle w:val="Heading4Char"/>
          <w:rFonts w:ascii="Calibri" w:hAnsi="Calibri" w:cs="Calibri"/>
          <w:b/>
          <w:bCs/>
          <w:color w:val="auto"/>
        </w:rPr>
        <w:t>Supplemental Digital Content</w:t>
      </w:r>
    </w:p>
    <w:p w:rsidR="008A4C8A" w:rsidRDefault="008A4C8A" w:rsidP="00B66B39">
      <w:pPr>
        <w:pStyle w:val="Heading4"/>
        <w:spacing w:before="0"/>
        <w:rPr>
          <w:rStyle w:val="Heading4Char"/>
          <w:rFonts w:ascii="Calibri" w:hAnsi="Calibri" w:cs="Calibri"/>
          <w:b/>
          <w:bCs/>
          <w:color w:val="auto"/>
        </w:rPr>
      </w:pPr>
      <w:r>
        <w:rPr>
          <w:rStyle w:val="Heading4Char"/>
          <w:rFonts w:ascii="Calibri" w:hAnsi="Calibri" w:cs="Calibri"/>
          <w:b/>
          <w:bCs/>
          <w:color w:val="auto"/>
        </w:rPr>
        <w:br w:type="page"/>
      </w:r>
    </w:p>
    <w:p w:rsidR="008A4C8A" w:rsidRPr="00E02405" w:rsidRDefault="008A4C8A" w:rsidP="00B66B39">
      <w:pPr>
        <w:pStyle w:val="Heading4"/>
        <w:spacing w:before="0"/>
        <w:rPr>
          <w:rFonts w:asciiTheme="minorHAnsi" w:hAnsiTheme="minorHAnsi" w:cstheme="minorHAnsi"/>
          <w:b/>
          <w:bCs/>
          <w:i w:val="0"/>
          <w:iCs w:val="0"/>
          <w:color w:val="auto"/>
        </w:rPr>
      </w:pPr>
      <w:r>
        <w:rPr>
          <w:rStyle w:val="Heading4Char"/>
          <w:rFonts w:ascii="Calibri" w:hAnsi="Calibri" w:cs="Calibri"/>
          <w:b/>
          <w:bCs/>
          <w:color w:val="auto"/>
        </w:rPr>
        <w:t>TABLE 6</w:t>
      </w:r>
      <w:r w:rsidRPr="00EF4C5C">
        <w:rPr>
          <w:rStyle w:val="Heading4Char"/>
          <w:rFonts w:ascii="Calibri" w:hAnsi="Calibri" w:cs="Calibri"/>
          <w:b/>
          <w:bCs/>
          <w:color w:val="auto"/>
        </w:rPr>
        <w:t xml:space="preserve">: </w:t>
      </w:r>
      <w:r w:rsidRPr="00E02405">
        <w:rPr>
          <w:rFonts w:asciiTheme="minorHAnsi" w:hAnsiTheme="minorHAnsi" w:cstheme="minorHAnsi"/>
          <w:b/>
          <w:bCs/>
          <w:i w:val="0"/>
          <w:iCs w:val="0"/>
          <w:color w:val="auto"/>
        </w:rPr>
        <w:t>POLICY/LAWS LINKED TO VIOLENCE OUTCOMES</w:t>
      </w:r>
      <w:r w:rsidRPr="00E02405">
        <w:rPr>
          <w:rFonts w:asciiTheme="minorHAnsi" w:hAnsiTheme="minorHAnsi" w:cstheme="minorHAnsi"/>
          <w:color w:val="auto"/>
        </w:rPr>
        <w:t xml:space="preserve"> </w:t>
      </w:r>
    </w:p>
    <w:p w:rsidR="008A4C8A" w:rsidRPr="00EF4C5C" w:rsidRDefault="008A4C8A" w:rsidP="00174B44">
      <w:pPr>
        <w:spacing w:after="0" w:line="240" w:lineRule="auto"/>
        <w:rPr>
          <w:b/>
          <w:bCs/>
          <w:i/>
          <w:iCs/>
        </w:rPr>
      </w:pPr>
    </w:p>
    <w:tbl>
      <w:tblPr>
        <w:tblW w:w="13675" w:type="dxa"/>
        <w:tblInd w:w="-10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85"/>
        <w:gridCol w:w="7920"/>
        <w:gridCol w:w="3870"/>
      </w:tblGrid>
      <w:tr w:rsidR="008A4C8A" w:rsidRPr="002C41E8">
        <w:trPr>
          <w:trHeight w:val="260"/>
          <w:tblHeader/>
        </w:trPr>
        <w:tc>
          <w:tcPr>
            <w:tcW w:w="1885" w:type="dxa"/>
            <w:tcBorders>
              <w:top w:val="single" w:sz="4" w:space="0" w:color="auto"/>
              <w:bottom w:val="single" w:sz="4" w:space="0" w:color="auto"/>
            </w:tcBorders>
          </w:tcPr>
          <w:p w:rsidR="008A4C8A" w:rsidRPr="002C41E8" w:rsidRDefault="008A4C8A" w:rsidP="002C41E8">
            <w:pPr>
              <w:spacing w:after="0" w:line="480" w:lineRule="auto"/>
              <w:rPr>
                <w:b/>
                <w:bCs/>
                <w:sz w:val="20"/>
                <w:szCs w:val="20"/>
              </w:rPr>
            </w:pPr>
            <w:r w:rsidRPr="002C41E8">
              <w:rPr>
                <w:b/>
                <w:bCs/>
                <w:sz w:val="20"/>
                <w:szCs w:val="20"/>
              </w:rPr>
              <w:t>Construct</w:t>
            </w:r>
          </w:p>
        </w:tc>
        <w:tc>
          <w:tcPr>
            <w:tcW w:w="7920" w:type="dxa"/>
            <w:tcBorders>
              <w:top w:val="single" w:sz="4" w:space="0" w:color="auto"/>
              <w:bottom w:val="single" w:sz="4" w:space="0" w:color="auto"/>
            </w:tcBorders>
          </w:tcPr>
          <w:p w:rsidR="008A4C8A" w:rsidRPr="002C41E8" w:rsidRDefault="008A4C8A" w:rsidP="00E02405">
            <w:pPr>
              <w:spacing w:after="0" w:line="480" w:lineRule="auto"/>
              <w:rPr>
                <w:b/>
                <w:bCs/>
                <w:sz w:val="20"/>
                <w:szCs w:val="20"/>
              </w:rPr>
            </w:pPr>
            <w:r w:rsidRPr="002C41E8">
              <w:rPr>
                <w:b/>
                <w:bCs/>
                <w:sz w:val="20"/>
                <w:szCs w:val="20"/>
              </w:rPr>
              <w:t>Indicators</w:t>
            </w:r>
            <w:r w:rsidR="00E02405">
              <w:rPr>
                <w:rStyle w:val="EndnoteReference"/>
                <w:b/>
                <w:bCs/>
                <w:sz w:val="20"/>
                <w:szCs w:val="20"/>
              </w:rPr>
              <w:endnoteReference w:id="1"/>
            </w:r>
          </w:p>
        </w:tc>
        <w:tc>
          <w:tcPr>
            <w:tcW w:w="3870" w:type="dxa"/>
            <w:tcBorders>
              <w:top w:val="single" w:sz="4" w:space="0" w:color="auto"/>
              <w:bottom w:val="single" w:sz="4" w:space="0" w:color="auto"/>
            </w:tcBorders>
          </w:tcPr>
          <w:p w:rsidR="008A4C8A" w:rsidRPr="002C41E8" w:rsidRDefault="008A4C8A" w:rsidP="002C41E8">
            <w:pPr>
              <w:spacing w:after="0" w:line="480" w:lineRule="auto"/>
              <w:rPr>
                <w:b/>
                <w:bCs/>
                <w:sz w:val="20"/>
                <w:szCs w:val="20"/>
              </w:rPr>
            </w:pPr>
            <w:r w:rsidRPr="002C41E8">
              <w:rPr>
                <w:b/>
                <w:bCs/>
                <w:sz w:val="20"/>
                <w:szCs w:val="20"/>
              </w:rPr>
              <w:t>Data Source</w:t>
            </w:r>
          </w:p>
        </w:tc>
      </w:tr>
      <w:tr w:rsidR="008A4C8A" w:rsidRPr="002C41E8">
        <w:trPr>
          <w:trHeight w:val="343"/>
        </w:trPr>
        <w:tc>
          <w:tcPr>
            <w:tcW w:w="1885" w:type="dxa"/>
            <w:tcBorders>
              <w:top w:val="single" w:sz="4" w:space="0" w:color="auto"/>
              <w:bottom w:val="nil"/>
            </w:tcBorders>
          </w:tcPr>
          <w:p w:rsidR="008A4C8A" w:rsidRPr="002C41E8" w:rsidRDefault="008A4C8A" w:rsidP="002C41E8">
            <w:pPr>
              <w:spacing w:after="0" w:line="480" w:lineRule="auto"/>
              <w:rPr>
                <w:sz w:val="20"/>
                <w:szCs w:val="20"/>
              </w:rPr>
            </w:pPr>
            <w:r w:rsidRPr="002C41E8">
              <w:rPr>
                <w:sz w:val="20"/>
                <w:szCs w:val="20"/>
              </w:rPr>
              <w:t>Economic support</w:t>
            </w:r>
            <w:r w:rsidRPr="002C41E8">
              <w:rPr>
                <w:noProof/>
                <w:sz w:val="20"/>
                <w:szCs w:val="20"/>
                <w:vertAlign w:val="superscript"/>
              </w:rPr>
              <w:t>138</w:t>
            </w:r>
          </w:p>
        </w:tc>
        <w:tc>
          <w:tcPr>
            <w:tcW w:w="7920" w:type="dxa"/>
            <w:tcBorders>
              <w:top w:val="single" w:sz="4" w:space="0" w:color="auto"/>
              <w:bottom w:val="nil"/>
            </w:tcBorders>
          </w:tcPr>
          <w:p w:rsidR="008A4C8A" w:rsidRPr="002C41E8" w:rsidRDefault="008A4C8A" w:rsidP="002C41E8">
            <w:pPr>
              <w:spacing w:after="0" w:line="480" w:lineRule="auto"/>
              <w:rPr>
                <w:sz w:val="20"/>
                <w:szCs w:val="20"/>
              </w:rPr>
            </w:pPr>
            <w:r w:rsidRPr="002C41E8">
              <w:rPr>
                <w:sz w:val="20"/>
                <w:szCs w:val="20"/>
                <w:u w:val="single"/>
              </w:rPr>
              <w:t>Index of transfer payments</w:t>
            </w:r>
            <w:r w:rsidRPr="002C41E8">
              <w:rPr>
                <w:sz w:val="20"/>
                <w:szCs w:val="20"/>
              </w:rPr>
              <w:t xml:space="preserve">: Per capita transfer receipts from federal and state governments to individuals including current transfer receipts of individuals from governments including retirement and disability insurance benefits, medical benefits, income maintenance benefits, unemployment insurance compensation, veterans’ benefits, and education and training assistance; </w:t>
            </w:r>
          </w:p>
          <w:p w:rsidR="008A4C8A" w:rsidRPr="002C41E8" w:rsidRDefault="008A4C8A" w:rsidP="002C41E8">
            <w:pPr>
              <w:spacing w:after="0" w:line="480" w:lineRule="auto"/>
              <w:rPr>
                <w:sz w:val="20"/>
                <w:szCs w:val="20"/>
              </w:rPr>
            </w:pPr>
            <w:r w:rsidRPr="002C41E8">
              <w:rPr>
                <w:sz w:val="20"/>
                <w:szCs w:val="20"/>
                <w:u w:val="single"/>
              </w:rPr>
              <w:t>Index of medical benefits</w:t>
            </w:r>
            <w:r w:rsidRPr="002C41E8">
              <w:rPr>
                <w:sz w:val="20"/>
                <w:szCs w:val="20"/>
              </w:rPr>
              <w:t xml:space="preserve">: Per capita federal and state medical benefits transferred to individuals including Medicare and Medicaid benefits, public assistance medical care such as the state children’s health insurance program (SCHIP), and military medical insurance benefits; </w:t>
            </w:r>
          </w:p>
          <w:p w:rsidR="008A4C8A" w:rsidRPr="002C41E8" w:rsidRDefault="008A4C8A" w:rsidP="002C41E8">
            <w:pPr>
              <w:spacing w:after="0" w:line="480" w:lineRule="auto"/>
              <w:rPr>
                <w:sz w:val="20"/>
                <w:szCs w:val="20"/>
              </w:rPr>
            </w:pPr>
            <w:r w:rsidRPr="002C41E8">
              <w:rPr>
                <w:sz w:val="20"/>
                <w:szCs w:val="20"/>
                <w:u w:val="single"/>
              </w:rPr>
              <w:t>Index of family assistance</w:t>
            </w:r>
            <w:r w:rsidRPr="002C41E8">
              <w:rPr>
                <w:sz w:val="20"/>
                <w:szCs w:val="20"/>
              </w:rPr>
              <w:t>: Per capita Aid to Families with Dependent Children AFDC (1990–1996) &amp; Temporary Assistance to Needy Families TANF (1997–2000) payments</w:t>
            </w:r>
          </w:p>
        </w:tc>
        <w:tc>
          <w:tcPr>
            <w:tcW w:w="3870" w:type="dxa"/>
            <w:tcBorders>
              <w:top w:val="single" w:sz="4" w:space="0" w:color="auto"/>
              <w:bottom w:val="nil"/>
            </w:tcBorders>
          </w:tcPr>
          <w:p w:rsidR="008A4C8A" w:rsidRPr="002C41E8" w:rsidRDefault="008A4C8A" w:rsidP="002C41E8">
            <w:pPr>
              <w:spacing w:after="0" w:line="480" w:lineRule="auto"/>
              <w:rPr>
                <w:sz w:val="20"/>
                <w:szCs w:val="20"/>
              </w:rPr>
            </w:pPr>
            <w:r w:rsidRPr="002C41E8">
              <w:rPr>
                <w:sz w:val="20"/>
                <w:szCs w:val="20"/>
              </w:rPr>
              <w:t>Bureau of Economic Analysis</w:t>
            </w:r>
          </w:p>
        </w:tc>
      </w:tr>
      <w:tr w:rsidR="008A4C8A" w:rsidRPr="002C41E8">
        <w:trPr>
          <w:trHeight w:val="343"/>
        </w:trPr>
        <w:tc>
          <w:tcPr>
            <w:tcW w:w="1885" w:type="dxa"/>
            <w:tcBorders>
              <w:top w:val="nil"/>
              <w:bottom w:val="single" w:sz="4" w:space="0" w:color="auto"/>
            </w:tcBorders>
          </w:tcPr>
          <w:p w:rsidR="008A4C8A" w:rsidRPr="002C41E8" w:rsidRDefault="008A4C8A" w:rsidP="002C41E8">
            <w:pPr>
              <w:spacing w:after="0" w:line="480" w:lineRule="auto"/>
              <w:rPr>
                <w:sz w:val="20"/>
                <w:szCs w:val="20"/>
              </w:rPr>
            </w:pPr>
            <w:r w:rsidRPr="002C41E8">
              <w:rPr>
                <w:color w:val="000000"/>
                <w:sz w:val="20"/>
                <w:szCs w:val="20"/>
              </w:rPr>
              <w:t>Gender legislative equality</w:t>
            </w:r>
            <w:r w:rsidRPr="002C41E8">
              <w:rPr>
                <w:noProof/>
                <w:color w:val="000000"/>
                <w:sz w:val="20"/>
                <w:szCs w:val="20"/>
                <w:vertAlign w:val="superscript"/>
              </w:rPr>
              <w:t>68</w:t>
            </w:r>
            <w:r w:rsidRPr="002C41E8">
              <w:rPr>
                <w:rStyle w:val="CommentReference"/>
                <w:sz w:val="20"/>
                <w:szCs w:val="20"/>
              </w:rPr>
              <w:t xml:space="preserve"> </w:t>
            </w:r>
          </w:p>
        </w:tc>
        <w:tc>
          <w:tcPr>
            <w:tcW w:w="7920" w:type="dxa"/>
            <w:tcBorders>
              <w:top w:val="nil"/>
              <w:bottom w:val="single" w:sz="4" w:space="0" w:color="auto"/>
              <w:right w:val="nil"/>
            </w:tcBorders>
          </w:tcPr>
          <w:p w:rsidR="008A4C8A" w:rsidRPr="002C41E8" w:rsidRDefault="008A4C8A" w:rsidP="002C41E8">
            <w:pPr>
              <w:spacing w:after="0" w:line="480" w:lineRule="auto"/>
              <w:rPr>
                <w:sz w:val="20"/>
                <w:szCs w:val="20"/>
                <w:u w:val="single"/>
              </w:rPr>
            </w:pPr>
            <w:r w:rsidRPr="002C41E8">
              <w:rPr>
                <w:sz w:val="20"/>
                <w:szCs w:val="20"/>
              </w:rPr>
              <w:t xml:space="preserve">Index of the presence of the following: Fair Employment Practices Act (whether women may file lawsuit personally under Fair Employment Practices Act), state passed equal pay laws (women may file lawsuit personally under equal pay laws), sex discrimination law in the area of public accommodations, sex discrimination law in the area of housing, sex discrimination law in the area of financing, sex discrimination law in the area of education, statutes that provide for civil injunction relief for victims of abuse, statutes that define the physical abuse of </w:t>
            </w:r>
            <w:r w:rsidRPr="002C41E8">
              <w:rPr>
                <w:sz w:val="20"/>
                <w:szCs w:val="20"/>
              </w:rPr>
              <w:lastRenderedPageBreak/>
              <w:t>a family or household member as a criminal offense, statutes that permit warrantless arrest based on probable cause in domestic violence cases, statutes that require data collection and reporting of family violence by agencies that serve these families, statutes that provide funds for family violence shelters or established standards of shelter operations</w:t>
            </w:r>
          </w:p>
        </w:tc>
        <w:tc>
          <w:tcPr>
            <w:tcW w:w="3870" w:type="dxa"/>
            <w:tcBorders>
              <w:top w:val="nil"/>
              <w:left w:val="nil"/>
              <w:bottom w:val="single" w:sz="4" w:space="0" w:color="auto"/>
            </w:tcBorders>
          </w:tcPr>
          <w:p w:rsidR="008A4C8A" w:rsidRPr="002C41E8" w:rsidRDefault="008A4C8A" w:rsidP="00E02405">
            <w:pPr>
              <w:spacing w:after="0" w:line="480" w:lineRule="auto"/>
              <w:rPr>
                <w:sz w:val="20"/>
                <w:szCs w:val="20"/>
              </w:rPr>
            </w:pPr>
            <w:r w:rsidRPr="002C41E8">
              <w:rPr>
                <w:sz w:val="20"/>
                <w:szCs w:val="20"/>
              </w:rPr>
              <w:lastRenderedPageBreak/>
              <w:t>The Rights of Women Project</w:t>
            </w:r>
            <w:r w:rsidR="00E02405">
              <w:rPr>
                <w:rStyle w:val="FootnoteReference"/>
                <w:sz w:val="20"/>
                <w:szCs w:val="20"/>
              </w:rPr>
              <w:footnoteReference w:id="1"/>
            </w:r>
          </w:p>
        </w:tc>
      </w:tr>
    </w:tbl>
    <w:p w:rsidR="00E02405" w:rsidRDefault="00E02405" w:rsidP="00D32C19">
      <w:pPr>
        <w:pStyle w:val="EndNoteBibliography"/>
        <w:spacing w:after="0" w:line="480" w:lineRule="auto"/>
        <w:ind w:left="720" w:hanging="720"/>
      </w:pPr>
    </w:p>
    <w:p w:rsidR="008A4C8A" w:rsidRDefault="008A4C8A" w:rsidP="00D32C19">
      <w:pPr>
        <w:pStyle w:val="EndNoteBibliography"/>
        <w:spacing w:after="0" w:line="480" w:lineRule="auto"/>
        <w:ind w:left="720" w:hanging="720"/>
      </w:pPr>
      <w:r>
        <w:t>138.</w:t>
      </w:r>
      <w:r>
        <w:tab/>
        <w:t>Flavin P, Radcliff B. Public Policies and Suicide Rates in the American States. Social Indicators Research. 2009;90:195-209. (in English).</w:t>
      </w:r>
    </w:p>
    <w:p w:rsidR="008A4C8A" w:rsidRDefault="008A4C8A"/>
    <w:sectPr w:rsidR="008A4C8A" w:rsidSect="008B7C97">
      <w:headerReference w:type="default" r:id="rId7"/>
      <w:footnotePr>
        <w:numFmt w:val="chicago"/>
      </w:footnotePr>
      <w:endnotePr>
        <w:numFmt w:val="lowerLetter"/>
      </w:endnotePr>
      <w:type w:val="continuous"/>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8A" w:rsidRDefault="008A4C8A" w:rsidP="00504790">
      <w:pPr>
        <w:spacing w:after="0" w:line="240" w:lineRule="auto"/>
      </w:pPr>
      <w:r>
        <w:separator/>
      </w:r>
    </w:p>
  </w:endnote>
  <w:endnote w:type="continuationSeparator" w:id="0">
    <w:p w:rsidR="008A4C8A" w:rsidRDefault="008A4C8A" w:rsidP="00504790">
      <w:pPr>
        <w:spacing w:after="0" w:line="240" w:lineRule="auto"/>
      </w:pPr>
      <w:r>
        <w:continuationSeparator/>
      </w:r>
    </w:p>
  </w:endnote>
  <w:endnote w:id="1">
    <w:p w:rsidR="00E02405" w:rsidRDefault="00E02405" w:rsidP="00E02405">
      <w:pPr>
        <w:pStyle w:val="EndnoteText"/>
        <w:spacing w:line="480" w:lineRule="auto"/>
      </w:pPr>
      <w:r>
        <w:rPr>
          <w:rStyle w:val="EndnoteReference"/>
        </w:rPr>
        <w:endnoteRef/>
      </w:r>
      <w:r>
        <w:t xml:space="preserve"> </w:t>
      </w:r>
      <w:r>
        <w:t>Multiple indicators that represent some form of an index are formatted with the prefix “index of”; constructs that are represented by multiple sub-constructs/indices are underlined and separated by semi-colons; otherwise multiple indicators that are not part of an index are separated by commas.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8A" w:rsidRDefault="008A4C8A" w:rsidP="00504790">
      <w:pPr>
        <w:spacing w:after="0" w:line="240" w:lineRule="auto"/>
      </w:pPr>
      <w:r>
        <w:separator/>
      </w:r>
    </w:p>
  </w:footnote>
  <w:footnote w:type="continuationSeparator" w:id="0">
    <w:p w:rsidR="008A4C8A" w:rsidRDefault="008A4C8A" w:rsidP="00504790">
      <w:pPr>
        <w:spacing w:after="0" w:line="240" w:lineRule="auto"/>
      </w:pPr>
      <w:r>
        <w:continuationSeparator/>
      </w:r>
    </w:p>
  </w:footnote>
  <w:footnote w:id="1">
    <w:p w:rsidR="00E02405" w:rsidRDefault="00E02405">
      <w:pPr>
        <w:pStyle w:val="FootnoteText"/>
      </w:pPr>
      <w:r>
        <w:rPr>
          <w:rStyle w:val="FootnoteReference"/>
        </w:rPr>
        <w:footnoteRef/>
      </w:r>
      <w:r>
        <w:t xml:space="preserve"> </w:t>
      </w:r>
      <w:r w:rsidRPr="00EB0207">
        <w:t>The indicator can be found using other public</w:t>
      </w:r>
      <w:r>
        <w:t>ly available data sources (e.g., National Conference of State Legislators and National Women’s Law Center</w:t>
      </w:r>
      <w:r w:rsidRPr="00EB0207">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8A" w:rsidRDefault="008A4C8A">
    <w:pPr>
      <w:pStyle w:val="Header"/>
    </w:pPr>
    <w:r>
      <w:t>INDICATORS FOR VIOLENCE PREVENTION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oNotHyphenateCaps/>
  <w:characterSpacingControl w:val="doNotCompress"/>
  <w:doNotValidateAgainstSchema/>
  <w:doNotDemarcateInvalidXml/>
  <w:footnotePr>
    <w:numFmt w:val="chicago"/>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368F"/>
    <w:rsid w:val="00174B44"/>
    <w:rsid w:val="001C1997"/>
    <w:rsid w:val="002C41E8"/>
    <w:rsid w:val="004F669A"/>
    <w:rsid w:val="00504790"/>
    <w:rsid w:val="0063368F"/>
    <w:rsid w:val="00637A77"/>
    <w:rsid w:val="00676F48"/>
    <w:rsid w:val="007273A1"/>
    <w:rsid w:val="00731F3F"/>
    <w:rsid w:val="00847F3E"/>
    <w:rsid w:val="00865D9D"/>
    <w:rsid w:val="008A4C8A"/>
    <w:rsid w:val="008B7C97"/>
    <w:rsid w:val="009E4E4F"/>
    <w:rsid w:val="00AB1EE7"/>
    <w:rsid w:val="00B01C63"/>
    <w:rsid w:val="00B66B39"/>
    <w:rsid w:val="00C47EC0"/>
    <w:rsid w:val="00C92C96"/>
    <w:rsid w:val="00D26908"/>
    <w:rsid w:val="00D32C19"/>
    <w:rsid w:val="00E02405"/>
    <w:rsid w:val="00E3288E"/>
    <w:rsid w:val="00E40F7D"/>
    <w:rsid w:val="00EB0207"/>
    <w:rsid w:val="00EF0018"/>
    <w:rsid w:val="00EF4C5C"/>
    <w:rsid w:val="00FC2E4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9AC6F"/>
  <w15:docId w15:val="{3102825B-2CA3-40FF-9321-48B9C57F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3A1"/>
    <w:pPr>
      <w:spacing w:after="160" w:line="259" w:lineRule="auto"/>
    </w:pPr>
    <w:rPr>
      <w:rFonts w:cs="Calibri"/>
    </w:rPr>
  </w:style>
  <w:style w:type="paragraph" w:styleId="Heading1">
    <w:name w:val="heading 1"/>
    <w:basedOn w:val="Normal"/>
    <w:next w:val="Normal"/>
    <w:link w:val="Heading1Char"/>
    <w:uiPriority w:val="99"/>
    <w:qFormat/>
    <w:rsid w:val="00676F48"/>
    <w:pPr>
      <w:keepNext/>
      <w:keepLines/>
      <w:spacing w:before="240" w:after="0"/>
      <w:outlineLvl w:val="0"/>
    </w:pPr>
    <w:rPr>
      <w:rFonts w:ascii="Calibri Light" w:eastAsia="Times New Roman" w:hAnsi="Calibri Light" w:cs="Calibri Light"/>
      <w:color w:val="2E74B5"/>
      <w:sz w:val="32"/>
      <w:szCs w:val="32"/>
    </w:rPr>
  </w:style>
  <w:style w:type="paragraph" w:styleId="Heading4">
    <w:name w:val="heading 4"/>
    <w:basedOn w:val="Normal"/>
    <w:next w:val="Normal"/>
    <w:link w:val="Heading4Char"/>
    <w:uiPriority w:val="99"/>
    <w:qFormat/>
    <w:rsid w:val="0063368F"/>
    <w:pPr>
      <w:keepNext/>
      <w:keepLines/>
      <w:spacing w:before="40" w:after="0" w:line="276" w:lineRule="auto"/>
      <w:outlineLvl w:val="3"/>
    </w:pPr>
    <w:rPr>
      <w:rFonts w:ascii="Calibri Light" w:eastAsia="Times New Roman"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6F48"/>
    <w:rPr>
      <w:rFonts w:ascii="Calibri Light" w:hAnsi="Calibri Light" w:cs="Calibri Light"/>
      <w:color w:val="2E74B5"/>
      <w:sz w:val="32"/>
      <w:szCs w:val="32"/>
    </w:rPr>
  </w:style>
  <w:style w:type="character" w:customStyle="1" w:styleId="Heading4Char">
    <w:name w:val="Heading 4 Char"/>
    <w:basedOn w:val="DefaultParagraphFont"/>
    <w:link w:val="Heading4"/>
    <w:uiPriority w:val="99"/>
    <w:locked/>
    <w:rsid w:val="0063368F"/>
    <w:rPr>
      <w:rFonts w:ascii="Calibri Light" w:hAnsi="Calibri Light" w:cs="Calibri Light"/>
      <w:i/>
      <w:iCs/>
      <w:color w:val="2E74B5"/>
    </w:rPr>
  </w:style>
  <w:style w:type="paragraph" w:styleId="Header">
    <w:name w:val="header"/>
    <w:basedOn w:val="Normal"/>
    <w:link w:val="HeaderChar"/>
    <w:uiPriority w:val="99"/>
    <w:rsid w:val="0050479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4790"/>
  </w:style>
  <w:style w:type="paragraph" w:styleId="Footer">
    <w:name w:val="footer"/>
    <w:basedOn w:val="Normal"/>
    <w:link w:val="FooterChar"/>
    <w:uiPriority w:val="99"/>
    <w:rsid w:val="005047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4790"/>
  </w:style>
  <w:style w:type="table" w:styleId="TableGrid">
    <w:name w:val="Table Grid"/>
    <w:basedOn w:val="TableNormal"/>
    <w:uiPriority w:val="99"/>
    <w:rsid w:val="001C199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B7C9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B7C97"/>
    <w:rPr>
      <w:sz w:val="20"/>
      <w:szCs w:val="20"/>
    </w:rPr>
  </w:style>
  <w:style w:type="character" w:styleId="FootnoteReference">
    <w:name w:val="footnote reference"/>
    <w:basedOn w:val="DefaultParagraphFont"/>
    <w:uiPriority w:val="99"/>
    <w:semiHidden/>
    <w:rsid w:val="008B7C97"/>
    <w:rPr>
      <w:vertAlign w:val="superscript"/>
    </w:rPr>
  </w:style>
  <w:style w:type="character" w:customStyle="1" w:styleId="reference-text">
    <w:name w:val="reference-text"/>
    <w:basedOn w:val="DefaultParagraphFont"/>
    <w:uiPriority w:val="99"/>
    <w:rsid w:val="008B7C97"/>
  </w:style>
  <w:style w:type="character" w:styleId="CommentReference">
    <w:name w:val="annotation reference"/>
    <w:basedOn w:val="DefaultParagraphFont"/>
    <w:uiPriority w:val="99"/>
    <w:semiHidden/>
    <w:rsid w:val="009E4E4F"/>
    <w:rPr>
      <w:sz w:val="16"/>
      <w:szCs w:val="16"/>
    </w:rPr>
  </w:style>
  <w:style w:type="paragraph" w:customStyle="1" w:styleId="EndNoteBibliography">
    <w:name w:val="EndNote Bibliography"/>
    <w:basedOn w:val="Normal"/>
    <w:link w:val="EndNoteBibliographyChar"/>
    <w:uiPriority w:val="99"/>
    <w:pPr>
      <w:spacing w:line="240" w:lineRule="auto"/>
    </w:pPr>
    <w:rPr>
      <w:rFonts w:ascii="Calibri Light" w:hAnsi="Calibri Light" w:cs="Calibri Light"/>
      <w:noProof/>
    </w:rPr>
  </w:style>
  <w:style w:type="character" w:customStyle="1" w:styleId="EndNoteBibliographyChar">
    <w:name w:val="EndNote Bibliography Char"/>
    <w:basedOn w:val="DefaultParagraphFont"/>
    <w:link w:val="EndNoteBibliography"/>
    <w:uiPriority w:val="99"/>
    <w:locked/>
    <w:rPr>
      <w:rFonts w:ascii="Calibri Light" w:hAnsi="Calibri Light" w:cs="Calibri Light"/>
      <w:noProof/>
      <w:sz w:val="22"/>
      <w:szCs w:val="22"/>
      <w:lang w:val="en-US" w:eastAsia="en-US"/>
    </w:rPr>
  </w:style>
  <w:style w:type="paragraph" w:styleId="EndnoteText">
    <w:name w:val="endnote text"/>
    <w:basedOn w:val="Normal"/>
    <w:link w:val="EndnoteTextChar"/>
    <w:uiPriority w:val="99"/>
    <w:semiHidden/>
    <w:unhideWhenUsed/>
    <w:rsid w:val="00E02405"/>
    <w:rPr>
      <w:sz w:val="20"/>
      <w:szCs w:val="20"/>
    </w:rPr>
  </w:style>
  <w:style w:type="character" w:customStyle="1" w:styleId="EndnoteTextChar">
    <w:name w:val="Endnote Text Char"/>
    <w:basedOn w:val="DefaultParagraphFont"/>
    <w:link w:val="EndnoteText"/>
    <w:uiPriority w:val="99"/>
    <w:semiHidden/>
    <w:rsid w:val="00E02405"/>
    <w:rPr>
      <w:rFonts w:cs="Calibri"/>
      <w:sz w:val="20"/>
      <w:szCs w:val="20"/>
    </w:rPr>
  </w:style>
  <w:style w:type="character" w:styleId="EndnoteReference">
    <w:name w:val="endnote reference"/>
    <w:basedOn w:val="DefaultParagraphFont"/>
    <w:uiPriority w:val="99"/>
    <w:semiHidden/>
    <w:unhideWhenUsed/>
    <w:rsid w:val="00E0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736D7-6A68-40E8-9AD0-60AE717E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314</Words>
  <Characters>1791</Characters>
  <Application>Microsoft Office Word</Application>
  <DocSecurity>0</DocSecurity>
  <Lines>14</Lines>
  <Paragraphs>4</Paragraphs>
  <ScaleCrop>false</ScaleCrop>
  <Company>Centers for Disease Control and Prevention</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Armstead, Theresa (CDC/ONDIEH/NCIPC)</dc:creator>
  <cp:keywords/>
  <dc:description/>
  <cp:lastModifiedBy>Armstead, Theresa (CDC/ONDIEH/NCIPC)</cp:lastModifiedBy>
  <cp:revision>5</cp:revision>
  <dcterms:created xsi:type="dcterms:W3CDTF">2017-07-27T18:40:00Z</dcterms:created>
  <dcterms:modified xsi:type="dcterms:W3CDTF">2017-09-26T14:27:00Z</dcterms:modified>
</cp:coreProperties>
</file>