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7D" w:rsidRDefault="008C6E7D" w:rsidP="000E7C70">
      <w:pPr>
        <w:pStyle w:val="Heading4"/>
        <w:spacing w:before="0" w:line="480" w:lineRule="auto"/>
        <w:rPr>
          <w:rStyle w:val="Heading4Char"/>
          <w:rFonts w:ascii="Calibri" w:hAnsi="Calibri" w:cs="Calibri"/>
          <w:b/>
          <w:bCs/>
          <w:color w:val="auto"/>
        </w:rPr>
      </w:pPr>
      <w:r>
        <w:rPr>
          <w:rStyle w:val="Heading4Char"/>
          <w:rFonts w:ascii="Calibri" w:hAnsi="Calibri" w:cs="Calibri"/>
          <w:b/>
          <w:bCs/>
          <w:color w:val="auto"/>
        </w:rPr>
        <w:t>Supplemental Digital Content</w:t>
      </w:r>
    </w:p>
    <w:p w:rsidR="008C6E7D" w:rsidRPr="00EF4C5C" w:rsidRDefault="008C6E7D" w:rsidP="000E72DF">
      <w:pPr>
        <w:pStyle w:val="Heading4"/>
        <w:spacing w:before="0" w:line="480" w:lineRule="auto"/>
        <w:rPr>
          <w:rFonts w:ascii="Calibri" w:hAnsi="Calibri" w:cs="Calibri"/>
          <w:b/>
          <w:bCs/>
          <w:color w:val="auto"/>
        </w:rPr>
      </w:pPr>
      <w:r>
        <w:rPr>
          <w:rStyle w:val="Heading4Char"/>
          <w:rFonts w:ascii="Calibri" w:hAnsi="Calibri" w:cs="Calibri"/>
          <w:b/>
          <w:bCs/>
          <w:color w:val="auto"/>
        </w:rPr>
        <w:br w:type="page"/>
      </w:r>
      <w:r>
        <w:rPr>
          <w:rStyle w:val="Heading4Char"/>
          <w:rFonts w:ascii="Calibri" w:hAnsi="Calibri" w:cs="Calibri"/>
          <w:b/>
          <w:bCs/>
          <w:color w:val="auto"/>
        </w:rPr>
        <w:lastRenderedPageBreak/>
        <w:t>TABLE 8</w:t>
      </w:r>
      <w:r w:rsidRPr="00EF4C5C">
        <w:rPr>
          <w:rStyle w:val="Heading4Char"/>
          <w:rFonts w:ascii="Calibri" w:hAnsi="Calibri" w:cs="Calibri"/>
          <w:b/>
          <w:bCs/>
          <w:color w:val="auto"/>
        </w:rPr>
        <w:t xml:space="preserve">: </w:t>
      </w:r>
      <w:r>
        <w:rPr>
          <w:rStyle w:val="Heading4Char"/>
          <w:rFonts w:ascii="Calibri" w:hAnsi="Calibri" w:cs="Calibri"/>
          <w:b/>
          <w:bCs/>
          <w:color w:val="auto"/>
        </w:rPr>
        <w:t>POOR NEIGHBORHOOD SUPPORT AND COHESION</w:t>
      </w:r>
    </w:p>
    <w:tbl>
      <w:tblPr>
        <w:tblW w:w="13675" w:type="dxa"/>
        <w:tblInd w:w="-10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85"/>
        <w:gridCol w:w="7920"/>
        <w:gridCol w:w="3870"/>
      </w:tblGrid>
      <w:tr w:rsidR="008C6E7D" w:rsidRPr="0013742F">
        <w:trPr>
          <w:trHeight w:val="260"/>
          <w:tblHeader/>
        </w:trPr>
        <w:tc>
          <w:tcPr>
            <w:tcW w:w="1885" w:type="dxa"/>
            <w:tcBorders>
              <w:top w:val="single" w:sz="4" w:space="0" w:color="auto"/>
              <w:bottom w:val="single" w:sz="4" w:space="0" w:color="auto"/>
            </w:tcBorders>
          </w:tcPr>
          <w:p w:rsidR="008C6E7D" w:rsidRPr="0013742F" w:rsidRDefault="008C6E7D" w:rsidP="0013742F">
            <w:pPr>
              <w:spacing w:after="0" w:line="480" w:lineRule="auto"/>
              <w:rPr>
                <w:b/>
                <w:bCs/>
                <w:sz w:val="20"/>
                <w:szCs w:val="20"/>
              </w:rPr>
            </w:pPr>
            <w:r w:rsidRPr="0013742F">
              <w:rPr>
                <w:b/>
                <w:bCs/>
                <w:sz w:val="20"/>
                <w:szCs w:val="20"/>
              </w:rPr>
              <w:t>Construct</w:t>
            </w:r>
          </w:p>
        </w:tc>
        <w:tc>
          <w:tcPr>
            <w:tcW w:w="7920" w:type="dxa"/>
            <w:tcBorders>
              <w:top w:val="single" w:sz="4" w:space="0" w:color="auto"/>
              <w:bottom w:val="single" w:sz="4" w:space="0" w:color="auto"/>
            </w:tcBorders>
          </w:tcPr>
          <w:p w:rsidR="008C6E7D" w:rsidRPr="0013742F" w:rsidRDefault="008C6E7D" w:rsidP="00033002">
            <w:pPr>
              <w:spacing w:after="0" w:line="480" w:lineRule="auto"/>
              <w:rPr>
                <w:b/>
                <w:bCs/>
                <w:sz w:val="20"/>
                <w:szCs w:val="20"/>
              </w:rPr>
            </w:pPr>
            <w:r w:rsidRPr="0013742F">
              <w:rPr>
                <w:b/>
                <w:bCs/>
                <w:sz w:val="20"/>
                <w:szCs w:val="20"/>
              </w:rPr>
              <w:t>Indicators</w:t>
            </w:r>
            <w:r w:rsidR="007A3890">
              <w:rPr>
                <w:rStyle w:val="EndnoteReference"/>
                <w:b/>
                <w:bCs/>
                <w:sz w:val="20"/>
                <w:szCs w:val="20"/>
              </w:rPr>
              <w:endnoteReference w:id="1"/>
            </w:r>
          </w:p>
        </w:tc>
        <w:tc>
          <w:tcPr>
            <w:tcW w:w="3870" w:type="dxa"/>
            <w:tcBorders>
              <w:top w:val="single" w:sz="4" w:space="0" w:color="auto"/>
              <w:bottom w:val="single" w:sz="4" w:space="0" w:color="auto"/>
            </w:tcBorders>
          </w:tcPr>
          <w:p w:rsidR="008C6E7D" w:rsidRPr="0013742F" w:rsidRDefault="008C6E7D" w:rsidP="0013742F">
            <w:pPr>
              <w:spacing w:after="0" w:line="480" w:lineRule="auto"/>
              <w:rPr>
                <w:b/>
                <w:bCs/>
                <w:sz w:val="20"/>
                <w:szCs w:val="20"/>
              </w:rPr>
            </w:pPr>
            <w:r w:rsidRPr="0013742F">
              <w:rPr>
                <w:b/>
                <w:bCs/>
                <w:sz w:val="20"/>
                <w:szCs w:val="20"/>
              </w:rPr>
              <w:t>Data Source</w:t>
            </w:r>
          </w:p>
        </w:tc>
      </w:tr>
      <w:tr w:rsidR="008C6E7D" w:rsidRPr="0013742F">
        <w:trPr>
          <w:trHeight w:val="343"/>
        </w:trPr>
        <w:tc>
          <w:tcPr>
            <w:tcW w:w="1885" w:type="dxa"/>
          </w:tcPr>
          <w:p w:rsidR="008C6E7D" w:rsidRPr="0013742F" w:rsidRDefault="008C6E7D" w:rsidP="0013742F">
            <w:pPr>
              <w:spacing w:after="0" w:line="480" w:lineRule="auto"/>
              <w:rPr>
                <w:color w:val="000000"/>
                <w:sz w:val="20"/>
                <w:szCs w:val="20"/>
              </w:rPr>
            </w:pPr>
            <w:r w:rsidRPr="0013742F">
              <w:rPr>
                <w:color w:val="000000"/>
                <w:sz w:val="20"/>
                <w:szCs w:val="20"/>
              </w:rPr>
              <w:t>Disorder incidents</w:t>
            </w:r>
            <w:bookmarkStart w:id="1" w:name="_Ref482975874"/>
            <w:r w:rsidRPr="0013742F">
              <w:rPr>
                <w:noProof/>
                <w:color w:val="000000"/>
                <w:sz w:val="20"/>
                <w:szCs w:val="20"/>
                <w:vertAlign w:val="superscript"/>
              </w:rPr>
              <w:t>147</w:t>
            </w:r>
            <w:bookmarkEnd w:id="1"/>
          </w:p>
        </w:tc>
        <w:tc>
          <w:tcPr>
            <w:tcW w:w="7920" w:type="dxa"/>
            <w:tcBorders>
              <w:top w:val="single" w:sz="4" w:space="0" w:color="auto"/>
              <w:bottom w:val="nil"/>
              <w:right w:val="nil"/>
            </w:tcBorders>
          </w:tcPr>
          <w:p w:rsidR="008C6E7D" w:rsidRPr="0013742F" w:rsidRDefault="008C6E7D" w:rsidP="0013742F">
            <w:pPr>
              <w:spacing w:after="0" w:line="480" w:lineRule="auto"/>
              <w:rPr>
                <w:color w:val="000000"/>
                <w:sz w:val="20"/>
                <w:szCs w:val="20"/>
              </w:rPr>
            </w:pPr>
            <w:r w:rsidRPr="0013742F">
              <w:rPr>
                <w:color w:val="000000"/>
                <w:sz w:val="20"/>
                <w:szCs w:val="20"/>
              </w:rPr>
              <w:t>Index of: Counts of calls for service to respond to shots fired, disorder, fight, harassment, loud noise, and suspicious person or activity</w:t>
            </w:r>
          </w:p>
        </w:tc>
        <w:tc>
          <w:tcPr>
            <w:tcW w:w="3870" w:type="dxa"/>
            <w:tcBorders>
              <w:top w:val="single" w:sz="4" w:space="0" w:color="auto"/>
              <w:left w:val="nil"/>
              <w:bottom w:val="nil"/>
            </w:tcBorders>
          </w:tcPr>
          <w:p w:rsidR="008C6E7D" w:rsidRPr="0013742F" w:rsidRDefault="008C6E7D" w:rsidP="0013742F">
            <w:pPr>
              <w:spacing w:after="0" w:line="480" w:lineRule="auto"/>
              <w:rPr>
                <w:sz w:val="20"/>
                <w:szCs w:val="20"/>
              </w:rPr>
            </w:pPr>
            <w:r w:rsidRPr="0013742F">
              <w:rPr>
                <w:sz w:val="20"/>
                <w:szCs w:val="20"/>
              </w:rPr>
              <w:t>Police Department data</w:t>
            </w:r>
          </w:p>
        </w:tc>
      </w:tr>
      <w:tr w:rsidR="008C6E7D" w:rsidRPr="0013742F">
        <w:trPr>
          <w:trHeight w:val="476"/>
        </w:trPr>
        <w:tc>
          <w:tcPr>
            <w:tcW w:w="1885" w:type="dxa"/>
          </w:tcPr>
          <w:p w:rsidR="008C6E7D" w:rsidRPr="0013742F" w:rsidRDefault="008C6E7D" w:rsidP="0013742F">
            <w:pPr>
              <w:spacing w:after="0" w:line="480" w:lineRule="auto"/>
              <w:rPr>
                <w:color w:val="000000"/>
                <w:sz w:val="20"/>
                <w:szCs w:val="20"/>
              </w:rPr>
            </w:pPr>
            <w:r w:rsidRPr="0013742F">
              <w:rPr>
                <w:color w:val="000000"/>
                <w:sz w:val="20"/>
                <w:szCs w:val="20"/>
              </w:rPr>
              <w:t>Neighborhood deterioration</w:t>
            </w:r>
            <w:r w:rsidRPr="0013742F">
              <w:rPr>
                <w:noProof/>
                <w:color w:val="000000"/>
                <w:sz w:val="20"/>
                <w:szCs w:val="20"/>
                <w:vertAlign w:val="superscript"/>
              </w:rPr>
              <w:t>147</w:t>
            </w:r>
          </w:p>
        </w:tc>
        <w:tc>
          <w:tcPr>
            <w:tcW w:w="7920" w:type="dxa"/>
            <w:tcBorders>
              <w:top w:val="nil"/>
            </w:tcBorders>
          </w:tcPr>
          <w:p w:rsidR="008C6E7D" w:rsidRPr="0013742F" w:rsidRDefault="008C6E7D" w:rsidP="0013742F">
            <w:pPr>
              <w:spacing w:after="0" w:line="480" w:lineRule="auto"/>
              <w:rPr>
                <w:color w:val="000000"/>
                <w:sz w:val="20"/>
                <w:szCs w:val="20"/>
              </w:rPr>
            </w:pPr>
            <w:r w:rsidRPr="0013742F">
              <w:rPr>
                <w:color w:val="000000"/>
                <w:sz w:val="20"/>
                <w:szCs w:val="20"/>
                <w:u w:val="single"/>
              </w:rPr>
              <w:t>Index of: Physical deterioration</w:t>
            </w:r>
            <w:r w:rsidRPr="0013742F">
              <w:rPr>
                <w:color w:val="000000"/>
                <w:sz w:val="20"/>
                <w:szCs w:val="20"/>
              </w:rPr>
              <w:t>: e.g., Abandoned or unkempt housing; and</w:t>
            </w:r>
          </w:p>
          <w:p w:rsidR="008C6E7D" w:rsidRPr="0013742F" w:rsidRDefault="008C6E7D" w:rsidP="0013742F">
            <w:pPr>
              <w:spacing w:after="0" w:line="480" w:lineRule="auto"/>
              <w:rPr>
                <w:color w:val="000000"/>
                <w:sz w:val="20"/>
                <w:szCs w:val="20"/>
              </w:rPr>
            </w:pPr>
            <w:r w:rsidRPr="0013742F">
              <w:rPr>
                <w:color w:val="000000"/>
                <w:sz w:val="20"/>
                <w:szCs w:val="20"/>
                <w:u w:val="single"/>
              </w:rPr>
              <w:t>Incivilities</w:t>
            </w:r>
            <w:r w:rsidRPr="0013742F">
              <w:rPr>
                <w:color w:val="000000"/>
                <w:sz w:val="20"/>
                <w:szCs w:val="20"/>
              </w:rPr>
              <w:t xml:space="preserve">: e.g., Litter and vandalism; and </w:t>
            </w:r>
            <w:r w:rsidRPr="0013742F">
              <w:rPr>
                <w:color w:val="000000"/>
                <w:sz w:val="20"/>
                <w:szCs w:val="20"/>
              </w:rPr>
              <w:br/>
            </w:r>
            <w:r w:rsidRPr="0013742F">
              <w:rPr>
                <w:color w:val="000000"/>
                <w:sz w:val="20"/>
                <w:szCs w:val="20"/>
                <w:u w:val="single"/>
              </w:rPr>
              <w:t>Vulnerability</w:t>
            </w:r>
            <w:r w:rsidRPr="0013742F">
              <w:rPr>
                <w:color w:val="000000"/>
                <w:sz w:val="20"/>
                <w:szCs w:val="20"/>
              </w:rPr>
              <w:t>: e.g., Dark and empty streets; and</w:t>
            </w:r>
          </w:p>
          <w:p w:rsidR="008C6E7D" w:rsidRPr="0013742F" w:rsidRDefault="008C6E7D" w:rsidP="0013742F">
            <w:pPr>
              <w:spacing w:after="0" w:line="480" w:lineRule="auto"/>
              <w:rPr>
                <w:color w:val="000000"/>
                <w:sz w:val="20"/>
                <w:szCs w:val="20"/>
              </w:rPr>
            </w:pPr>
            <w:r w:rsidRPr="0013742F">
              <w:rPr>
                <w:color w:val="000000"/>
                <w:sz w:val="20"/>
                <w:szCs w:val="20"/>
                <w:u w:val="single"/>
              </w:rPr>
              <w:t>Territoriality</w:t>
            </w:r>
            <w:r w:rsidRPr="0013742F">
              <w:rPr>
                <w:color w:val="000000"/>
                <w:sz w:val="20"/>
                <w:szCs w:val="20"/>
              </w:rPr>
              <w:t>: e.g., Decorating one’s yard or putting one’s name on a door; and</w:t>
            </w:r>
          </w:p>
          <w:p w:rsidR="008C6E7D" w:rsidRPr="0013742F" w:rsidRDefault="008C6E7D" w:rsidP="0013742F">
            <w:pPr>
              <w:spacing w:after="0" w:line="480" w:lineRule="auto"/>
              <w:rPr>
                <w:color w:val="000000"/>
                <w:sz w:val="20"/>
                <w:szCs w:val="20"/>
              </w:rPr>
            </w:pPr>
            <w:r w:rsidRPr="0013742F">
              <w:rPr>
                <w:color w:val="000000"/>
                <w:sz w:val="20"/>
                <w:szCs w:val="20"/>
                <w:u w:val="single"/>
              </w:rPr>
              <w:t>Defensible space</w:t>
            </w:r>
            <w:r w:rsidRPr="0013742F">
              <w:rPr>
                <w:color w:val="000000"/>
                <w:sz w:val="20"/>
                <w:szCs w:val="20"/>
              </w:rPr>
              <w:t>: e.g., Adequate lighting, surveillance opportunities, and barriers to entry</w:t>
            </w:r>
          </w:p>
        </w:tc>
        <w:tc>
          <w:tcPr>
            <w:tcW w:w="3870" w:type="dxa"/>
            <w:tcBorders>
              <w:top w:val="nil"/>
            </w:tcBorders>
          </w:tcPr>
          <w:p w:rsidR="008C6E7D" w:rsidRPr="0013742F" w:rsidRDefault="008C6E7D" w:rsidP="0013742F">
            <w:pPr>
              <w:spacing w:after="0" w:line="480" w:lineRule="auto"/>
              <w:rPr>
                <w:color w:val="000000"/>
                <w:sz w:val="20"/>
                <w:szCs w:val="20"/>
              </w:rPr>
            </w:pPr>
            <w:r w:rsidRPr="0013742F">
              <w:rPr>
                <w:color w:val="000000"/>
                <w:sz w:val="20"/>
                <w:szCs w:val="20"/>
              </w:rPr>
              <w:t>Environmental (observational) survey instrument</w:t>
            </w:r>
          </w:p>
        </w:tc>
      </w:tr>
      <w:tr w:rsidR="008C6E7D" w:rsidRPr="0013742F">
        <w:trPr>
          <w:trHeight w:val="476"/>
        </w:trPr>
        <w:tc>
          <w:tcPr>
            <w:tcW w:w="1885" w:type="dxa"/>
          </w:tcPr>
          <w:p w:rsidR="008C6E7D" w:rsidRPr="0013742F" w:rsidRDefault="008C6E7D" w:rsidP="0013742F">
            <w:pPr>
              <w:spacing w:after="0" w:line="480" w:lineRule="auto"/>
              <w:rPr>
                <w:color w:val="000000"/>
                <w:sz w:val="20"/>
                <w:szCs w:val="20"/>
              </w:rPr>
            </w:pPr>
            <w:r w:rsidRPr="0013742F">
              <w:rPr>
                <w:color w:val="000000"/>
                <w:sz w:val="20"/>
                <w:szCs w:val="20"/>
              </w:rPr>
              <w:t>Neighborhood dilapidation</w:t>
            </w:r>
            <w:r w:rsidRPr="0013742F">
              <w:rPr>
                <w:noProof/>
                <w:color w:val="000000"/>
                <w:sz w:val="20"/>
                <w:szCs w:val="20"/>
                <w:vertAlign w:val="superscript"/>
              </w:rPr>
              <w:t>102</w:t>
            </w:r>
          </w:p>
        </w:tc>
        <w:tc>
          <w:tcPr>
            <w:tcW w:w="7920" w:type="dxa"/>
          </w:tcPr>
          <w:p w:rsidR="008C6E7D" w:rsidRPr="0013742F" w:rsidRDefault="008C6E7D" w:rsidP="0013742F">
            <w:pPr>
              <w:spacing w:after="0" w:line="480" w:lineRule="auto"/>
              <w:rPr>
                <w:color w:val="000000"/>
                <w:sz w:val="20"/>
                <w:szCs w:val="20"/>
              </w:rPr>
            </w:pPr>
            <w:r w:rsidRPr="0013742F">
              <w:rPr>
                <w:color w:val="000000"/>
                <w:sz w:val="20"/>
                <w:szCs w:val="20"/>
              </w:rPr>
              <w:t>Index of: Visible graffiti, painted over graffiti, litter, cleanliness, dilapidated buildings, and dilapidated streets and sidewalks</w:t>
            </w:r>
          </w:p>
        </w:tc>
        <w:tc>
          <w:tcPr>
            <w:tcW w:w="3870" w:type="dxa"/>
          </w:tcPr>
          <w:p w:rsidR="008C6E7D" w:rsidRPr="0013742F" w:rsidRDefault="008C6E7D" w:rsidP="0013742F">
            <w:pPr>
              <w:spacing w:after="0" w:line="480" w:lineRule="auto"/>
              <w:rPr>
                <w:color w:val="000000"/>
                <w:sz w:val="20"/>
                <w:szCs w:val="20"/>
              </w:rPr>
            </w:pPr>
            <w:r w:rsidRPr="0013742F">
              <w:rPr>
                <w:color w:val="000000"/>
                <w:sz w:val="20"/>
                <w:szCs w:val="20"/>
              </w:rPr>
              <w:t>Neighborhood Environmental Survey</w:t>
            </w:r>
          </w:p>
        </w:tc>
      </w:tr>
      <w:tr w:rsidR="008C6E7D" w:rsidRPr="0013742F">
        <w:trPr>
          <w:trHeight w:val="476"/>
        </w:trPr>
        <w:tc>
          <w:tcPr>
            <w:tcW w:w="1885" w:type="dxa"/>
          </w:tcPr>
          <w:p w:rsidR="008C6E7D" w:rsidRPr="0013742F" w:rsidRDefault="008C6E7D" w:rsidP="0013742F">
            <w:pPr>
              <w:spacing w:after="0" w:line="480" w:lineRule="auto"/>
              <w:rPr>
                <w:color w:val="000000"/>
                <w:sz w:val="20"/>
                <w:szCs w:val="20"/>
              </w:rPr>
            </w:pPr>
            <w:r w:rsidRPr="0013742F">
              <w:rPr>
                <w:color w:val="000000"/>
                <w:sz w:val="20"/>
                <w:szCs w:val="20"/>
              </w:rPr>
              <w:t>Neighborhood physical disorganization</w:t>
            </w:r>
            <w:r w:rsidRPr="0013742F">
              <w:rPr>
                <w:noProof/>
                <w:color w:val="000000"/>
                <w:sz w:val="20"/>
                <w:szCs w:val="20"/>
                <w:vertAlign w:val="superscript"/>
              </w:rPr>
              <w:t>148</w:t>
            </w:r>
          </w:p>
        </w:tc>
        <w:tc>
          <w:tcPr>
            <w:tcW w:w="7920" w:type="dxa"/>
          </w:tcPr>
          <w:p w:rsidR="008C6E7D" w:rsidRPr="0013742F" w:rsidRDefault="008C6E7D" w:rsidP="0013742F">
            <w:pPr>
              <w:spacing w:after="0" w:line="480" w:lineRule="auto"/>
              <w:rPr>
                <w:color w:val="000000"/>
                <w:sz w:val="20"/>
                <w:szCs w:val="20"/>
              </w:rPr>
            </w:pPr>
            <w:r w:rsidRPr="0013742F">
              <w:rPr>
                <w:color w:val="000000"/>
                <w:sz w:val="20"/>
                <w:szCs w:val="20"/>
              </w:rPr>
              <w:t>Physical decay measured as a ﬁve-item scale capturing deterioration and abandonment of residential, commercial, and recreational buildings on a block face</w:t>
            </w:r>
          </w:p>
        </w:tc>
        <w:tc>
          <w:tcPr>
            <w:tcW w:w="3870" w:type="dxa"/>
          </w:tcPr>
          <w:p w:rsidR="008C6E7D" w:rsidRPr="0013742F" w:rsidRDefault="008C6E7D" w:rsidP="0013742F">
            <w:pPr>
              <w:spacing w:after="0" w:line="480" w:lineRule="auto"/>
              <w:rPr>
                <w:color w:val="000000"/>
                <w:sz w:val="20"/>
                <w:szCs w:val="20"/>
              </w:rPr>
            </w:pPr>
            <w:r w:rsidRPr="0013742F">
              <w:rPr>
                <w:color w:val="000000"/>
                <w:sz w:val="20"/>
                <w:szCs w:val="20"/>
              </w:rPr>
              <w:t>Systematic Social Observation using rater assessments</w:t>
            </w:r>
          </w:p>
        </w:tc>
      </w:tr>
      <w:tr w:rsidR="008C6E7D" w:rsidRPr="0013742F">
        <w:trPr>
          <w:trHeight w:val="476"/>
        </w:trPr>
        <w:tc>
          <w:tcPr>
            <w:tcW w:w="1885" w:type="dxa"/>
          </w:tcPr>
          <w:p w:rsidR="008C6E7D" w:rsidRPr="0013742F" w:rsidRDefault="008C6E7D" w:rsidP="0013742F">
            <w:pPr>
              <w:spacing w:after="0" w:line="240" w:lineRule="auto"/>
              <w:rPr>
                <w:sz w:val="20"/>
                <w:szCs w:val="20"/>
              </w:rPr>
            </w:pPr>
            <w:r w:rsidRPr="0013742F">
              <w:rPr>
                <w:sz w:val="20"/>
                <w:szCs w:val="20"/>
              </w:rPr>
              <w:t>Physical disorder</w:t>
            </w:r>
            <w:r w:rsidRPr="0013742F">
              <w:rPr>
                <w:noProof/>
                <w:sz w:val="20"/>
                <w:szCs w:val="20"/>
                <w:vertAlign w:val="superscript"/>
              </w:rPr>
              <w:t>45</w:t>
            </w:r>
          </w:p>
        </w:tc>
        <w:tc>
          <w:tcPr>
            <w:tcW w:w="7920" w:type="dxa"/>
          </w:tcPr>
          <w:p w:rsidR="008C6E7D" w:rsidRPr="0013742F" w:rsidRDefault="008C6E7D" w:rsidP="0013742F">
            <w:pPr>
              <w:spacing w:after="0" w:line="480" w:lineRule="auto"/>
              <w:rPr>
                <w:sz w:val="20"/>
                <w:szCs w:val="20"/>
              </w:rPr>
            </w:pPr>
            <w:r w:rsidRPr="0013742F">
              <w:rPr>
                <w:sz w:val="20"/>
                <w:szCs w:val="20"/>
              </w:rPr>
              <w:t>Nine-item scale of the extent of graffiti, litter, abandoned cars, broken glass, and other similar types of negative neighborhood contamination</w:t>
            </w:r>
          </w:p>
        </w:tc>
        <w:tc>
          <w:tcPr>
            <w:tcW w:w="3870" w:type="dxa"/>
          </w:tcPr>
          <w:p w:rsidR="008C6E7D" w:rsidRPr="0013742F" w:rsidRDefault="008C6E7D" w:rsidP="0013742F">
            <w:pPr>
              <w:spacing w:after="0" w:line="480" w:lineRule="auto"/>
              <w:rPr>
                <w:sz w:val="20"/>
                <w:szCs w:val="20"/>
              </w:rPr>
            </w:pPr>
            <w:r w:rsidRPr="0013742F">
              <w:rPr>
                <w:sz w:val="20"/>
                <w:szCs w:val="20"/>
              </w:rPr>
              <w:t>Systematic Social Observation using rater assessments</w:t>
            </w:r>
          </w:p>
        </w:tc>
      </w:tr>
      <w:tr w:rsidR="008C6E7D" w:rsidRPr="0013742F">
        <w:trPr>
          <w:trHeight w:val="476"/>
        </w:trPr>
        <w:tc>
          <w:tcPr>
            <w:tcW w:w="1885" w:type="dxa"/>
          </w:tcPr>
          <w:p w:rsidR="008C6E7D" w:rsidRPr="0013742F" w:rsidRDefault="008C6E7D" w:rsidP="0013742F">
            <w:pPr>
              <w:spacing w:after="0" w:line="240" w:lineRule="auto"/>
              <w:rPr>
                <w:color w:val="000000"/>
                <w:sz w:val="20"/>
                <w:szCs w:val="20"/>
              </w:rPr>
            </w:pPr>
            <w:r w:rsidRPr="0013742F">
              <w:rPr>
                <w:color w:val="000000"/>
                <w:sz w:val="20"/>
                <w:szCs w:val="20"/>
              </w:rPr>
              <w:t>Physical disorder</w:t>
            </w:r>
            <w:r w:rsidRPr="0013742F">
              <w:rPr>
                <w:noProof/>
                <w:color w:val="000000"/>
                <w:sz w:val="20"/>
                <w:szCs w:val="20"/>
                <w:vertAlign w:val="superscript"/>
              </w:rPr>
              <w:t>149</w:t>
            </w:r>
          </w:p>
        </w:tc>
        <w:tc>
          <w:tcPr>
            <w:tcW w:w="7920" w:type="dxa"/>
          </w:tcPr>
          <w:p w:rsidR="008C6E7D" w:rsidRPr="0013742F" w:rsidRDefault="008C6E7D" w:rsidP="0013742F">
            <w:pPr>
              <w:spacing w:after="0" w:line="480" w:lineRule="auto"/>
              <w:rPr>
                <w:color w:val="000000"/>
                <w:sz w:val="20"/>
                <w:szCs w:val="20"/>
              </w:rPr>
            </w:pPr>
            <w:r w:rsidRPr="0013742F">
              <w:rPr>
                <w:color w:val="000000"/>
                <w:sz w:val="20"/>
                <w:szCs w:val="20"/>
              </w:rPr>
              <w:t>Sum of the presence (1) or absence (0) of graffiti, beer or liquor cans or bottles, cigarette butts, litter or broken glass, and abandoned cars</w:t>
            </w:r>
          </w:p>
        </w:tc>
        <w:tc>
          <w:tcPr>
            <w:tcW w:w="3870" w:type="dxa"/>
          </w:tcPr>
          <w:p w:rsidR="008C6E7D" w:rsidRPr="0013742F" w:rsidRDefault="008C6E7D" w:rsidP="0013742F">
            <w:pPr>
              <w:spacing w:after="0" w:line="480" w:lineRule="auto"/>
              <w:rPr>
                <w:color w:val="000000"/>
                <w:sz w:val="20"/>
                <w:szCs w:val="20"/>
              </w:rPr>
            </w:pPr>
            <w:r w:rsidRPr="0013742F">
              <w:rPr>
                <w:color w:val="000000"/>
                <w:sz w:val="20"/>
                <w:szCs w:val="20"/>
              </w:rPr>
              <w:t>Block observation log (shortened version of the Systematic Social Observation)</w:t>
            </w:r>
          </w:p>
        </w:tc>
      </w:tr>
      <w:tr w:rsidR="008C6E7D" w:rsidRPr="0013742F">
        <w:trPr>
          <w:trHeight w:val="476"/>
        </w:trPr>
        <w:tc>
          <w:tcPr>
            <w:tcW w:w="1885" w:type="dxa"/>
          </w:tcPr>
          <w:p w:rsidR="008C6E7D" w:rsidRPr="0013742F" w:rsidRDefault="008C6E7D" w:rsidP="0013742F">
            <w:pPr>
              <w:spacing w:after="0" w:line="480" w:lineRule="auto"/>
              <w:rPr>
                <w:sz w:val="20"/>
                <w:szCs w:val="20"/>
              </w:rPr>
            </w:pPr>
            <w:r w:rsidRPr="0013742F">
              <w:rPr>
                <w:sz w:val="20"/>
                <w:szCs w:val="20"/>
              </w:rPr>
              <w:t>Population instability</w:t>
            </w:r>
            <w:r w:rsidRPr="0013742F">
              <w:rPr>
                <w:noProof/>
                <w:sz w:val="20"/>
                <w:szCs w:val="20"/>
                <w:vertAlign w:val="superscript"/>
              </w:rPr>
              <w:t>150</w:t>
            </w:r>
          </w:p>
        </w:tc>
        <w:tc>
          <w:tcPr>
            <w:tcW w:w="7920" w:type="dxa"/>
          </w:tcPr>
          <w:p w:rsidR="008C6E7D" w:rsidRPr="0013742F" w:rsidRDefault="008C6E7D" w:rsidP="0013742F">
            <w:pPr>
              <w:spacing w:after="0" w:line="480" w:lineRule="auto"/>
              <w:rPr>
                <w:sz w:val="20"/>
                <w:szCs w:val="20"/>
              </w:rPr>
            </w:pPr>
            <w:r w:rsidRPr="0013742F">
              <w:rPr>
                <w:sz w:val="20"/>
                <w:szCs w:val="20"/>
              </w:rPr>
              <w:t>Index of: Population density, proportion attached/multi-unit housing, and proportion mobile</w:t>
            </w:r>
          </w:p>
        </w:tc>
        <w:tc>
          <w:tcPr>
            <w:tcW w:w="3870" w:type="dxa"/>
          </w:tcPr>
          <w:p w:rsidR="008C6E7D" w:rsidRPr="0013742F" w:rsidRDefault="008C6E7D" w:rsidP="0013742F">
            <w:pPr>
              <w:spacing w:after="0" w:line="480" w:lineRule="auto"/>
              <w:rPr>
                <w:sz w:val="20"/>
                <w:szCs w:val="20"/>
              </w:rPr>
            </w:pPr>
            <w:r w:rsidRPr="0013742F">
              <w:rPr>
                <w:sz w:val="20"/>
                <w:szCs w:val="20"/>
              </w:rPr>
              <w:t>U.S. Census</w:t>
            </w:r>
          </w:p>
        </w:tc>
      </w:tr>
      <w:tr w:rsidR="008C6E7D" w:rsidRPr="0013742F">
        <w:trPr>
          <w:trHeight w:val="476"/>
        </w:trPr>
        <w:tc>
          <w:tcPr>
            <w:tcW w:w="1885" w:type="dxa"/>
          </w:tcPr>
          <w:p w:rsidR="008C6E7D" w:rsidRPr="0013742F" w:rsidRDefault="008C6E7D" w:rsidP="0013742F">
            <w:pPr>
              <w:spacing w:after="0" w:line="480" w:lineRule="auto"/>
              <w:rPr>
                <w:sz w:val="20"/>
                <w:szCs w:val="20"/>
              </w:rPr>
            </w:pPr>
            <w:r w:rsidRPr="0013742F">
              <w:rPr>
                <w:sz w:val="20"/>
                <w:szCs w:val="20"/>
              </w:rPr>
              <w:lastRenderedPageBreak/>
              <w:t>Residential instability</w:t>
            </w:r>
            <w:r w:rsidRPr="0013742F">
              <w:rPr>
                <w:noProof/>
                <w:sz w:val="20"/>
                <w:szCs w:val="20"/>
                <w:vertAlign w:val="superscript"/>
              </w:rPr>
              <w:t>145</w:t>
            </w:r>
          </w:p>
        </w:tc>
        <w:tc>
          <w:tcPr>
            <w:tcW w:w="7920" w:type="dxa"/>
          </w:tcPr>
          <w:p w:rsidR="008C6E7D" w:rsidRPr="0013742F" w:rsidRDefault="008C6E7D" w:rsidP="0013742F">
            <w:pPr>
              <w:spacing w:after="0" w:line="480" w:lineRule="auto"/>
              <w:rPr>
                <w:sz w:val="20"/>
                <w:szCs w:val="20"/>
              </w:rPr>
            </w:pPr>
            <w:r w:rsidRPr="0013742F">
              <w:rPr>
                <w:sz w:val="20"/>
                <w:szCs w:val="20"/>
              </w:rPr>
              <w:t>Proportion of owned homes sold in a year (Number of home sales transactions/Number of owner occupied units)</w:t>
            </w:r>
          </w:p>
        </w:tc>
        <w:tc>
          <w:tcPr>
            <w:tcW w:w="3870" w:type="dxa"/>
          </w:tcPr>
          <w:p w:rsidR="008C6E7D" w:rsidRPr="0013742F" w:rsidRDefault="008C6E7D" w:rsidP="0013742F">
            <w:pPr>
              <w:spacing w:after="0" w:line="480" w:lineRule="auto"/>
              <w:rPr>
                <w:sz w:val="20"/>
                <w:szCs w:val="20"/>
              </w:rPr>
            </w:pPr>
            <w:proofErr w:type="spellStart"/>
            <w:r w:rsidRPr="0013742F">
              <w:rPr>
                <w:sz w:val="20"/>
                <w:szCs w:val="20"/>
              </w:rPr>
              <w:t>Dataquick</w:t>
            </w:r>
            <w:proofErr w:type="spellEnd"/>
            <w:r w:rsidRPr="0013742F">
              <w:rPr>
                <w:sz w:val="20"/>
                <w:szCs w:val="20"/>
              </w:rPr>
              <w:t>/</w:t>
            </w:r>
            <w:proofErr w:type="spellStart"/>
            <w:r w:rsidRPr="0013742F">
              <w:rPr>
                <w:sz w:val="20"/>
                <w:szCs w:val="20"/>
              </w:rPr>
              <w:t>CoreLogic</w:t>
            </w:r>
            <w:proofErr w:type="spellEnd"/>
            <w:r w:rsidRPr="0013742F">
              <w:rPr>
                <w:sz w:val="20"/>
                <w:szCs w:val="20"/>
              </w:rPr>
              <w:t>; U.S. Census</w:t>
            </w:r>
          </w:p>
        </w:tc>
      </w:tr>
      <w:tr w:rsidR="008C6E7D" w:rsidRPr="0013742F">
        <w:trPr>
          <w:trHeight w:val="476"/>
        </w:trPr>
        <w:tc>
          <w:tcPr>
            <w:tcW w:w="1885" w:type="dxa"/>
          </w:tcPr>
          <w:p w:rsidR="008C6E7D" w:rsidRPr="0013742F" w:rsidRDefault="008C6E7D" w:rsidP="0013742F">
            <w:pPr>
              <w:spacing w:after="0" w:line="480" w:lineRule="auto"/>
              <w:rPr>
                <w:sz w:val="20"/>
                <w:szCs w:val="20"/>
              </w:rPr>
            </w:pPr>
            <w:r w:rsidRPr="0013742F">
              <w:rPr>
                <w:sz w:val="20"/>
                <w:szCs w:val="20"/>
              </w:rPr>
              <w:t>Residential instability</w:t>
            </w:r>
            <w:r w:rsidRPr="0013742F">
              <w:rPr>
                <w:noProof/>
                <w:sz w:val="20"/>
                <w:szCs w:val="20"/>
                <w:vertAlign w:val="superscript"/>
              </w:rPr>
              <w:t>60</w:t>
            </w:r>
          </w:p>
        </w:tc>
        <w:tc>
          <w:tcPr>
            <w:tcW w:w="7920" w:type="dxa"/>
          </w:tcPr>
          <w:p w:rsidR="008C6E7D" w:rsidRPr="0013742F" w:rsidRDefault="008C6E7D" w:rsidP="0013742F">
            <w:pPr>
              <w:spacing w:after="0" w:line="480" w:lineRule="auto"/>
              <w:rPr>
                <w:sz w:val="20"/>
                <w:szCs w:val="20"/>
              </w:rPr>
            </w:pPr>
            <w:r w:rsidRPr="0013742F">
              <w:rPr>
                <w:sz w:val="20"/>
                <w:szCs w:val="20"/>
              </w:rPr>
              <w:t>Index of: Percentage of owner-occupied homes, Percentage of residents living in the same residence than they had 5 years before, Average length of residence</w:t>
            </w:r>
          </w:p>
        </w:tc>
        <w:tc>
          <w:tcPr>
            <w:tcW w:w="3870" w:type="dxa"/>
          </w:tcPr>
          <w:p w:rsidR="008C6E7D" w:rsidRPr="0013742F" w:rsidRDefault="008C6E7D" w:rsidP="0013742F">
            <w:pPr>
              <w:spacing w:after="0" w:line="480" w:lineRule="auto"/>
              <w:rPr>
                <w:sz w:val="20"/>
                <w:szCs w:val="20"/>
              </w:rPr>
            </w:pPr>
            <w:r w:rsidRPr="0013742F">
              <w:rPr>
                <w:sz w:val="20"/>
                <w:szCs w:val="20"/>
              </w:rPr>
              <w:t>U.S. Census</w:t>
            </w:r>
          </w:p>
        </w:tc>
      </w:tr>
      <w:tr w:rsidR="008C6E7D" w:rsidRPr="0013742F">
        <w:trPr>
          <w:trHeight w:val="476"/>
        </w:trPr>
        <w:tc>
          <w:tcPr>
            <w:tcW w:w="1885" w:type="dxa"/>
          </w:tcPr>
          <w:p w:rsidR="008C6E7D" w:rsidRPr="0013742F" w:rsidRDefault="008C6E7D" w:rsidP="0013742F">
            <w:pPr>
              <w:spacing w:after="0" w:line="480" w:lineRule="auto"/>
              <w:rPr>
                <w:color w:val="000000"/>
                <w:sz w:val="20"/>
                <w:szCs w:val="20"/>
              </w:rPr>
            </w:pPr>
            <w:r w:rsidRPr="0013742F">
              <w:rPr>
                <w:color w:val="000000"/>
                <w:sz w:val="20"/>
                <w:szCs w:val="20"/>
              </w:rPr>
              <w:t>Social and physical disorder</w:t>
            </w:r>
            <w:bookmarkStart w:id="2" w:name="_Ref482976492"/>
            <w:r w:rsidRPr="0013742F">
              <w:rPr>
                <w:noProof/>
                <w:color w:val="000000"/>
                <w:sz w:val="20"/>
                <w:szCs w:val="20"/>
                <w:vertAlign w:val="superscript"/>
              </w:rPr>
              <w:t>151</w:t>
            </w:r>
            <w:bookmarkEnd w:id="2"/>
          </w:p>
        </w:tc>
        <w:tc>
          <w:tcPr>
            <w:tcW w:w="7920" w:type="dxa"/>
          </w:tcPr>
          <w:p w:rsidR="008C6E7D" w:rsidRPr="0013742F" w:rsidRDefault="008C6E7D" w:rsidP="0013742F">
            <w:pPr>
              <w:spacing w:after="0" w:line="480" w:lineRule="auto"/>
              <w:rPr>
                <w:color w:val="000000"/>
                <w:sz w:val="20"/>
                <w:szCs w:val="20"/>
              </w:rPr>
            </w:pPr>
            <w:r w:rsidRPr="0013742F">
              <w:rPr>
                <w:color w:val="000000"/>
                <w:sz w:val="20"/>
                <w:szCs w:val="20"/>
                <w:u w:val="single"/>
              </w:rPr>
              <w:t>Index of housing damage</w:t>
            </w:r>
            <w:r w:rsidRPr="0013742F">
              <w:rPr>
                <w:color w:val="000000"/>
                <w:sz w:val="20"/>
                <w:szCs w:val="20"/>
              </w:rPr>
              <w:t xml:space="preserve">: Boarded door, holes in walls, roof damage, chimney damage, foundation damage, entry damage, door damage, peeling paint, fire damage, condemned, boarded windows, broken windows; </w:t>
            </w:r>
          </w:p>
          <w:p w:rsidR="008C6E7D" w:rsidRPr="0013742F" w:rsidRDefault="008C6E7D" w:rsidP="0013742F">
            <w:pPr>
              <w:spacing w:after="0" w:line="480" w:lineRule="auto"/>
              <w:rPr>
                <w:color w:val="000000"/>
                <w:sz w:val="20"/>
                <w:szCs w:val="20"/>
              </w:rPr>
            </w:pPr>
            <w:r w:rsidRPr="0013742F">
              <w:rPr>
                <w:color w:val="000000"/>
                <w:sz w:val="20"/>
                <w:szCs w:val="20"/>
                <w:u w:val="single"/>
              </w:rPr>
              <w:t>Index of security measures</w:t>
            </w:r>
            <w:r w:rsidRPr="0013742F">
              <w:rPr>
                <w:color w:val="000000"/>
                <w:sz w:val="20"/>
                <w:szCs w:val="20"/>
              </w:rPr>
              <w:t xml:space="preserve">: Block-level proportion of security bars, barbed wire, no trespassing signs, beware of dog signs, security signs, and fencing; </w:t>
            </w:r>
          </w:p>
          <w:p w:rsidR="008C6E7D" w:rsidRPr="0013742F" w:rsidRDefault="008C6E7D" w:rsidP="0013742F">
            <w:pPr>
              <w:spacing w:after="0" w:line="480" w:lineRule="auto"/>
              <w:rPr>
                <w:color w:val="000000"/>
                <w:sz w:val="20"/>
                <w:szCs w:val="20"/>
              </w:rPr>
            </w:pPr>
            <w:r w:rsidRPr="0013742F">
              <w:rPr>
                <w:color w:val="000000"/>
                <w:sz w:val="20"/>
                <w:szCs w:val="20"/>
                <w:u w:val="single"/>
              </w:rPr>
              <w:t>Index of nuisances</w:t>
            </w:r>
            <w:r w:rsidRPr="0013742F">
              <w:rPr>
                <w:color w:val="000000"/>
                <w:sz w:val="20"/>
                <w:szCs w:val="20"/>
              </w:rPr>
              <w:t xml:space="preserve">: Shopping carts, total drug paraphernalia, inoperable car, food garbage, dog waste, tree debris, discarded furniture, discarded appliances, large trash, batteries, condoms, fallen wire, broken manhole cover, uncovered drain, cigarette butts, alcohol container, clothes, baby diapers, construction debris, deep holes, standing water, litter, broken glass, high weeds, graffiti; </w:t>
            </w:r>
          </w:p>
          <w:p w:rsidR="008C6E7D" w:rsidRPr="0013742F" w:rsidRDefault="008C6E7D" w:rsidP="0013742F">
            <w:pPr>
              <w:spacing w:after="0" w:line="480" w:lineRule="auto"/>
              <w:rPr>
                <w:color w:val="000000"/>
                <w:sz w:val="20"/>
                <w:szCs w:val="20"/>
              </w:rPr>
            </w:pPr>
            <w:r w:rsidRPr="0013742F">
              <w:rPr>
                <w:color w:val="000000"/>
                <w:sz w:val="20"/>
                <w:szCs w:val="20"/>
                <w:u w:val="single"/>
              </w:rPr>
              <w:t>Index of property disorder</w:t>
            </w:r>
            <w:r w:rsidRPr="0013742F">
              <w:rPr>
                <w:color w:val="000000"/>
                <w:sz w:val="20"/>
                <w:szCs w:val="20"/>
              </w:rPr>
              <w:t>: Cars on lawn, no grass, standing water, litter, garbage, broken glass, discarded furniture, discarded appliances, discarded tires, inoperable vehicle, high weeds</w:t>
            </w:r>
          </w:p>
        </w:tc>
        <w:tc>
          <w:tcPr>
            <w:tcW w:w="3870" w:type="dxa"/>
          </w:tcPr>
          <w:p w:rsidR="008C6E7D" w:rsidRPr="0013742F" w:rsidRDefault="008C6E7D" w:rsidP="0013742F">
            <w:pPr>
              <w:spacing w:after="0" w:line="480" w:lineRule="auto"/>
              <w:rPr>
                <w:color w:val="000000"/>
                <w:sz w:val="20"/>
                <w:szCs w:val="20"/>
              </w:rPr>
            </w:pPr>
            <w:r w:rsidRPr="0013742F">
              <w:rPr>
                <w:color w:val="000000"/>
                <w:sz w:val="20"/>
                <w:szCs w:val="20"/>
              </w:rPr>
              <w:t>Community Assessment Project (CAP)</w:t>
            </w:r>
          </w:p>
        </w:tc>
      </w:tr>
      <w:tr w:rsidR="008C6E7D" w:rsidRPr="0013742F">
        <w:trPr>
          <w:trHeight w:val="476"/>
        </w:trPr>
        <w:tc>
          <w:tcPr>
            <w:tcW w:w="1885" w:type="dxa"/>
          </w:tcPr>
          <w:p w:rsidR="008C6E7D" w:rsidRPr="0013742F" w:rsidRDefault="008C6E7D" w:rsidP="0013742F">
            <w:pPr>
              <w:spacing w:after="0" w:line="480" w:lineRule="auto"/>
              <w:rPr>
                <w:color w:val="000000"/>
                <w:sz w:val="20"/>
                <w:szCs w:val="20"/>
              </w:rPr>
            </w:pPr>
            <w:r w:rsidRPr="0013742F">
              <w:rPr>
                <w:sz w:val="20"/>
                <w:szCs w:val="20"/>
              </w:rPr>
              <w:t>Social disorganization</w:t>
            </w:r>
            <w:r w:rsidRPr="0013742F">
              <w:rPr>
                <w:noProof/>
                <w:sz w:val="20"/>
                <w:szCs w:val="20"/>
                <w:vertAlign w:val="superscript"/>
              </w:rPr>
              <w:t>152</w:t>
            </w:r>
          </w:p>
        </w:tc>
        <w:tc>
          <w:tcPr>
            <w:tcW w:w="7920" w:type="dxa"/>
          </w:tcPr>
          <w:p w:rsidR="008C6E7D" w:rsidRPr="0013742F" w:rsidRDefault="008C6E7D" w:rsidP="0013742F">
            <w:pPr>
              <w:spacing w:after="0" w:line="480" w:lineRule="auto"/>
              <w:rPr>
                <w:sz w:val="20"/>
                <w:szCs w:val="20"/>
              </w:rPr>
            </w:pPr>
            <w:r w:rsidRPr="0013742F">
              <w:rPr>
                <w:sz w:val="20"/>
                <w:szCs w:val="20"/>
                <w:u w:val="single"/>
              </w:rPr>
              <w:t>Unemployment</w:t>
            </w:r>
            <w:r w:rsidRPr="0013742F">
              <w:rPr>
                <w:sz w:val="20"/>
                <w:szCs w:val="20"/>
              </w:rPr>
              <w:t xml:space="preserve">: Percentage of unemployed in civilian labor force; </w:t>
            </w:r>
          </w:p>
          <w:p w:rsidR="008C6E7D" w:rsidRPr="0013742F" w:rsidRDefault="008C6E7D" w:rsidP="0013742F">
            <w:pPr>
              <w:spacing w:after="0" w:line="480" w:lineRule="auto"/>
              <w:rPr>
                <w:sz w:val="20"/>
                <w:szCs w:val="20"/>
              </w:rPr>
            </w:pPr>
            <w:r w:rsidRPr="0013742F">
              <w:rPr>
                <w:sz w:val="20"/>
                <w:szCs w:val="20"/>
                <w:u w:val="single"/>
              </w:rPr>
              <w:t>Racial segregation</w:t>
            </w:r>
            <w:r w:rsidRPr="0013742F">
              <w:rPr>
                <w:sz w:val="20"/>
                <w:szCs w:val="20"/>
              </w:rPr>
              <w:t xml:space="preserve">: Index of racial dissimilarity between whites and African Americans; </w:t>
            </w:r>
            <w:r w:rsidRPr="0013742F">
              <w:rPr>
                <w:sz w:val="20"/>
                <w:szCs w:val="20"/>
                <w:u w:val="single"/>
              </w:rPr>
              <w:lastRenderedPageBreak/>
              <w:t>Residential stability</w:t>
            </w:r>
            <w:r w:rsidRPr="0013742F">
              <w:rPr>
                <w:sz w:val="20"/>
                <w:szCs w:val="20"/>
              </w:rPr>
              <w:t xml:space="preserve">: Percentage owner-occupied housing units; </w:t>
            </w:r>
          </w:p>
          <w:p w:rsidR="008C6E7D" w:rsidRPr="0013742F" w:rsidRDefault="008C6E7D" w:rsidP="0013742F">
            <w:pPr>
              <w:spacing w:after="0" w:line="480" w:lineRule="auto"/>
              <w:rPr>
                <w:color w:val="000000"/>
                <w:sz w:val="20"/>
                <w:szCs w:val="20"/>
              </w:rPr>
            </w:pPr>
            <w:r w:rsidRPr="0013742F">
              <w:rPr>
                <w:sz w:val="20"/>
                <w:szCs w:val="20"/>
                <w:u w:val="single"/>
              </w:rPr>
              <w:t>Divorce</w:t>
            </w:r>
            <w:r w:rsidRPr="0013742F">
              <w:rPr>
                <w:sz w:val="20"/>
                <w:szCs w:val="20"/>
              </w:rPr>
              <w:t>: number of divorces per 1K population</w:t>
            </w:r>
          </w:p>
        </w:tc>
        <w:tc>
          <w:tcPr>
            <w:tcW w:w="3870" w:type="dxa"/>
          </w:tcPr>
          <w:p w:rsidR="008C6E7D" w:rsidRPr="0013742F" w:rsidRDefault="008C6E7D" w:rsidP="0013742F">
            <w:pPr>
              <w:spacing w:after="0" w:line="480" w:lineRule="auto"/>
              <w:rPr>
                <w:color w:val="000000"/>
                <w:sz w:val="20"/>
                <w:szCs w:val="20"/>
              </w:rPr>
            </w:pPr>
            <w:r w:rsidRPr="0013742F">
              <w:rPr>
                <w:sz w:val="20"/>
                <w:szCs w:val="20"/>
              </w:rPr>
              <w:lastRenderedPageBreak/>
              <w:t>U.S. Census</w:t>
            </w:r>
          </w:p>
        </w:tc>
      </w:tr>
      <w:tr w:rsidR="008C6E7D" w:rsidRPr="0013742F">
        <w:trPr>
          <w:trHeight w:val="476"/>
        </w:trPr>
        <w:tc>
          <w:tcPr>
            <w:tcW w:w="1885" w:type="dxa"/>
          </w:tcPr>
          <w:p w:rsidR="008C6E7D" w:rsidRPr="0013742F" w:rsidRDefault="008C6E7D" w:rsidP="0013742F">
            <w:pPr>
              <w:spacing w:after="0" w:line="240" w:lineRule="auto"/>
              <w:rPr>
                <w:color w:val="000000"/>
                <w:sz w:val="20"/>
                <w:szCs w:val="20"/>
              </w:rPr>
            </w:pPr>
            <w:r w:rsidRPr="0013742F">
              <w:rPr>
                <w:color w:val="000000"/>
                <w:sz w:val="20"/>
                <w:szCs w:val="20"/>
              </w:rPr>
              <w:t>Social disorder</w:t>
            </w:r>
            <w:r w:rsidRPr="0013742F">
              <w:rPr>
                <w:noProof/>
                <w:color w:val="000000"/>
                <w:sz w:val="20"/>
                <w:szCs w:val="20"/>
                <w:vertAlign w:val="superscript"/>
              </w:rPr>
              <w:t>132</w:t>
            </w:r>
          </w:p>
        </w:tc>
        <w:tc>
          <w:tcPr>
            <w:tcW w:w="7920" w:type="dxa"/>
          </w:tcPr>
          <w:p w:rsidR="008C6E7D" w:rsidRPr="0013742F" w:rsidRDefault="008C6E7D" w:rsidP="0013742F">
            <w:pPr>
              <w:spacing w:after="0" w:line="480" w:lineRule="auto"/>
              <w:rPr>
                <w:color w:val="000000"/>
                <w:sz w:val="20"/>
                <w:szCs w:val="20"/>
              </w:rPr>
            </w:pPr>
            <w:r w:rsidRPr="0013742F">
              <w:rPr>
                <w:color w:val="000000"/>
                <w:sz w:val="20"/>
                <w:szCs w:val="20"/>
              </w:rPr>
              <w:t>Index of: Reports of disorderly conduct, noise, alcohol and public drinking, gambling, drug-related offenses (not including large scale drug trafficking), and prostitution</w:t>
            </w:r>
          </w:p>
        </w:tc>
        <w:tc>
          <w:tcPr>
            <w:tcW w:w="3870" w:type="dxa"/>
          </w:tcPr>
          <w:p w:rsidR="008C6E7D" w:rsidRPr="0013742F" w:rsidRDefault="008C6E7D" w:rsidP="0013742F">
            <w:pPr>
              <w:spacing w:after="0" w:line="480" w:lineRule="auto"/>
              <w:rPr>
                <w:color w:val="000000"/>
                <w:sz w:val="20"/>
                <w:szCs w:val="20"/>
              </w:rPr>
            </w:pPr>
            <w:r w:rsidRPr="0013742F">
              <w:rPr>
                <w:color w:val="000000"/>
                <w:sz w:val="20"/>
                <w:szCs w:val="20"/>
              </w:rPr>
              <w:t>City Police Department</w:t>
            </w:r>
          </w:p>
        </w:tc>
      </w:tr>
      <w:tr w:rsidR="008C6E7D" w:rsidRPr="0013742F">
        <w:trPr>
          <w:trHeight w:val="476"/>
        </w:trPr>
        <w:tc>
          <w:tcPr>
            <w:tcW w:w="1885" w:type="dxa"/>
          </w:tcPr>
          <w:p w:rsidR="008C6E7D" w:rsidRPr="0013742F" w:rsidRDefault="008C6E7D" w:rsidP="0013742F">
            <w:pPr>
              <w:spacing w:after="0" w:line="480" w:lineRule="auto"/>
              <w:rPr>
                <w:color w:val="000000"/>
                <w:sz w:val="20"/>
                <w:szCs w:val="20"/>
              </w:rPr>
            </w:pPr>
            <w:r w:rsidRPr="0013742F">
              <w:rPr>
                <w:color w:val="000000"/>
                <w:sz w:val="20"/>
                <w:szCs w:val="20"/>
              </w:rPr>
              <w:t>Social fragmentation</w:t>
            </w:r>
            <w:r w:rsidRPr="0013742F">
              <w:rPr>
                <w:noProof/>
                <w:color w:val="000000"/>
                <w:sz w:val="20"/>
                <w:szCs w:val="20"/>
                <w:vertAlign w:val="superscript"/>
              </w:rPr>
              <w:t>44</w:t>
            </w:r>
          </w:p>
        </w:tc>
        <w:tc>
          <w:tcPr>
            <w:tcW w:w="7920" w:type="dxa"/>
          </w:tcPr>
          <w:p w:rsidR="008C6E7D" w:rsidRPr="0013742F" w:rsidRDefault="008C6E7D" w:rsidP="0013742F">
            <w:pPr>
              <w:spacing w:after="0" w:line="480" w:lineRule="auto"/>
              <w:rPr>
                <w:sz w:val="20"/>
                <w:szCs w:val="20"/>
              </w:rPr>
            </w:pPr>
            <w:r w:rsidRPr="0013742F">
              <w:rPr>
                <w:sz w:val="20"/>
                <w:szCs w:val="20"/>
              </w:rPr>
              <w:t>Index of: Percentage of one person households, percentage of households that are one person household renters, percentage of family households (reverse coded), one year residential turnover, five year residential turnover</w:t>
            </w:r>
          </w:p>
        </w:tc>
        <w:tc>
          <w:tcPr>
            <w:tcW w:w="3870" w:type="dxa"/>
          </w:tcPr>
          <w:p w:rsidR="008C6E7D" w:rsidRPr="0013742F" w:rsidRDefault="008C6E7D" w:rsidP="0013742F">
            <w:pPr>
              <w:spacing w:after="0" w:line="480" w:lineRule="auto"/>
              <w:rPr>
                <w:color w:val="000000"/>
                <w:sz w:val="20"/>
                <w:szCs w:val="20"/>
              </w:rPr>
            </w:pPr>
            <w:r w:rsidRPr="0013742F">
              <w:rPr>
                <w:color w:val="000000"/>
                <w:sz w:val="20"/>
                <w:szCs w:val="20"/>
              </w:rPr>
              <w:t>U.S. Census</w:t>
            </w:r>
          </w:p>
        </w:tc>
      </w:tr>
      <w:tr w:rsidR="008C6E7D" w:rsidRPr="0013742F">
        <w:trPr>
          <w:trHeight w:val="476"/>
        </w:trPr>
        <w:tc>
          <w:tcPr>
            <w:tcW w:w="1885" w:type="dxa"/>
          </w:tcPr>
          <w:p w:rsidR="008C6E7D" w:rsidRPr="0013742F" w:rsidRDefault="008C6E7D" w:rsidP="0013742F">
            <w:pPr>
              <w:spacing w:after="0" w:line="240" w:lineRule="auto"/>
              <w:rPr>
                <w:color w:val="000000"/>
                <w:sz w:val="20"/>
                <w:szCs w:val="20"/>
              </w:rPr>
            </w:pPr>
            <w:r w:rsidRPr="0013742F">
              <w:rPr>
                <w:color w:val="000000"/>
                <w:sz w:val="20"/>
                <w:szCs w:val="20"/>
              </w:rPr>
              <w:t>Tenure status</w:t>
            </w:r>
            <w:r w:rsidRPr="0013742F">
              <w:rPr>
                <w:noProof/>
                <w:color w:val="000000"/>
                <w:sz w:val="20"/>
                <w:szCs w:val="20"/>
                <w:vertAlign w:val="superscript"/>
              </w:rPr>
              <w:t>151</w:t>
            </w:r>
          </w:p>
        </w:tc>
        <w:tc>
          <w:tcPr>
            <w:tcW w:w="7920" w:type="dxa"/>
          </w:tcPr>
          <w:p w:rsidR="008C6E7D" w:rsidRPr="0013742F" w:rsidRDefault="008C6E7D" w:rsidP="0013742F">
            <w:pPr>
              <w:spacing w:after="0" w:line="480" w:lineRule="auto"/>
              <w:rPr>
                <w:color w:val="000000"/>
                <w:sz w:val="20"/>
                <w:szCs w:val="20"/>
              </w:rPr>
            </w:pPr>
            <w:r w:rsidRPr="0013742F">
              <w:rPr>
                <w:color w:val="000000"/>
                <w:sz w:val="20"/>
                <w:szCs w:val="20"/>
              </w:rPr>
              <w:t>Owner or renter occupied status</w:t>
            </w:r>
          </w:p>
        </w:tc>
        <w:tc>
          <w:tcPr>
            <w:tcW w:w="3870" w:type="dxa"/>
          </w:tcPr>
          <w:p w:rsidR="008C6E7D" w:rsidRPr="0013742F" w:rsidRDefault="008C6E7D" w:rsidP="0013742F">
            <w:pPr>
              <w:spacing w:after="0" w:line="480" w:lineRule="auto"/>
              <w:rPr>
                <w:color w:val="000000"/>
                <w:sz w:val="20"/>
                <w:szCs w:val="20"/>
              </w:rPr>
            </w:pPr>
            <w:r w:rsidRPr="0013742F">
              <w:rPr>
                <w:color w:val="000000"/>
                <w:sz w:val="20"/>
                <w:szCs w:val="20"/>
              </w:rPr>
              <w:t>Community Assessment Project (CAP)</w:t>
            </w:r>
          </w:p>
        </w:tc>
      </w:tr>
      <w:tr w:rsidR="008C6E7D" w:rsidRPr="0013742F">
        <w:trPr>
          <w:trHeight w:val="324"/>
        </w:trPr>
        <w:tc>
          <w:tcPr>
            <w:tcW w:w="1885" w:type="dxa"/>
            <w:tcBorders>
              <w:bottom w:val="single" w:sz="4" w:space="0" w:color="auto"/>
            </w:tcBorders>
          </w:tcPr>
          <w:p w:rsidR="008C6E7D" w:rsidRPr="0013742F" w:rsidRDefault="008C6E7D" w:rsidP="0013742F">
            <w:pPr>
              <w:spacing w:after="0" w:line="240" w:lineRule="auto"/>
              <w:rPr>
                <w:sz w:val="20"/>
                <w:szCs w:val="20"/>
              </w:rPr>
            </w:pPr>
            <w:r w:rsidRPr="0013742F">
              <w:rPr>
                <w:sz w:val="20"/>
                <w:szCs w:val="20"/>
              </w:rPr>
              <w:t>Vacant housing</w:t>
            </w:r>
            <w:r w:rsidRPr="0013742F">
              <w:rPr>
                <w:noProof/>
                <w:sz w:val="20"/>
                <w:szCs w:val="20"/>
                <w:vertAlign w:val="superscript"/>
              </w:rPr>
              <w:t>153</w:t>
            </w:r>
          </w:p>
        </w:tc>
        <w:tc>
          <w:tcPr>
            <w:tcW w:w="7920" w:type="dxa"/>
            <w:tcBorders>
              <w:bottom w:val="single" w:sz="4" w:space="0" w:color="auto"/>
            </w:tcBorders>
          </w:tcPr>
          <w:p w:rsidR="008C6E7D" w:rsidRPr="0013742F" w:rsidRDefault="008C6E7D" w:rsidP="0013742F">
            <w:pPr>
              <w:spacing w:after="0" w:line="480" w:lineRule="auto"/>
              <w:rPr>
                <w:sz w:val="20"/>
                <w:szCs w:val="20"/>
              </w:rPr>
            </w:pPr>
            <w:r w:rsidRPr="0013742F">
              <w:rPr>
                <w:sz w:val="20"/>
                <w:szCs w:val="20"/>
              </w:rPr>
              <w:t>Ratio of vacant housing units to total number of housing units per zip code</w:t>
            </w:r>
          </w:p>
        </w:tc>
        <w:tc>
          <w:tcPr>
            <w:tcW w:w="3870" w:type="dxa"/>
            <w:tcBorders>
              <w:bottom w:val="single" w:sz="4" w:space="0" w:color="auto"/>
            </w:tcBorders>
          </w:tcPr>
          <w:p w:rsidR="008C6E7D" w:rsidRPr="0013742F" w:rsidRDefault="008C6E7D" w:rsidP="0013742F">
            <w:pPr>
              <w:spacing w:after="0" w:line="480" w:lineRule="auto"/>
              <w:rPr>
                <w:sz w:val="20"/>
                <w:szCs w:val="20"/>
              </w:rPr>
            </w:pPr>
            <w:r w:rsidRPr="0013742F">
              <w:rPr>
                <w:sz w:val="20"/>
                <w:szCs w:val="20"/>
              </w:rPr>
              <w:t xml:space="preserve">U.S. Census, </w:t>
            </w:r>
            <w:proofErr w:type="spellStart"/>
            <w:r w:rsidRPr="0013742F">
              <w:rPr>
                <w:sz w:val="20"/>
                <w:szCs w:val="20"/>
              </w:rPr>
              <w:t>Geolytics</w:t>
            </w:r>
            <w:proofErr w:type="spellEnd"/>
          </w:p>
        </w:tc>
      </w:tr>
    </w:tbl>
    <w:p w:rsidR="00033002" w:rsidRDefault="00033002" w:rsidP="00D32C19">
      <w:pPr>
        <w:pStyle w:val="EndNoteBibliography"/>
        <w:spacing w:after="0" w:line="480" w:lineRule="auto"/>
        <w:ind w:left="720" w:hanging="720"/>
      </w:pPr>
    </w:p>
    <w:p w:rsidR="008C6E7D" w:rsidRDefault="008C6E7D" w:rsidP="00D32C19">
      <w:pPr>
        <w:pStyle w:val="EndNoteBibliography"/>
        <w:spacing w:after="0" w:line="480" w:lineRule="auto"/>
        <w:ind w:left="720" w:hanging="720"/>
      </w:pPr>
      <w:r>
        <w:t>147.</w:t>
      </w:r>
      <w:r>
        <w:tab/>
        <w:t>O'Shea TC. Physical Deterioration, Disorder, and Crime. Criminal Justice Policy Review. 2006;17:173-87. (in English).</w:t>
      </w:r>
    </w:p>
    <w:p w:rsidR="008C6E7D" w:rsidRDefault="008C6E7D" w:rsidP="00D32C19">
      <w:pPr>
        <w:pStyle w:val="EndNoteBibliography"/>
        <w:spacing w:after="0" w:line="480" w:lineRule="auto"/>
        <w:ind w:left="720" w:hanging="720"/>
      </w:pPr>
      <w:r>
        <w:t>148.</w:t>
      </w:r>
      <w:r>
        <w:tab/>
        <w:t>Mair C, Kaplan GA, Everson-Rose SA. Are there hopeless neighborhoods? An exploration of environmental associations between individual-level feelings of hopelessness and neighborhood characteristics. Health &amp; Place. 2012;18:434-9. (in English).</w:t>
      </w:r>
    </w:p>
    <w:p w:rsidR="008C6E7D" w:rsidRDefault="008C6E7D" w:rsidP="00D32C19">
      <w:pPr>
        <w:pStyle w:val="EndNoteBibliography"/>
        <w:spacing w:after="0" w:line="480" w:lineRule="auto"/>
        <w:ind w:left="720" w:hanging="720"/>
      </w:pPr>
      <w:r>
        <w:t>149.</w:t>
      </w:r>
      <w:r>
        <w:tab/>
        <w:t>Wei E, Hipwell A, Pardini D, Beyers JM, Loeber R. Block observations of neighbourhood physical disorder are associated with neighbourhood crime, firearm injuries and deaths, and teen births. Journal of Epidemiology &amp; Community Health. 2005;59:904-8.</w:t>
      </w:r>
    </w:p>
    <w:p w:rsidR="008C6E7D" w:rsidRDefault="008C6E7D" w:rsidP="00D32C19">
      <w:pPr>
        <w:pStyle w:val="EndNoteBibliography"/>
        <w:spacing w:after="0" w:line="480" w:lineRule="auto"/>
        <w:ind w:left="720" w:hanging="720"/>
      </w:pPr>
      <w:r>
        <w:t>150.</w:t>
      </w:r>
      <w:r>
        <w:tab/>
        <w:t>Wilcox P, Quisenberry N, Cabrera DT, Jones S. Busy Places and Broken Windows? Toward Defining the Role of Physical Structure and Process in Community Crime Models. The Sociological Quarterly. 2004;45:185-207. (in English).</w:t>
      </w:r>
    </w:p>
    <w:p w:rsidR="008C6E7D" w:rsidRDefault="008C6E7D" w:rsidP="00D32C19">
      <w:pPr>
        <w:pStyle w:val="EndNoteBibliography"/>
        <w:spacing w:after="0" w:line="480" w:lineRule="auto"/>
        <w:ind w:left="720" w:hanging="720"/>
      </w:pPr>
      <w:r>
        <w:t>151.</w:t>
      </w:r>
      <w:r>
        <w:tab/>
        <w:t>Messer LC, Maxson P, Miranda ML. The urban built environment and associations with women's psychosocial health. Journal of Urban Health. 2013;90:857-71.</w:t>
      </w:r>
    </w:p>
    <w:p w:rsidR="008C6E7D" w:rsidRDefault="008C6E7D" w:rsidP="00D32C19">
      <w:pPr>
        <w:pStyle w:val="EndNoteBibliography"/>
        <w:spacing w:after="0" w:line="480" w:lineRule="auto"/>
        <w:ind w:left="720" w:hanging="720"/>
      </w:pPr>
      <w:r>
        <w:lastRenderedPageBreak/>
        <w:t>152.</w:t>
      </w:r>
      <w:r>
        <w:tab/>
        <w:t>Roberts A. The influences of incident and contextual characteristics on crime clearance of nonlethal violence: A multilevel event history analysis. Journal of Criminal Justice. 2008;36:61-71. (in English).</w:t>
      </w:r>
    </w:p>
    <w:p w:rsidR="008C6E7D" w:rsidRPr="00033002" w:rsidRDefault="008C6E7D" w:rsidP="00033002">
      <w:pPr>
        <w:spacing w:after="0" w:line="480" w:lineRule="auto"/>
        <w:ind w:left="720" w:hanging="720"/>
        <w:rPr>
          <w:rFonts w:ascii="Calibri Light" w:hAnsi="Calibri Light" w:cs="Calibri Light"/>
        </w:rPr>
      </w:pPr>
      <w:r w:rsidRPr="00033002">
        <w:rPr>
          <w:rFonts w:ascii="Calibri Light" w:hAnsi="Calibri Light" w:cs="Calibri Light"/>
        </w:rPr>
        <w:t>153.</w:t>
      </w:r>
      <w:r w:rsidRPr="00033002">
        <w:rPr>
          <w:rFonts w:ascii="Calibri Light" w:hAnsi="Calibri Light" w:cs="Calibri Light"/>
        </w:rPr>
        <w:tab/>
        <w:t xml:space="preserve">Abrams LS, </w:t>
      </w:r>
      <w:proofErr w:type="spellStart"/>
      <w:r w:rsidRPr="00033002">
        <w:rPr>
          <w:rFonts w:ascii="Calibri Light" w:hAnsi="Calibri Light" w:cs="Calibri Light"/>
        </w:rPr>
        <w:t>Freisthler</w:t>
      </w:r>
      <w:proofErr w:type="spellEnd"/>
      <w:r w:rsidRPr="00033002">
        <w:rPr>
          <w:rFonts w:ascii="Calibri Light" w:hAnsi="Calibri Light" w:cs="Calibri Light"/>
        </w:rPr>
        <w:t xml:space="preserve"> B. A spatial analysis of risks and resources for reentry youth in Los Angeles County. Journal of the Society for Social Work and Research. 2010</w:t>
      </w:r>
      <w:proofErr w:type="gramStart"/>
      <w:r w:rsidRPr="00033002">
        <w:rPr>
          <w:rFonts w:ascii="Calibri Light" w:hAnsi="Calibri Light" w:cs="Calibri Light"/>
        </w:rPr>
        <w:t>;1:41</w:t>
      </w:r>
      <w:proofErr w:type="gramEnd"/>
      <w:r w:rsidRPr="00033002">
        <w:rPr>
          <w:rFonts w:ascii="Calibri Light" w:hAnsi="Calibri Light" w:cs="Calibri Light"/>
        </w:rPr>
        <w:t>-55.</w:t>
      </w:r>
    </w:p>
    <w:sectPr w:rsidR="008C6E7D" w:rsidRPr="00033002" w:rsidSect="008B7C97">
      <w:headerReference w:type="default" r:id="rId7"/>
      <w:footnotePr>
        <w:numFmt w:val="chicago"/>
        <w:numStart w:val="11"/>
      </w:footnotePr>
      <w:endnotePr>
        <w:numFmt w:val="lowerLetter"/>
      </w:endnotePr>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E7D" w:rsidRDefault="008C6E7D" w:rsidP="00504790">
      <w:pPr>
        <w:spacing w:after="0" w:line="240" w:lineRule="auto"/>
      </w:pPr>
      <w:r>
        <w:separator/>
      </w:r>
    </w:p>
  </w:endnote>
  <w:endnote w:type="continuationSeparator" w:id="0">
    <w:p w:rsidR="008C6E7D" w:rsidRDefault="008C6E7D" w:rsidP="00504790">
      <w:pPr>
        <w:spacing w:after="0" w:line="240" w:lineRule="auto"/>
      </w:pPr>
      <w:r>
        <w:continuationSeparator/>
      </w:r>
    </w:p>
  </w:endnote>
  <w:endnote w:id="1">
    <w:p w:rsidR="007A3890" w:rsidRDefault="007A3890" w:rsidP="007A3890">
      <w:pPr>
        <w:pStyle w:val="EndnoteText"/>
        <w:spacing w:after="0" w:line="480" w:lineRule="auto"/>
      </w:pPr>
      <w:r>
        <w:rPr>
          <w:rStyle w:val="EndnoteReference"/>
        </w:rPr>
        <w:endnoteRef/>
      </w:r>
      <w:r>
        <w:t xml:space="preserve"> </w:t>
      </w:r>
      <w:r>
        <w:t>Multiple indicators that represent some form of an index are formatted with the prefix “index of”; constructs that are represented by multiple sub-constructs/indices are underlined and separated by semi-colons; otherwise multiple indicators that are no</w:t>
      </w:r>
      <w:bookmarkStart w:id="0" w:name="_GoBack"/>
      <w:bookmarkEnd w:id="0"/>
      <w:r>
        <w:t>t part of an index are separated by commas.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E7D" w:rsidRDefault="008C6E7D" w:rsidP="00504790">
      <w:pPr>
        <w:spacing w:after="0" w:line="240" w:lineRule="auto"/>
      </w:pPr>
      <w:r>
        <w:separator/>
      </w:r>
    </w:p>
  </w:footnote>
  <w:footnote w:type="continuationSeparator" w:id="0">
    <w:p w:rsidR="008C6E7D" w:rsidRDefault="008C6E7D" w:rsidP="00504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E7D" w:rsidRDefault="008C6E7D">
    <w:pPr>
      <w:pStyle w:val="Header"/>
    </w:pPr>
    <w:r>
      <w:t>INDICATORS FOR VIOLENCE PREVENTION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characterSpacingControl w:val="doNotCompress"/>
  <w:doNotValidateAgainstSchema/>
  <w:doNotDemarcateInvalidXml/>
  <w:footnotePr>
    <w:numFmt w:val="chicago"/>
    <w:numStart w:val="11"/>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68F"/>
    <w:rsid w:val="00033002"/>
    <w:rsid w:val="000C5A7B"/>
    <w:rsid w:val="000E72DF"/>
    <w:rsid w:val="000E7C70"/>
    <w:rsid w:val="0013742F"/>
    <w:rsid w:val="00174B44"/>
    <w:rsid w:val="001C1997"/>
    <w:rsid w:val="00472038"/>
    <w:rsid w:val="00504790"/>
    <w:rsid w:val="0063368F"/>
    <w:rsid w:val="00637A77"/>
    <w:rsid w:val="00676F48"/>
    <w:rsid w:val="007A3890"/>
    <w:rsid w:val="00865D9D"/>
    <w:rsid w:val="008B7C97"/>
    <w:rsid w:val="008C6E7D"/>
    <w:rsid w:val="009E4E4F"/>
    <w:rsid w:val="00AB1EE7"/>
    <w:rsid w:val="00BB5D1D"/>
    <w:rsid w:val="00C92C96"/>
    <w:rsid w:val="00CE5B98"/>
    <w:rsid w:val="00D26908"/>
    <w:rsid w:val="00D32C19"/>
    <w:rsid w:val="00E279D8"/>
    <w:rsid w:val="00E3288E"/>
    <w:rsid w:val="00E40F7D"/>
    <w:rsid w:val="00EF4C5C"/>
    <w:rsid w:val="00FC70C6"/>
    <w:rsid w:val="00FE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7AE53"/>
  <w15:docId w15:val="{1971CF4D-7B40-4265-98ED-AF0902FC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1D"/>
    <w:pPr>
      <w:spacing w:after="160" w:line="259" w:lineRule="auto"/>
    </w:pPr>
    <w:rPr>
      <w:rFonts w:cs="Calibri"/>
    </w:rPr>
  </w:style>
  <w:style w:type="paragraph" w:styleId="Heading1">
    <w:name w:val="heading 1"/>
    <w:basedOn w:val="Normal"/>
    <w:next w:val="Normal"/>
    <w:link w:val="Heading1Char"/>
    <w:uiPriority w:val="99"/>
    <w:qFormat/>
    <w:rsid w:val="00676F48"/>
    <w:pPr>
      <w:keepNext/>
      <w:keepLines/>
      <w:spacing w:before="240" w:after="0"/>
      <w:outlineLvl w:val="0"/>
    </w:pPr>
    <w:rPr>
      <w:rFonts w:ascii="Calibri Light" w:eastAsia="Times New Roman" w:hAnsi="Calibri Light" w:cs="Calibri Light"/>
      <w:color w:val="2E74B5"/>
      <w:sz w:val="32"/>
      <w:szCs w:val="32"/>
    </w:rPr>
  </w:style>
  <w:style w:type="paragraph" w:styleId="Heading4">
    <w:name w:val="heading 4"/>
    <w:basedOn w:val="Normal"/>
    <w:next w:val="Normal"/>
    <w:link w:val="Heading4Char"/>
    <w:uiPriority w:val="99"/>
    <w:qFormat/>
    <w:rsid w:val="0063368F"/>
    <w:pPr>
      <w:keepNext/>
      <w:keepLines/>
      <w:spacing w:before="40" w:after="0" w:line="276" w:lineRule="auto"/>
      <w:outlineLvl w:val="3"/>
    </w:pPr>
    <w:rPr>
      <w:rFonts w:ascii="Calibri Light" w:eastAsia="Times New Roman"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F48"/>
    <w:rPr>
      <w:rFonts w:ascii="Calibri Light" w:hAnsi="Calibri Light" w:cs="Calibri Light"/>
      <w:color w:val="2E74B5"/>
      <w:sz w:val="32"/>
      <w:szCs w:val="32"/>
    </w:rPr>
  </w:style>
  <w:style w:type="character" w:customStyle="1" w:styleId="Heading4Char">
    <w:name w:val="Heading 4 Char"/>
    <w:basedOn w:val="DefaultParagraphFont"/>
    <w:link w:val="Heading4"/>
    <w:uiPriority w:val="99"/>
    <w:locked/>
    <w:rsid w:val="0063368F"/>
    <w:rPr>
      <w:rFonts w:ascii="Calibri Light" w:hAnsi="Calibri Light" w:cs="Calibri Light"/>
      <w:i/>
      <w:iCs/>
      <w:color w:val="2E74B5"/>
    </w:rPr>
  </w:style>
  <w:style w:type="paragraph" w:styleId="Header">
    <w:name w:val="header"/>
    <w:basedOn w:val="Normal"/>
    <w:link w:val="HeaderChar"/>
    <w:uiPriority w:val="99"/>
    <w:rsid w:val="005047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4790"/>
  </w:style>
  <w:style w:type="paragraph" w:styleId="Footer">
    <w:name w:val="footer"/>
    <w:basedOn w:val="Normal"/>
    <w:link w:val="FooterChar"/>
    <w:uiPriority w:val="99"/>
    <w:rsid w:val="005047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4790"/>
  </w:style>
  <w:style w:type="table" w:styleId="TableGrid">
    <w:name w:val="Table Grid"/>
    <w:basedOn w:val="TableNormal"/>
    <w:uiPriority w:val="99"/>
    <w:rsid w:val="001C199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B7C9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B7C97"/>
    <w:rPr>
      <w:sz w:val="20"/>
      <w:szCs w:val="20"/>
    </w:rPr>
  </w:style>
  <w:style w:type="character" w:styleId="FootnoteReference">
    <w:name w:val="footnote reference"/>
    <w:basedOn w:val="DefaultParagraphFont"/>
    <w:uiPriority w:val="99"/>
    <w:semiHidden/>
    <w:rsid w:val="008B7C97"/>
    <w:rPr>
      <w:vertAlign w:val="superscript"/>
    </w:rPr>
  </w:style>
  <w:style w:type="character" w:customStyle="1" w:styleId="reference-text">
    <w:name w:val="reference-text"/>
    <w:basedOn w:val="DefaultParagraphFont"/>
    <w:uiPriority w:val="99"/>
    <w:rsid w:val="008B7C97"/>
  </w:style>
  <w:style w:type="character" w:styleId="CommentReference">
    <w:name w:val="annotation reference"/>
    <w:basedOn w:val="DefaultParagraphFont"/>
    <w:uiPriority w:val="99"/>
    <w:semiHidden/>
    <w:rsid w:val="009E4E4F"/>
    <w:rPr>
      <w:sz w:val="16"/>
      <w:szCs w:val="16"/>
    </w:rPr>
  </w:style>
  <w:style w:type="paragraph" w:customStyle="1" w:styleId="EndNoteBibliography">
    <w:name w:val="EndNote Bibliography"/>
    <w:basedOn w:val="Normal"/>
    <w:link w:val="EndNoteBibliographyChar"/>
    <w:uiPriority w:val="99"/>
    <w:pPr>
      <w:spacing w:line="240" w:lineRule="auto"/>
    </w:pPr>
    <w:rPr>
      <w:rFonts w:ascii="Calibri Light" w:hAnsi="Calibri Light" w:cs="Calibri Light"/>
      <w:noProof/>
    </w:rPr>
  </w:style>
  <w:style w:type="character" w:customStyle="1" w:styleId="EndNoteBibliographyChar">
    <w:name w:val="EndNote Bibliography Char"/>
    <w:basedOn w:val="DefaultParagraphFont"/>
    <w:link w:val="EndNoteBibliography"/>
    <w:uiPriority w:val="99"/>
    <w:locked/>
    <w:rPr>
      <w:rFonts w:ascii="Calibri Light" w:hAnsi="Calibri Light" w:cs="Calibri Light"/>
      <w:noProof/>
      <w:sz w:val="22"/>
      <w:szCs w:val="22"/>
      <w:lang w:val="en-US" w:eastAsia="en-US"/>
    </w:rPr>
  </w:style>
  <w:style w:type="paragraph" w:styleId="EndnoteText">
    <w:name w:val="endnote text"/>
    <w:basedOn w:val="Normal"/>
    <w:link w:val="EndnoteTextChar"/>
    <w:uiPriority w:val="99"/>
    <w:semiHidden/>
    <w:unhideWhenUsed/>
    <w:rsid w:val="007A3890"/>
    <w:rPr>
      <w:sz w:val="20"/>
      <w:szCs w:val="20"/>
    </w:rPr>
  </w:style>
  <w:style w:type="character" w:customStyle="1" w:styleId="EndnoteTextChar">
    <w:name w:val="Endnote Text Char"/>
    <w:basedOn w:val="DefaultParagraphFont"/>
    <w:link w:val="EndnoteText"/>
    <w:uiPriority w:val="99"/>
    <w:semiHidden/>
    <w:rsid w:val="007A3890"/>
    <w:rPr>
      <w:rFonts w:cs="Calibri"/>
      <w:sz w:val="20"/>
      <w:szCs w:val="20"/>
    </w:rPr>
  </w:style>
  <w:style w:type="character" w:styleId="EndnoteReference">
    <w:name w:val="endnote reference"/>
    <w:basedOn w:val="DefaultParagraphFont"/>
    <w:uiPriority w:val="99"/>
    <w:semiHidden/>
    <w:unhideWhenUsed/>
    <w:rsid w:val="007A38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92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BB81-D771-4C53-BF47-5B2B2C02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824</Words>
  <Characters>4703</Characters>
  <Application>Microsoft Office Word</Application>
  <DocSecurity>0</DocSecurity>
  <Lines>39</Lines>
  <Paragraphs>11</Paragraphs>
  <ScaleCrop>false</ScaleCrop>
  <Company>Centers for Disease Control and Prevention</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Armstead, Theresa (CDC/ONDIEH/NCIPC)</dc:creator>
  <cp:keywords/>
  <dc:description/>
  <cp:lastModifiedBy>Armstead, Theresa (CDC/ONDIEH/NCIPC)</cp:lastModifiedBy>
  <cp:revision>5</cp:revision>
  <dcterms:created xsi:type="dcterms:W3CDTF">2017-07-27T18:41:00Z</dcterms:created>
  <dcterms:modified xsi:type="dcterms:W3CDTF">2017-09-26T14:37:00Z</dcterms:modified>
</cp:coreProperties>
</file>