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CC2B1" w14:textId="7576586F" w:rsidR="00725119" w:rsidRDefault="00E87BF3" w:rsidP="00725119">
      <w:pPr>
        <w:tabs>
          <w:tab w:val="left" w:pos="3198"/>
        </w:tabs>
        <w:spacing w:line="480" w:lineRule="auto"/>
        <w:jc w:val="center"/>
        <w:rPr>
          <w:rFonts w:ascii="Times New Roman" w:hAnsi="Times New Roman" w:cs="Times New Roman"/>
          <w:b/>
        </w:rPr>
      </w:pPr>
      <w:r w:rsidRPr="002F7BE9">
        <w:rPr>
          <w:rFonts w:ascii="Times New Roman" w:hAnsi="Times New Roman" w:cs="Times New Roman"/>
          <w:b/>
        </w:rPr>
        <w:t xml:space="preserve">Supplemental </w:t>
      </w:r>
      <w:r w:rsidR="00725119">
        <w:rPr>
          <w:rFonts w:ascii="Times New Roman" w:hAnsi="Times New Roman" w:cs="Times New Roman"/>
          <w:b/>
        </w:rPr>
        <w:t>Material</w:t>
      </w:r>
    </w:p>
    <w:p w14:paraId="4EE8DBE4" w14:textId="77777777" w:rsidR="00725119" w:rsidRDefault="00725119" w:rsidP="00725119">
      <w:p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</w:p>
    <w:p w14:paraId="10F04D34" w14:textId="6DCFDA9E" w:rsidR="00725119" w:rsidRPr="00D66C03" w:rsidRDefault="00725119" w:rsidP="00D66C03">
      <w:pPr>
        <w:pStyle w:val="ListParagraph"/>
        <w:numPr>
          <w:ilvl w:val="0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 w:rsidRPr="00D66C03">
        <w:rPr>
          <w:rFonts w:ascii="Times New Roman" w:hAnsi="Times New Roman" w:cs="Times New Roman"/>
          <w:b/>
        </w:rPr>
        <w:t>Child and housing characteristics for cases included versus those excluded from analysis</w:t>
      </w:r>
    </w:p>
    <w:p w14:paraId="069E5E80" w14:textId="0941A680" w:rsidR="00725119" w:rsidRPr="00725119" w:rsidRDefault="00725119" w:rsidP="00725119">
      <w:pPr>
        <w:tabs>
          <w:tab w:val="left" w:pos="3198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Supplemental Table 1 presents a comparison of child and housing characteristics for cases included versus those excluded from analysis.  The only significant difference between the two groups </w:t>
      </w:r>
      <w:r w:rsidR="00065179">
        <w:rPr>
          <w:rFonts w:ascii="Times New Roman" w:hAnsi="Times New Roman" w:cs="Times New Roman"/>
        </w:rPr>
        <w:t xml:space="preserve">was </w:t>
      </w:r>
      <w:r>
        <w:rPr>
          <w:rFonts w:ascii="Times New Roman" w:hAnsi="Times New Roman" w:cs="Times New Roman"/>
        </w:rPr>
        <w:t xml:space="preserve">child age.   Those excluded from the analysis were older.  The mean age of children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included in the analysis was </w:t>
      </w:r>
      <w:r w:rsidRPr="00725119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 xml:space="preserve"> years; for those excluded it was 2.3 years (p=0.0001).  </w:t>
      </w:r>
    </w:p>
    <w:p w14:paraId="1249D32B" w14:textId="3BB01F53" w:rsidR="00AD26AA" w:rsidRPr="00D66C03" w:rsidRDefault="00725119" w:rsidP="00D66C03">
      <w:pPr>
        <w:pStyle w:val="ListParagraph"/>
        <w:numPr>
          <w:ilvl w:val="0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 w:rsidRPr="00D66C03">
        <w:rPr>
          <w:rFonts w:ascii="Times New Roman" w:hAnsi="Times New Roman" w:cs="Times New Roman"/>
          <w:b/>
        </w:rPr>
        <w:t>Soil and w</w:t>
      </w:r>
      <w:r w:rsidR="00AD26AA" w:rsidRPr="00D66C03">
        <w:rPr>
          <w:rFonts w:ascii="Times New Roman" w:hAnsi="Times New Roman" w:cs="Times New Roman"/>
          <w:b/>
        </w:rPr>
        <w:t>ater sampling</w:t>
      </w:r>
      <w:r w:rsidRPr="00D66C03">
        <w:rPr>
          <w:rFonts w:ascii="Times New Roman" w:hAnsi="Times New Roman" w:cs="Times New Roman"/>
          <w:b/>
        </w:rPr>
        <w:t xml:space="preserve"> and results</w:t>
      </w:r>
    </w:p>
    <w:p w14:paraId="2EC7E0B1" w14:textId="69AD2EBB" w:rsidR="00B5599E" w:rsidRPr="00D66C03" w:rsidRDefault="00D66C03" w:rsidP="00D66C03">
      <w:pPr>
        <w:pStyle w:val="ListParagraph"/>
        <w:numPr>
          <w:ilvl w:val="1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 w:rsidRPr="00D66C03">
        <w:rPr>
          <w:rFonts w:ascii="Times New Roman" w:hAnsi="Times New Roman" w:cs="Times New Roman"/>
          <w:b/>
        </w:rPr>
        <w:t xml:space="preserve"> </w:t>
      </w:r>
      <w:r w:rsidR="00E87BF3" w:rsidRPr="00D66C03">
        <w:rPr>
          <w:rFonts w:ascii="Times New Roman" w:hAnsi="Times New Roman" w:cs="Times New Roman"/>
          <w:b/>
        </w:rPr>
        <w:t>Methods</w:t>
      </w:r>
    </w:p>
    <w:p w14:paraId="0894EC96" w14:textId="1AFF8BBC" w:rsidR="00AD26AA" w:rsidRDefault="008B56BA" w:rsidP="003F6F1D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1354C">
        <w:rPr>
          <w:rFonts w:ascii="Times New Roman" w:hAnsi="Times New Roman" w:cs="Times New Roman"/>
        </w:rPr>
        <w:t>In addition to paint and dust samples collected d</w:t>
      </w:r>
      <w:r w:rsidR="00722B7A">
        <w:rPr>
          <w:rFonts w:ascii="Times New Roman" w:hAnsi="Times New Roman" w:cs="Times New Roman"/>
        </w:rPr>
        <w:t>uring environmental inspections, risk assessors test</w:t>
      </w:r>
      <w:r w:rsidR="003F6F1D">
        <w:rPr>
          <w:rFonts w:ascii="Times New Roman" w:hAnsi="Times New Roman" w:cs="Times New Roman"/>
        </w:rPr>
        <w:t>ed</w:t>
      </w:r>
      <w:r w:rsidR="00722B7A">
        <w:rPr>
          <w:rFonts w:ascii="Times New Roman" w:hAnsi="Times New Roman" w:cs="Times New Roman"/>
        </w:rPr>
        <w:t xml:space="preserve"> </w:t>
      </w:r>
      <w:r w:rsidR="00AD26AA">
        <w:rPr>
          <w:rFonts w:ascii="Times New Roman" w:hAnsi="Times New Roman" w:cs="Times New Roman"/>
        </w:rPr>
        <w:t xml:space="preserve">for lead in </w:t>
      </w:r>
      <w:r w:rsidR="003F6F1D">
        <w:rPr>
          <w:rFonts w:ascii="Times New Roman" w:hAnsi="Times New Roman" w:cs="Times New Roman"/>
        </w:rPr>
        <w:t xml:space="preserve">tap water </w:t>
      </w:r>
      <w:r w:rsidR="00AD26AA">
        <w:rPr>
          <w:rFonts w:ascii="Times New Roman" w:hAnsi="Times New Roman" w:cs="Times New Roman"/>
        </w:rPr>
        <w:t>and soil outside the home</w:t>
      </w:r>
      <w:r>
        <w:rPr>
          <w:rFonts w:ascii="Times New Roman" w:hAnsi="Times New Roman" w:cs="Times New Roman"/>
        </w:rPr>
        <w:t xml:space="preserve">. </w:t>
      </w:r>
    </w:p>
    <w:p w14:paraId="3BFEC60A" w14:textId="58A063DE" w:rsidR="006D0B5F" w:rsidRPr="003C112C" w:rsidRDefault="00AD26AA" w:rsidP="003F6F1D">
      <w:pPr>
        <w:tabs>
          <w:tab w:val="left" w:pos="720"/>
        </w:tabs>
        <w:spacing w:line="480" w:lineRule="auto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222222"/>
        </w:rPr>
        <w:t>Risk a</w:t>
      </w:r>
      <w:r w:rsidR="00B5599E" w:rsidRPr="00F865AF">
        <w:rPr>
          <w:rFonts w:ascii="Times New Roman" w:hAnsi="Times New Roman" w:cs="Times New Roman"/>
          <w:color w:val="222222"/>
        </w:rPr>
        <w:t xml:space="preserve">ssessors obtained two cold water samples from the faucet primarily used for drinking and cooking. The “first-draw” sample followed a request to families not to use the tap for at least 6 hours, and </w:t>
      </w:r>
      <w:r>
        <w:rPr>
          <w:rFonts w:ascii="Times New Roman" w:hAnsi="Times New Roman" w:cs="Times New Roman"/>
          <w:color w:val="222222"/>
        </w:rPr>
        <w:t xml:space="preserve">risk </w:t>
      </w:r>
      <w:r w:rsidR="00B5599E" w:rsidRPr="00F865AF">
        <w:rPr>
          <w:rFonts w:ascii="Times New Roman" w:hAnsi="Times New Roman" w:cs="Times New Roman"/>
          <w:color w:val="222222"/>
        </w:rPr>
        <w:t xml:space="preserve">assessors obtained the second, “flushed water” sample after running the water for 5 minutes. Water samples were analyzed for lead by the Maine </w:t>
      </w:r>
      <w:r w:rsidR="00260815">
        <w:rPr>
          <w:rFonts w:ascii="Times New Roman" w:hAnsi="Times New Roman" w:cs="Times New Roman"/>
          <w:color w:val="222222"/>
        </w:rPr>
        <w:t xml:space="preserve">Health and Environmental Testing </w:t>
      </w:r>
      <w:r w:rsidR="008C26D6">
        <w:rPr>
          <w:rFonts w:ascii="Times New Roman" w:hAnsi="Times New Roman" w:cs="Times New Roman"/>
          <w:color w:val="222222"/>
        </w:rPr>
        <w:t>Laboratory</w:t>
      </w:r>
      <w:r w:rsidR="00260815">
        <w:rPr>
          <w:rFonts w:ascii="Times New Roman" w:hAnsi="Times New Roman" w:cs="Times New Roman"/>
          <w:color w:val="222222"/>
        </w:rPr>
        <w:t xml:space="preserve"> (</w:t>
      </w:r>
      <w:r w:rsidR="00B5599E" w:rsidRPr="00F865AF">
        <w:rPr>
          <w:rFonts w:ascii="Times New Roman" w:hAnsi="Times New Roman" w:cs="Times New Roman"/>
          <w:color w:val="222222"/>
        </w:rPr>
        <w:t>HETL</w:t>
      </w:r>
      <w:r w:rsidR="00260815">
        <w:rPr>
          <w:rFonts w:ascii="Times New Roman" w:hAnsi="Times New Roman" w:cs="Times New Roman"/>
          <w:color w:val="222222"/>
        </w:rPr>
        <w:t>)</w:t>
      </w:r>
      <w:r w:rsidR="00B5599E" w:rsidRPr="00F865AF">
        <w:rPr>
          <w:rFonts w:ascii="Times New Roman" w:hAnsi="Times New Roman" w:cs="Times New Roman"/>
          <w:color w:val="222222"/>
        </w:rPr>
        <w:t xml:space="preserve">, </w:t>
      </w:r>
      <w:r w:rsidR="00B5599E" w:rsidRPr="002F7BE9">
        <w:rPr>
          <w:rFonts w:ascii="Times New Roman" w:hAnsi="Times New Roman" w:cs="Times New Roman"/>
          <w:color w:val="222222"/>
        </w:rPr>
        <w:t>using</w:t>
      </w:r>
      <w:r w:rsidR="006D0B5F" w:rsidRPr="002F7BE9">
        <w:rPr>
          <w:rFonts w:ascii="Times New Roman" w:hAnsi="Times New Roman" w:cs="Times New Roman"/>
          <w:color w:val="222222"/>
        </w:rPr>
        <w:t xml:space="preserve"> U.S. EPA </w:t>
      </w:r>
      <w:r w:rsidR="006D0B5F" w:rsidRPr="001E404D">
        <w:rPr>
          <w:rFonts w:ascii="Times New Roman" w:hAnsi="Times New Roman" w:cs="Times New Roman"/>
          <w:color w:val="222222"/>
        </w:rPr>
        <w:t>Method 200.8 with a</w:t>
      </w:r>
      <w:r w:rsidR="002F7BE9" w:rsidRPr="001E404D">
        <w:rPr>
          <w:rFonts w:ascii="Times New Roman" w:hAnsi="Times New Roman" w:cs="Times New Roman"/>
          <w:color w:val="222222"/>
        </w:rPr>
        <w:t>n</w:t>
      </w:r>
      <w:r w:rsidR="006D0B5F" w:rsidRPr="001E404D">
        <w:rPr>
          <w:rFonts w:ascii="Times New Roman" w:hAnsi="Times New Roman" w:cs="Times New Roman"/>
          <w:color w:val="222222"/>
        </w:rPr>
        <w:t xml:space="preserve"> Agilent 7500s ICP-MS ORS (Agilent Technologies, Santa Clara, California)</w:t>
      </w:r>
      <w:r w:rsidR="00B5599E" w:rsidRPr="001E404D">
        <w:rPr>
          <w:rFonts w:ascii="Times New Roman" w:hAnsi="Times New Roman" w:cs="Times New Roman"/>
          <w:color w:val="222222"/>
        </w:rPr>
        <w:t xml:space="preserve">. </w:t>
      </w:r>
      <w:r w:rsidR="001E404D">
        <w:rPr>
          <w:rFonts w:ascii="Times New Roman" w:hAnsi="Times New Roman" w:cs="Times New Roman"/>
          <w:color w:val="222222"/>
        </w:rPr>
        <w:t>A water</w:t>
      </w:r>
      <w:r w:rsidR="001E404D" w:rsidRPr="003C112C">
        <w:rPr>
          <w:rFonts w:ascii="Times New Roman" w:hAnsi="Times New Roman" w:cs="Times New Roman"/>
          <w:color w:val="222222"/>
        </w:rPr>
        <w:t xml:space="preserve"> </w:t>
      </w:r>
      <w:r w:rsidR="005F0F00">
        <w:rPr>
          <w:rFonts w:ascii="Times New Roman" w:hAnsi="Times New Roman" w:cs="Times New Roman"/>
          <w:color w:val="222222"/>
        </w:rPr>
        <w:t xml:space="preserve">sample </w:t>
      </w:r>
      <w:r w:rsidR="001E404D" w:rsidRPr="003C112C">
        <w:rPr>
          <w:rFonts w:ascii="Times New Roman" w:hAnsi="Times New Roman" w:cs="Times New Roman"/>
          <w:color w:val="222222"/>
        </w:rPr>
        <w:t xml:space="preserve">was classified as a </w:t>
      </w:r>
      <w:r w:rsidR="001E404D">
        <w:rPr>
          <w:rFonts w:ascii="Times New Roman" w:hAnsi="Times New Roman" w:cs="Times New Roman"/>
          <w:color w:val="222222"/>
        </w:rPr>
        <w:t>lead hazard if it</w:t>
      </w:r>
      <w:r w:rsidR="001E404D" w:rsidRPr="003C112C">
        <w:rPr>
          <w:rFonts w:ascii="Times New Roman" w:hAnsi="Times New Roman" w:cs="Times New Roman"/>
          <w:color w:val="222222"/>
        </w:rPr>
        <w:t xml:space="preserve"> </w:t>
      </w:r>
      <w:r w:rsidR="001E404D">
        <w:rPr>
          <w:rFonts w:ascii="Times New Roman" w:hAnsi="Times New Roman" w:cs="Times New Roman"/>
          <w:color w:val="222222"/>
        </w:rPr>
        <w:t xml:space="preserve">exceeded the EPA action level </w:t>
      </w:r>
      <w:r w:rsidR="001E404D" w:rsidRPr="00F865AF">
        <w:rPr>
          <w:rFonts w:ascii="Times New Roman" w:hAnsi="Times New Roman" w:cs="Times New Roman"/>
          <w:color w:val="222222"/>
        </w:rPr>
        <w:t>(15 ppm)</w:t>
      </w:r>
      <w:r w:rsidR="001E404D">
        <w:rPr>
          <w:rFonts w:ascii="Times New Roman" w:hAnsi="Times New Roman" w:cs="Times New Roman"/>
        </w:rPr>
        <w:t>.</w:t>
      </w:r>
      <w:r w:rsidR="005F0F00">
        <w:rPr>
          <w:rFonts w:ascii="Times New Roman" w:hAnsi="Times New Roman" w:cs="Times New Roman"/>
        </w:rPr>
        <w:t xml:space="preserve"> </w:t>
      </w:r>
      <w:r w:rsidR="005F0F00" w:rsidRPr="002E5317">
        <w:rPr>
          <w:rFonts w:ascii="Times New Roman" w:hAnsi="Times New Roman" w:cs="Times New Roman"/>
        </w:rPr>
        <w:t>We considered the home to have a</w:t>
      </w:r>
      <w:r w:rsidR="005F0F00" w:rsidRPr="002E5317">
        <w:rPr>
          <w:rFonts w:ascii="Times New Roman" w:hAnsi="Times New Roman" w:cs="Times New Roman"/>
          <w:color w:val="222222"/>
        </w:rPr>
        <w:t xml:space="preserve"> </w:t>
      </w:r>
      <w:r w:rsidR="005F0F00">
        <w:rPr>
          <w:rFonts w:ascii="Times New Roman" w:hAnsi="Times New Roman" w:cs="Times New Roman"/>
          <w:color w:val="222222"/>
        </w:rPr>
        <w:t>water</w:t>
      </w:r>
      <w:r w:rsidR="005F0F00" w:rsidRPr="002E5317">
        <w:rPr>
          <w:rFonts w:ascii="Times New Roman" w:hAnsi="Times New Roman" w:cs="Times New Roman"/>
          <w:color w:val="222222"/>
        </w:rPr>
        <w:t xml:space="preserve"> hazard if the risk assessors determined at least one s</w:t>
      </w:r>
      <w:r w:rsidR="005F0F00">
        <w:rPr>
          <w:rFonts w:ascii="Times New Roman" w:hAnsi="Times New Roman" w:cs="Times New Roman"/>
          <w:color w:val="222222"/>
        </w:rPr>
        <w:t>ample</w:t>
      </w:r>
      <w:r w:rsidR="005F0F00" w:rsidRPr="002E5317">
        <w:rPr>
          <w:rFonts w:ascii="Times New Roman" w:hAnsi="Times New Roman" w:cs="Times New Roman"/>
          <w:color w:val="222222"/>
        </w:rPr>
        <w:t xml:space="preserve"> to be a </w:t>
      </w:r>
      <w:r w:rsidR="005F0F00">
        <w:rPr>
          <w:rFonts w:ascii="Times New Roman" w:hAnsi="Times New Roman" w:cs="Times New Roman"/>
          <w:color w:val="222222"/>
        </w:rPr>
        <w:t>water</w:t>
      </w:r>
      <w:r w:rsidR="005F0F00" w:rsidRPr="002E5317">
        <w:rPr>
          <w:rFonts w:ascii="Times New Roman" w:hAnsi="Times New Roman" w:cs="Times New Roman"/>
          <w:color w:val="222222"/>
        </w:rPr>
        <w:t xml:space="preserve"> hazard.</w:t>
      </w:r>
    </w:p>
    <w:p w14:paraId="38004380" w14:textId="0FDC8D71" w:rsidR="00E87BF3" w:rsidRPr="005F0F00" w:rsidRDefault="006D0B5F" w:rsidP="003F6F1D">
      <w:pPr>
        <w:tabs>
          <w:tab w:val="left" w:pos="7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</w:rPr>
        <w:tab/>
      </w:r>
      <w:r w:rsidR="00AD26AA">
        <w:rPr>
          <w:rFonts w:ascii="Times New Roman" w:hAnsi="Times New Roman" w:cs="Times New Roman"/>
          <w:color w:val="222222"/>
        </w:rPr>
        <w:t>Risk assessors used</w:t>
      </w:r>
      <w:r>
        <w:rPr>
          <w:rFonts w:ascii="Times New Roman" w:hAnsi="Times New Roman" w:cs="Times New Roman"/>
          <w:color w:val="222222"/>
        </w:rPr>
        <w:t xml:space="preserve"> </w:t>
      </w:r>
      <w:r w:rsidR="00B5599E" w:rsidRPr="00F865AF">
        <w:rPr>
          <w:rFonts w:ascii="Times New Roman" w:hAnsi="Times New Roman" w:cs="Times New Roman"/>
          <w:color w:val="222222"/>
        </w:rPr>
        <w:t>a trowel to collect the top</w:t>
      </w:r>
      <w:r w:rsidR="00AD26AA">
        <w:rPr>
          <w:rFonts w:ascii="Times New Roman" w:hAnsi="Times New Roman" w:cs="Times New Roman"/>
          <w:color w:val="222222"/>
        </w:rPr>
        <w:t xml:space="preserve"> one-half</w:t>
      </w:r>
      <w:r w:rsidR="00B5599E" w:rsidRPr="00F865AF">
        <w:rPr>
          <w:rFonts w:ascii="Times New Roman" w:hAnsi="Times New Roman" w:cs="Times New Roman"/>
          <w:color w:val="222222"/>
        </w:rPr>
        <w:t xml:space="preserve"> inch of soil from two areas—the building perimeter and potential child play area. The perimeter sample included 5-10 soil</w:t>
      </w:r>
      <w:r>
        <w:rPr>
          <w:rFonts w:ascii="Times New Roman" w:hAnsi="Times New Roman" w:cs="Times New Roman"/>
          <w:color w:val="222222"/>
        </w:rPr>
        <w:t xml:space="preserve"> samples</w:t>
      </w:r>
      <w:r w:rsidR="00B5599E" w:rsidRPr="00F865AF">
        <w:rPr>
          <w:rFonts w:ascii="Times New Roman" w:hAnsi="Times New Roman" w:cs="Times New Roman"/>
          <w:color w:val="222222"/>
        </w:rPr>
        <w:t xml:space="preserve"> </w:t>
      </w:r>
      <w:r w:rsidR="0067676A">
        <w:rPr>
          <w:rFonts w:ascii="Times New Roman" w:hAnsi="Times New Roman" w:cs="Times New Roman"/>
          <w:color w:val="222222"/>
        </w:rPr>
        <w:t xml:space="preserve">collected </w:t>
      </w:r>
      <w:r w:rsidR="00B5599E" w:rsidRPr="00F865AF">
        <w:rPr>
          <w:rFonts w:ascii="Times New Roman" w:hAnsi="Times New Roman" w:cs="Times New Roman"/>
          <w:color w:val="222222"/>
        </w:rPr>
        <w:t xml:space="preserve">from all sides of the building, at least 2 feet from each other and 2 feet from </w:t>
      </w:r>
      <w:r w:rsidR="00B5599E" w:rsidRPr="00F865AF">
        <w:rPr>
          <w:rFonts w:ascii="Times New Roman" w:hAnsi="Times New Roman" w:cs="Times New Roman"/>
          <w:color w:val="222222"/>
        </w:rPr>
        <w:lastRenderedPageBreak/>
        <w:t xml:space="preserve">the foundation. The child play area </w:t>
      </w:r>
      <w:r w:rsidR="00177873">
        <w:rPr>
          <w:rFonts w:ascii="Times New Roman" w:hAnsi="Times New Roman" w:cs="Times New Roman"/>
          <w:color w:val="222222"/>
        </w:rPr>
        <w:t xml:space="preserve">sample </w:t>
      </w:r>
      <w:r w:rsidR="00B5599E" w:rsidRPr="00F865AF">
        <w:rPr>
          <w:rFonts w:ascii="Times New Roman" w:hAnsi="Times New Roman" w:cs="Times New Roman"/>
          <w:color w:val="222222"/>
        </w:rPr>
        <w:t xml:space="preserve">included 3-10 </w:t>
      </w:r>
      <w:r w:rsidR="00177873">
        <w:rPr>
          <w:rFonts w:ascii="Times New Roman" w:hAnsi="Times New Roman" w:cs="Times New Roman"/>
          <w:color w:val="222222"/>
        </w:rPr>
        <w:t xml:space="preserve">soil </w:t>
      </w:r>
      <w:r w:rsidR="0067676A">
        <w:rPr>
          <w:rFonts w:ascii="Times New Roman" w:hAnsi="Times New Roman" w:cs="Times New Roman"/>
          <w:color w:val="222222"/>
        </w:rPr>
        <w:t>samples</w:t>
      </w:r>
      <w:r w:rsidR="0067676A" w:rsidRPr="00F865AF">
        <w:rPr>
          <w:rFonts w:ascii="Times New Roman" w:hAnsi="Times New Roman" w:cs="Times New Roman"/>
          <w:color w:val="222222"/>
        </w:rPr>
        <w:t xml:space="preserve"> </w:t>
      </w:r>
      <w:r w:rsidR="00B5599E" w:rsidRPr="00F865AF">
        <w:rPr>
          <w:rFonts w:ascii="Times New Roman" w:hAnsi="Times New Roman" w:cs="Times New Roman"/>
          <w:color w:val="222222"/>
        </w:rPr>
        <w:t xml:space="preserve">at least 1 foot apart in an X-shaped grid. Soil samples were analyzed for lead by the Maine HETL, </w:t>
      </w:r>
      <w:r w:rsidR="0067676A">
        <w:rPr>
          <w:rFonts w:ascii="Times New Roman" w:hAnsi="Times New Roman" w:cs="Times New Roman"/>
          <w:color w:val="222222"/>
        </w:rPr>
        <w:t xml:space="preserve">according to </w:t>
      </w:r>
      <w:r w:rsidR="0067676A" w:rsidRPr="0067676A">
        <w:rPr>
          <w:rFonts w:ascii="Times New Roman" w:hAnsi="Times New Roman" w:cs="Times New Roman"/>
          <w:color w:val="222222"/>
        </w:rPr>
        <w:t>U</w:t>
      </w:r>
      <w:r w:rsidR="008C26D6">
        <w:rPr>
          <w:rFonts w:ascii="Times New Roman" w:hAnsi="Times New Roman" w:cs="Times New Roman"/>
          <w:color w:val="222222"/>
        </w:rPr>
        <w:t xml:space="preserve">.S. </w:t>
      </w:r>
      <w:r w:rsidR="0067676A" w:rsidRPr="0067676A">
        <w:rPr>
          <w:rFonts w:ascii="Times New Roman" w:hAnsi="Times New Roman" w:cs="Times New Roman"/>
          <w:color w:val="222222"/>
        </w:rPr>
        <w:t>EPA Method 6010B using an optical spectrometer (Optima 4300DV, PerkinElmer Inc., Shelton, CT</w:t>
      </w:r>
      <w:r w:rsidR="0067676A">
        <w:rPr>
          <w:rFonts w:ascii="Times New Roman" w:hAnsi="Times New Roman" w:cs="Times New Roman"/>
          <w:color w:val="222222"/>
        </w:rPr>
        <w:t xml:space="preserve">.  </w:t>
      </w:r>
      <w:r w:rsidR="005F0F00">
        <w:rPr>
          <w:rFonts w:ascii="Times New Roman" w:hAnsi="Times New Roman" w:cs="Times New Roman"/>
          <w:color w:val="222222"/>
        </w:rPr>
        <w:t>A soil sample was considered a lead hazard if lead levels exceeded the</w:t>
      </w:r>
      <w:r w:rsidR="00B5599E" w:rsidRPr="00F865AF">
        <w:rPr>
          <w:rFonts w:ascii="Times New Roman" w:hAnsi="Times New Roman" w:cs="Times New Roman"/>
          <w:color w:val="222222"/>
        </w:rPr>
        <w:t xml:space="preserve"> </w:t>
      </w:r>
      <w:r w:rsidR="002F7BE9">
        <w:rPr>
          <w:rFonts w:ascii="Times New Roman" w:hAnsi="Times New Roman" w:cs="Times New Roman"/>
          <w:color w:val="222222"/>
        </w:rPr>
        <w:t xml:space="preserve">Maine Department of Environmental Protection (DEP) </w:t>
      </w:r>
      <w:r w:rsidR="00B5599E" w:rsidRPr="00F865AF">
        <w:rPr>
          <w:rFonts w:ascii="Times New Roman" w:hAnsi="Times New Roman" w:cs="Times New Roman"/>
          <w:color w:val="222222"/>
        </w:rPr>
        <w:t>standards for soil (play area: 375 ppm, building perimeter: 1000 ppm) samples</w:t>
      </w:r>
      <w:r w:rsidR="00875836">
        <w:rPr>
          <w:rFonts w:ascii="Times New Roman" w:hAnsi="Times New Roman" w:cs="Times New Roman"/>
          <w:color w:val="222222"/>
        </w:rPr>
        <w:t xml:space="preserve"> </w:t>
      </w:r>
      <w:r w:rsidR="00875836" w:rsidRPr="0062452F">
        <w:rPr>
          <w:rFonts w:ascii="Times New Roman" w:hAnsi="Times New Roman" w:cs="Times New Roman"/>
          <w:color w:val="222222"/>
        </w:rPr>
        <w:t>(</w:t>
      </w:r>
      <w:r w:rsidR="0062452F" w:rsidRPr="0062452F">
        <w:rPr>
          <w:rFonts w:ascii="Times New Roman" w:hAnsi="Times New Roman" w:cs="Times New Roman"/>
          <w:color w:val="222222"/>
        </w:rPr>
        <w:t>Maine DEP 06</w:t>
      </w:r>
      <w:r w:rsidR="0062452F" w:rsidRPr="005F0F00">
        <w:rPr>
          <w:rFonts w:ascii="Times New Roman" w:hAnsi="Times New Roman" w:cs="Times New Roman"/>
          <w:color w:val="222222"/>
        </w:rPr>
        <w:t>-096 Chapter 424)</w:t>
      </w:r>
      <w:r w:rsidR="00B5599E" w:rsidRPr="005F0F00">
        <w:rPr>
          <w:rFonts w:ascii="Times New Roman" w:hAnsi="Times New Roman" w:cs="Times New Roman"/>
          <w:color w:val="222222"/>
        </w:rPr>
        <w:t>.</w:t>
      </w:r>
      <w:r w:rsidR="00163158" w:rsidRPr="005F0F00">
        <w:rPr>
          <w:rFonts w:ascii="Times New Roman" w:hAnsi="Times New Roman" w:cs="Times New Roman"/>
          <w:color w:val="222222"/>
        </w:rPr>
        <w:t xml:space="preserve"> </w:t>
      </w:r>
      <w:r w:rsidR="00875836" w:rsidRPr="005F0F00">
        <w:rPr>
          <w:rFonts w:ascii="Times New Roman" w:hAnsi="Times New Roman" w:cs="Times New Roman"/>
          <w:color w:val="222222"/>
        </w:rPr>
        <w:t xml:space="preserve">The state of Maine employs more stringent soil standards than </w:t>
      </w:r>
      <w:r w:rsidR="005F62C1" w:rsidRPr="005F0F00">
        <w:rPr>
          <w:rFonts w:ascii="Times New Roman" w:hAnsi="Times New Roman" w:cs="Times New Roman"/>
          <w:color w:val="222222"/>
        </w:rPr>
        <w:t xml:space="preserve">those </w:t>
      </w:r>
      <w:r w:rsidR="00875836" w:rsidRPr="005F0F00">
        <w:rPr>
          <w:rFonts w:ascii="Times New Roman" w:hAnsi="Times New Roman" w:cs="Times New Roman"/>
          <w:color w:val="222222"/>
        </w:rPr>
        <w:t>specified by EPA</w:t>
      </w:r>
      <w:r w:rsidR="00073D05" w:rsidRPr="005F0F00">
        <w:rPr>
          <w:rFonts w:ascii="Times New Roman" w:hAnsi="Times New Roman" w:cs="Times New Roman"/>
          <w:color w:val="222222"/>
        </w:rPr>
        <w:t xml:space="preserve"> (play area: 400 ppm, bare soil: 1200 ppm) (</w:t>
      </w:r>
      <w:r w:rsidR="005F62C1" w:rsidRPr="005F0F00">
        <w:rPr>
          <w:rFonts w:ascii="Times New Roman" w:hAnsi="Times New Roman" w:cs="Times New Roman"/>
          <w:color w:val="222222"/>
        </w:rPr>
        <w:t>40 C.F.R. §745.65).</w:t>
      </w:r>
      <w:r w:rsidR="005F0F00" w:rsidRPr="005F0F00">
        <w:rPr>
          <w:rFonts w:ascii="Times New Roman" w:hAnsi="Times New Roman" w:cs="Times New Roman"/>
          <w:color w:val="222222"/>
        </w:rPr>
        <w:t xml:space="preserve"> </w:t>
      </w:r>
      <w:r w:rsidR="005F0F00" w:rsidRPr="003C112C">
        <w:rPr>
          <w:rFonts w:ascii="Times New Roman" w:hAnsi="Times New Roman" w:cs="Times New Roman"/>
        </w:rPr>
        <w:t>We considered the home to have a</w:t>
      </w:r>
      <w:r w:rsidR="005F0F00" w:rsidRPr="003C112C">
        <w:rPr>
          <w:rFonts w:ascii="Times New Roman" w:hAnsi="Times New Roman" w:cs="Times New Roman"/>
          <w:color w:val="222222"/>
        </w:rPr>
        <w:t xml:space="preserve"> </w:t>
      </w:r>
      <w:r w:rsidR="005F0F00">
        <w:rPr>
          <w:rFonts w:ascii="Times New Roman" w:hAnsi="Times New Roman" w:cs="Times New Roman"/>
          <w:color w:val="222222"/>
        </w:rPr>
        <w:t>soil</w:t>
      </w:r>
      <w:r w:rsidR="005F0F00" w:rsidRPr="003C112C">
        <w:rPr>
          <w:rFonts w:ascii="Times New Roman" w:hAnsi="Times New Roman" w:cs="Times New Roman"/>
          <w:color w:val="222222"/>
        </w:rPr>
        <w:t xml:space="preserve"> hazard if the risk assessors determined at least one s</w:t>
      </w:r>
      <w:r w:rsidR="005F0F00">
        <w:rPr>
          <w:rFonts w:ascii="Times New Roman" w:hAnsi="Times New Roman" w:cs="Times New Roman"/>
          <w:color w:val="222222"/>
        </w:rPr>
        <w:t>ample</w:t>
      </w:r>
      <w:r w:rsidR="005F0F00" w:rsidRPr="003C112C">
        <w:rPr>
          <w:rFonts w:ascii="Times New Roman" w:hAnsi="Times New Roman" w:cs="Times New Roman"/>
          <w:color w:val="222222"/>
        </w:rPr>
        <w:t xml:space="preserve"> to be a </w:t>
      </w:r>
      <w:r w:rsidR="005F0F00">
        <w:rPr>
          <w:rFonts w:ascii="Times New Roman" w:hAnsi="Times New Roman" w:cs="Times New Roman"/>
          <w:color w:val="222222"/>
        </w:rPr>
        <w:t>soil</w:t>
      </w:r>
      <w:r w:rsidR="005F0F00" w:rsidRPr="003C112C">
        <w:rPr>
          <w:rFonts w:ascii="Times New Roman" w:hAnsi="Times New Roman" w:cs="Times New Roman"/>
          <w:color w:val="222222"/>
        </w:rPr>
        <w:t xml:space="preserve"> hazard.</w:t>
      </w:r>
    </w:p>
    <w:p w14:paraId="5E8413AC" w14:textId="0A108650" w:rsidR="00E87BF3" w:rsidRPr="003C112C" w:rsidRDefault="00D66C03" w:rsidP="00E87BF3">
      <w:pPr>
        <w:tabs>
          <w:tab w:val="left" w:pos="319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2.2. </w:t>
      </w:r>
      <w:r w:rsidR="00AD26AA">
        <w:rPr>
          <w:rFonts w:ascii="Times New Roman" w:hAnsi="Times New Roman" w:cs="Times New Roman"/>
          <w:b/>
        </w:rPr>
        <w:t>Results</w:t>
      </w:r>
    </w:p>
    <w:p w14:paraId="0BF38E38" w14:textId="77777777" w:rsidR="00F865AF" w:rsidRDefault="00F865AF" w:rsidP="00E87BF3">
      <w:pPr>
        <w:tabs>
          <w:tab w:val="left" w:pos="3198"/>
        </w:tabs>
        <w:rPr>
          <w:rFonts w:ascii="Times New Roman" w:hAnsi="Times New Roman" w:cs="Times New Roman"/>
        </w:rPr>
      </w:pPr>
    </w:p>
    <w:p w14:paraId="19A3C0EE" w14:textId="60607933" w:rsidR="008F1484" w:rsidRPr="008F1484" w:rsidRDefault="008F1484" w:rsidP="003C112C">
      <w:pPr>
        <w:tabs>
          <w:tab w:val="left" w:pos="3198"/>
        </w:tabs>
        <w:spacing w:after="2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Inspection </w:t>
      </w:r>
      <w:r w:rsidR="00AD26AA">
        <w:rPr>
          <w:rFonts w:ascii="Times New Roman" w:hAnsi="Times New Roman" w:cs="Times New Roman"/>
          <w:i/>
        </w:rPr>
        <w:t>characteristics</w:t>
      </w:r>
    </w:p>
    <w:p w14:paraId="3A2D21FC" w14:textId="12E58080" w:rsidR="00B5599E" w:rsidRPr="00F865AF" w:rsidRDefault="00AD26AA" w:rsidP="00B5599E">
      <w:pPr>
        <w:pStyle w:val="paragraph"/>
        <w:spacing w:before="0" w:beforeAutospacing="0" w:after="0" w:afterAutospacing="0" w:line="480" w:lineRule="auto"/>
        <w:ind w:firstLine="720"/>
        <w:jc w:val="both"/>
        <w:textAlignment w:val="baseline"/>
      </w:pPr>
      <w:r>
        <w:t>Risk a</w:t>
      </w:r>
      <w:r w:rsidR="00B5599E" w:rsidRPr="00F865AF">
        <w:t xml:space="preserve">ssessors obtained water samples in </w:t>
      </w:r>
      <w:r w:rsidR="00511A95">
        <w:t>82</w:t>
      </w:r>
      <w:r w:rsidR="00B5599E" w:rsidRPr="00F865AF">
        <w:t>% of homes</w:t>
      </w:r>
      <w:r>
        <w:t>, and of those,</w:t>
      </w:r>
      <w:r w:rsidR="00B5599E" w:rsidRPr="00F865AF">
        <w:t xml:space="preserve"> </w:t>
      </w:r>
      <w:r w:rsidR="00B5599E" w:rsidRPr="00756C2A">
        <w:t>99%</w:t>
      </w:r>
      <w:r w:rsidR="00B5599E" w:rsidRPr="00F865AF">
        <w:t xml:space="preserve"> had both</w:t>
      </w:r>
      <w:r>
        <w:t xml:space="preserve"> a “first-draw” and “</w:t>
      </w:r>
      <w:r w:rsidR="001E404D">
        <w:t>flushed water</w:t>
      </w:r>
      <w:r>
        <w:t>” sample</w:t>
      </w:r>
      <w:r w:rsidR="00B5599E" w:rsidRPr="00F865AF">
        <w:t xml:space="preserve">. </w:t>
      </w:r>
      <w:r>
        <w:t>Risk a</w:t>
      </w:r>
      <w:r w:rsidR="00B5599E" w:rsidRPr="00F865AF">
        <w:t>ssessors obtained soil samples in 41% of homes</w:t>
      </w:r>
      <w:r w:rsidR="00042BDD">
        <w:t xml:space="preserve"> (snow cover or frozen ground </w:t>
      </w:r>
      <w:r>
        <w:t>prohibited</w:t>
      </w:r>
      <w:r w:rsidR="00177873">
        <w:t xml:space="preserve"> soil </w:t>
      </w:r>
      <w:r w:rsidR="00042BDD">
        <w:t xml:space="preserve">sampling </w:t>
      </w:r>
      <w:r w:rsidR="00177873">
        <w:t>in a subset of homes</w:t>
      </w:r>
      <w:r w:rsidR="00042BDD">
        <w:t>)</w:t>
      </w:r>
      <w:r w:rsidR="00B5599E" w:rsidRPr="00F865AF">
        <w:t>. Of homes with soil samples, 6</w:t>
      </w:r>
      <w:r w:rsidR="00511A95">
        <w:t>3</w:t>
      </w:r>
      <w:r w:rsidR="00B5599E" w:rsidRPr="00F865AF">
        <w:t xml:space="preserve">% had perimeter samples, </w:t>
      </w:r>
      <w:r w:rsidR="003C112C">
        <w:t xml:space="preserve">and </w:t>
      </w:r>
      <w:r w:rsidR="00B5599E" w:rsidRPr="00F865AF">
        <w:t>6</w:t>
      </w:r>
      <w:r w:rsidR="00756C2A">
        <w:t>2</w:t>
      </w:r>
      <w:r w:rsidR="00B5599E" w:rsidRPr="00F865AF">
        <w:t xml:space="preserve">% had play area samples. </w:t>
      </w:r>
      <w:r w:rsidR="003C112C">
        <w:t>As compared to homes associated with BLLs of 10</w:t>
      </w:r>
      <w:r w:rsidR="003C112C" w:rsidRPr="003C112C">
        <w:t xml:space="preserve"> </w:t>
      </w:r>
      <w:r w:rsidR="003C112C" w:rsidRPr="008F66F5">
        <w:t>µ</w:t>
      </w:r>
      <w:r w:rsidR="003C112C" w:rsidRPr="008F66F5">
        <w:rPr>
          <w:bCs/>
        </w:rPr>
        <w:t>g/dL</w:t>
      </w:r>
      <w:r w:rsidR="003C112C">
        <w:rPr>
          <w:color w:val="222222"/>
        </w:rPr>
        <w:t xml:space="preserve"> and higher, risk </w:t>
      </w:r>
      <w:r>
        <w:rPr>
          <w:color w:val="222222"/>
        </w:rPr>
        <w:t>a</w:t>
      </w:r>
      <w:r w:rsidR="00B5599E" w:rsidRPr="00F865AF">
        <w:rPr>
          <w:color w:val="222222"/>
        </w:rPr>
        <w:t>ssessors tested water</w:t>
      </w:r>
      <w:r w:rsidR="00042BDD">
        <w:rPr>
          <w:color w:val="222222"/>
        </w:rPr>
        <w:t xml:space="preserve"> (</w:t>
      </w:r>
      <w:r w:rsidR="00756C2A">
        <w:rPr>
          <w:color w:val="222222"/>
        </w:rPr>
        <w:t>80</w:t>
      </w:r>
      <w:r w:rsidR="00042BDD" w:rsidRPr="00F865AF">
        <w:rPr>
          <w:color w:val="222222"/>
        </w:rPr>
        <w:t>% vs 8</w:t>
      </w:r>
      <w:r w:rsidR="00756C2A">
        <w:rPr>
          <w:color w:val="222222"/>
        </w:rPr>
        <w:t>9</w:t>
      </w:r>
      <w:r w:rsidR="00042BDD" w:rsidRPr="00F865AF">
        <w:rPr>
          <w:color w:val="222222"/>
        </w:rPr>
        <w:t>%</w:t>
      </w:r>
      <w:r w:rsidR="00042BDD">
        <w:rPr>
          <w:color w:val="222222"/>
        </w:rPr>
        <w:t xml:space="preserve">, </w:t>
      </w:r>
      <w:r w:rsidR="00042BDD" w:rsidRPr="00F865AF">
        <w:rPr>
          <w:color w:val="222222"/>
        </w:rPr>
        <w:t>p=0.</w:t>
      </w:r>
      <w:r w:rsidR="00756C2A">
        <w:rPr>
          <w:color w:val="222222"/>
        </w:rPr>
        <w:t>12</w:t>
      </w:r>
      <w:r w:rsidR="00042BDD">
        <w:rPr>
          <w:color w:val="222222"/>
        </w:rPr>
        <w:t>)</w:t>
      </w:r>
      <w:r w:rsidR="00B5599E" w:rsidRPr="00F865AF">
        <w:rPr>
          <w:color w:val="222222"/>
        </w:rPr>
        <w:t xml:space="preserve"> and soil </w:t>
      </w:r>
      <w:r w:rsidR="00042BDD">
        <w:rPr>
          <w:color w:val="222222"/>
        </w:rPr>
        <w:t>(</w:t>
      </w:r>
      <w:r w:rsidR="00B5599E" w:rsidRPr="00F865AF">
        <w:rPr>
          <w:color w:val="222222"/>
        </w:rPr>
        <w:t>41% vs. 4</w:t>
      </w:r>
      <w:r w:rsidR="00756C2A">
        <w:rPr>
          <w:color w:val="222222"/>
        </w:rPr>
        <w:t>3</w:t>
      </w:r>
      <w:r w:rsidR="00B5599E" w:rsidRPr="00F865AF">
        <w:rPr>
          <w:color w:val="222222"/>
        </w:rPr>
        <w:t>%</w:t>
      </w:r>
      <w:r w:rsidR="00042BDD">
        <w:rPr>
          <w:color w:val="222222"/>
        </w:rPr>
        <w:t xml:space="preserve">, </w:t>
      </w:r>
      <w:r w:rsidR="008366C0" w:rsidRPr="008366C0">
        <w:rPr>
          <w:color w:val="222222"/>
        </w:rPr>
        <w:t>p=0.</w:t>
      </w:r>
      <w:r w:rsidR="00756C2A">
        <w:rPr>
          <w:color w:val="222222"/>
        </w:rPr>
        <w:t>7</w:t>
      </w:r>
      <w:r w:rsidR="008366C0" w:rsidRPr="008366C0">
        <w:rPr>
          <w:color w:val="222222"/>
        </w:rPr>
        <w:t>3</w:t>
      </w:r>
      <w:r w:rsidR="00B5599E" w:rsidRPr="008366C0">
        <w:rPr>
          <w:color w:val="222222"/>
        </w:rPr>
        <w:t xml:space="preserve">) </w:t>
      </w:r>
      <w:r w:rsidR="003C112C">
        <w:rPr>
          <w:color w:val="222222"/>
        </w:rPr>
        <w:t>slightly less often for BLLs of 5-9</w:t>
      </w:r>
      <w:r w:rsidR="003C112C" w:rsidRPr="008F66F5">
        <w:t>µ</w:t>
      </w:r>
      <w:r w:rsidR="003C112C" w:rsidRPr="008F66F5">
        <w:rPr>
          <w:bCs/>
        </w:rPr>
        <w:t>g/dL</w:t>
      </w:r>
      <w:r w:rsidR="00B5599E" w:rsidRPr="00F865AF">
        <w:rPr>
          <w:color w:val="222222"/>
        </w:rPr>
        <w:t xml:space="preserve">. </w:t>
      </w:r>
    </w:p>
    <w:p w14:paraId="1B459469" w14:textId="051CA6A4" w:rsidR="008F1484" w:rsidRPr="008F1484" w:rsidRDefault="00AD26AA" w:rsidP="008F1484">
      <w:pPr>
        <w:spacing w:line="480" w:lineRule="auto"/>
        <w:rPr>
          <w:rFonts w:ascii="Times New Roman" w:hAnsi="Times New Roman" w:cs="Times New Roman"/>
          <w:i/>
          <w:color w:val="222222"/>
        </w:rPr>
      </w:pPr>
      <w:r>
        <w:rPr>
          <w:rFonts w:ascii="Times New Roman" w:hAnsi="Times New Roman" w:cs="Times New Roman"/>
          <w:i/>
          <w:color w:val="222222"/>
        </w:rPr>
        <w:t>Lead hazard characteristics</w:t>
      </w:r>
    </w:p>
    <w:p w14:paraId="575B3C50" w14:textId="74AAC3F3" w:rsidR="00B5599E" w:rsidRDefault="001E404D" w:rsidP="00B5599E">
      <w:pPr>
        <w:spacing w:line="480" w:lineRule="auto"/>
        <w:ind w:firstLine="720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Only</w:t>
      </w:r>
      <w:r w:rsidR="00B5599E" w:rsidRPr="00F865AF">
        <w:rPr>
          <w:rFonts w:ascii="Times New Roman" w:hAnsi="Times New Roman" w:cs="Times New Roman"/>
          <w:color w:val="222222"/>
        </w:rPr>
        <w:t xml:space="preserve"> 2% of children lived in homes with water </w:t>
      </w:r>
      <w:r w:rsidR="005F0F00">
        <w:rPr>
          <w:rFonts w:ascii="Times New Roman" w:hAnsi="Times New Roman" w:cs="Times New Roman"/>
          <w:color w:val="222222"/>
        </w:rPr>
        <w:t xml:space="preserve">hazards. </w:t>
      </w:r>
      <w:r w:rsidR="00B5599E" w:rsidRPr="00F865AF">
        <w:rPr>
          <w:rFonts w:ascii="Times New Roman" w:hAnsi="Times New Roman" w:cs="Times New Roman"/>
        </w:rPr>
        <w:t>We</w:t>
      </w:r>
      <w:r w:rsidR="00B5599E" w:rsidRPr="00F865AF">
        <w:rPr>
          <w:rFonts w:ascii="Times New Roman" w:hAnsi="Times New Roman" w:cs="Times New Roman"/>
          <w:color w:val="222222"/>
        </w:rPr>
        <w:t xml:space="preserve"> found </w:t>
      </w:r>
      <w:r w:rsidR="00B5599E" w:rsidRPr="00F865AF">
        <w:rPr>
          <w:rFonts w:ascii="Times New Roman" w:hAnsi="Times New Roman" w:cs="Times New Roman"/>
        </w:rPr>
        <w:t xml:space="preserve">no difference in lead levels in the first-draw water sample or flushed water sample between BLL groups </w:t>
      </w:r>
      <w:r w:rsidR="00B5599E" w:rsidRPr="00F865AF">
        <w:rPr>
          <w:rFonts w:ascii="Times New Roman" w:hAnsi="Times New Roman" w:cs="Times New Roman"/>
          <w:color w:val="222222"/>
        </w:rPr>
        <w:t xml:space="preserve">(Supplemental Table </w:t>
      </w:r>
      <w:r w:rsidR="00CE6791">
        <w:rPr>
          <w:rFonts w:ascii="Times New Roman" w:hAnsi="Times New Roman" w:cs="Times New Roman"/>
          <w:color w:val="222222"/>
        </w:rPr>
        <w:t>2</w:t>
      </w:r>
      <w:r w:rsidR="00B5599E" w:rsidRPr="00F865AF">
        <w:rPr>
          <w:rFonts w:ascii="Times New Roman" w:hAnsi="Times New Roman" w:cs="Times New Roman"/>
          <w:color w:val="222222"/>
        </w:rPr>
        <w:t>), and water lead levels were not correlated with BLLs (Spearman’s r = -0.00</w:t>
      </w:r>
      <w:r w:rsidR="00CE6791">
        <w:rPr>
          <w:rFonts w:ascii="Times New Roman" w:hAnsi="Times New Roman" w:cs="Times New Roman"/>
          <w:color w:val="222222"/>
        </w:rPr>
        <w:t>97</w:t>
      </w:r>
      <w:r w:rsidR="00B5599E" w:rsidRPr="00F865AF">
        <w:rPr>
          <w:rFonts w:ascii="Times New Roman" w:hAnsi="Times New Roman" w:cs="Times New Roman"/>
          <w:color w:val="222222"/>
        </w:rPr>
        <w:t xml:space="preserve"> for first-draw water sample and 0.02 for flushed water sample). </w:t>
      </w:r>
    </w:p>
    <w:p w14:paraId="4048777E" w14:textId="369D238A" w:rsidR="009D63A3" w:rsidRDefault="00B5599E" w:rsidP="009D63A3">
      <w:pPr>
        <w:spacing w:line="480" w:lineRule="auto"/>
        <w:ind w:firstLine="720"/>
        <w:rPr>
          <w:rFonts w:ascii="Times New Roman" w:hAnsi="Times New Roman" w:cs="Times New Roman"/>
        </w:rPr>
      </w:pPr>
      <w:r w:rsidRPr="00F865AF">
        <w:rPr>
          <w:rFonts w:ascii="Times New Roman" w:hAnsi="Times New Roman" w:cs="Times New Roman"/>
        </w:rPr>
        <w:t xml:space="preserve"> </w:t>
      </w:r>
      <w:r w:rsidR="00CE6791">
        <w:rPr>
          <w:rFonts w:ascii="Times New Roman" w:hAnsi="Times New Roman" w:cs="Times New Roman"/>
        </w:rPr>
        <w:t>Thirty</w:t>
      </w:r>
      <w:r w:rsidR="005F0F00">
        <w:rPr>
          <w:rFonts w:ascii="Times New Roman" w:hAnsi="Times New Roman" w:cs="Times New Roman"/>
        </w:rPr>
        <w:t>-</w:t>
      </w:r>
      <w:r w:rsidR="00CE6791">
        <w:rPr>
          <w:rFonts w:ascii="Times New Roman" w:hAnsi="Times New Roman" w:cs="Times New Roman"/>
        </w:rPr>
        <w:t>four</w:t>
      </w:r>
      <w:r w:rsidR="005F0F00">
        <w:rPr>
          <w:rFonts w:ascii="Times New Roman" w:hAnsi="Times New Roman" w:cs="Times New Roman"/>
        </w:rPr>
        <w:t xml:space="preserve"> percent</w:t>
      </w:r>
      <w:r w:rsidRPr="00F865AF">
        <w:rPr>
          <w:rFonts w:ascii="Times New Roman" w:hAnsi="Times New Roman" w:cs="Times New Roman"/>
        </w:rPr>
        <w:t xml:space="preserve"> of </w:t>
      </w:r>
      <w:r w:rsidR="005F0F00">
        <w:rPr>
          <w:rFonts w:ascii="Times New Roman" w:hAnsi="Times New Roman" w:cs="Times New Roman"/>
        </w:rPr>
        <w:t xml:space="preserve">homes with soil samples had a </w:t>
      </w:r>
      <w:r w:rsidRPr="00F865AF">
        <w:rPr>
          <w:rFonts w:ascii="Times New Roman" w:hAnsi="Times New Roman" w:cs="Times New Roman"/>
        </w:rPr>
        <w:t xml:space="preserve">perimeter </w:t>
      </w:r>
      <w:r w:rsidR="005F0F00">
        <w:rPr>
          <w:rFonts w:ascii="Times New Roman" w:hAnsi="Times New Roman" w:cs="Times New Roman"/>
        </w:rPr>
        <w:t xml:space="preserve">soil hazard </w:t>
      </w:r>
      <w:r w:rsidRPr="00F865AF">
        <w:rPr>
          <w:rFonts w:ascii="Times New Roman" w:hAnsi="Times New Roman" w:cs="Times New Roman"/>
        </w:rPr>
        <w:t xml:space="preserve">and </w:t>
      </w:r>
      <w:r w:rsidR="00CE6791">
        <w:rPr>
          <w:rFonts w:ascii="Times New Roman" w:hAnsi="Times New Roman" w:cs="Times New Roman"/>
        </w:rPr>
        <w:t>13</w:t>
      </w:r>
      <w:r w:rsidRPr="00F865AF">
        <w:rPr>
          <w:rFonts w:ascii="Times New Roman" w:hAnsi="Times New Roman" w:cs="Times New Roman"/>
        </w:rPr>
        <w:t xml:space="preserve">% </w:t>
      </w:r>
      <w:r w:rsidR="005F0F00">
        <w:rPr>
          <w:rFonts w:ascii="Times New Roman" w:hAnsi="Times New Roman" w:cs="Times New Roman"/>
        </w:rPr>
        <w:t>had a play area soil hazard</w:t>
      </w:r>
      <w:r w:rsidRPr="00F865AF">
        <w:rPr>
          <w:rFonts w:ascii="Times New Roman" w:hAnsi="Times New Roman" w:cs="Times New Roman"/>
        </w:rPr>
        <w:t xml:space="preserve">. </w:t>
      </w:r>
      <w:r w:rsidR="00177873">
        <w:rPr>
          <w:rFonts w:ascii="Times New Roman" w:hAnsi="Times New Roman" w:cs="Times New Roman"/>
          <w:color w:val="222222"/>
        </w:rPr>
        <w:t xml:space="preserve">Children </w:t>
      </w:r>
      <w:r w:rsidR="00827916">
        <w:rPr>
          <w:rFonts w:ascii="Times New Roman" w:hAnsi="Times New Roman" w:cs="Times New Roman"/>
          <w:color w:val="222222"/>
        </w:rPr>
        <w:t>with BLLs of 5-9</w:t>
      </w:r>
      <w:r w:rsidR="00827916" w:rsidRPr="008F66F5">
        <w:rPr>
          <w:rFonts w:ascii="Times New Roman" w:hAnsi="Times New Roman" w:cs="Times New Roman"/>
        </w:rPr>
        <w:t>µ</w:t>
      </w:r>
      <w:r w:rsidR="00827916" w:rsidRPr="008F66F5">
        <w:rPr>
          <w:rFonts w:ascii="Times New Roman" w:hAnsi="Times New Roman" w:cs="Times New Roman"/>
          <w:bCs/>
        </w:rPr>
        <w:t>g/dL</w:t>
      </w:r>
      <w:r w:rsidR="00177873">
        <w:rPr>
          <w:rFonts w:ascii="Times New Roman" w:hAnsi="Times New Roman" w:cs="Times New Roman"/>
          <w:bCs/>
        </w:rPr>
        <w:t xml:space="preserve">, </w:t>
      </w:r>
      <w:r w:rsidR="00177873">
        <w:rPr>
          <w:rFonts w:ascii="Times New Roman" w:hAnsi="Times New Roman" w:cs="Times New Roman"/>
          <w:color w:val="222222"/>
        </w:rPr>
        <w:t xml:space="preserve">as compared to children with BLLs </w:t>
      </w:r>
      <w:r w:rsidR="00177873">
        <w:rPr>
          <w:rFonts w:ascii="Times New Roman" w:hAnsi="Times New Roman" w:cs="Times New Roman"/>
          <w:color w:val="222222"/>
        </w:rPr>
        <w:lastRenderedPageBreak/>
        <w:t>≥10</w:t>
      </w:r>
      <w:r w:rsidR="00177873" w:rsidRPr="008F66F5">
        <w:rPr>
          <w:rFonts w:ascii="Times New Roman" w:hAnsi="Times New Roman" w:cs="Times New Roman"/>
        </w:rPr>
        <w:t>µ</w:t>
      </w:r>
      <w:r w:rsidR="00177873" w:rsidRPr="008F66F5">
        <w:rPr>
          <w:rFonts w:ascii="Times New Roman" w:hAnsi="Times New Roman" w:cs="Times New Roman"/>
          <w:bCs/>
        </w:rPr>
        <w:t>g/dL</w:t>
      </w:r>
      <w:r w:rsidR="00177873">
        <w:rPr>
          <w:rFonts w:ascii="Times New Roman" w:hAnsi="Times New Roman" w:cs="Times New Roman"/>
          <w:color w:val="222222"/>
        </w:rPr>
        <w:t>,</w:t>
      </w:r>
      <w:r w:rsidR="00827916">
        <w:rPr>
          <w:rFonts w:ascii="Times New Roman" w:hAnsi="Times New Roman" w:cs="Times New Roman"/>
          <w:color w:val="222222"/>
        </w:rPr>
        <w:t xml:space="preserve"> lived </w:t>
      </w:r>
      <w:r w:rsidR="00827916" w:rsidRPr="008F66F5">
        <w:rPr>
          <w:rFonts w:ascii="Times New Roman" w:hAnsi="Times New Roman" w:cs="Times New Roman"/>
          <w:color w:val="222222"/>
        </w:rPr>
        <w:t xml:space="preserve">in </w:t>
      </w:r>
      <w:r w:rsidR="00827916">
        <w:rPr>
          <w:rFonts w:ascii="Times New Roman" w:hAnsi="Times New Roman" w:cs="Times New Roman"/>
          <w:color w:val="222222"/>
        </w:rPr>
        <w:t>homes</w:t>
      </w:r>
      <w:r w:rsidR="00827916" w:rsidRPr="00F865AF" w:rsidDel="00042BDD">
        <w:rPr>
          <w:rFonts w:ascii="Times New Roman" w:hAnsi="Times New Roman" w:cs="Times New Roman"/>
        </w:rPr>
        <w:t xml:space="preserve"> </w:t>
      </w:r>
      <w:r w:rsidR="006B055D">
        <w:rPr>
          <w:rFonts w:ascii="Times New Roman" w:hAnsi="Times New Roman" w:cs="Times New Roman"/>
        </w:rPr>
        <w:t>less likely to have play area soil above the Maine DEP standard (16% vs. 38%, p=0.04)</w:t>
      </w:r>
      <w:r w:rsidR="005B17C2">
        <w:rPr>
          <w:rFonts w:ascii="Times New Roman" w:hAnsi="Times New Roman" w:cs="Times New Roman"/>
        </w:rPr>
        <w:t>.  Play area s</w:t>
      </w:r>
      <w:r w:rsidR="005B17C2" w:rsidRPr="00F865AF">
        <w:rPr>
          <w:rFonts w:ascii="Times New Roman" w:hAnsi="Times New Roman" w:cs="Times New Roman"/>
        </w:rPr>
        <w:t xml:space="preserve">oil lead levels were </w:t>
      </w:r>
      <w:r w:rsidR="005B17C2">
        <w:rPr>
          <w:rFonts w:ascii="Times New Roman" w:hAnsi="Times New Roman" w:cs="Times New Roman"/>
        </w:rPr>
        <w:t xml:space="preserve">not </w:t>
      </w:r>
      <w:r w:rsidR="005B17C2" w:rsidRPr="00F865AF">
        <w:rPr>
          <w:rFonts w:ascii="Times New Roman" w:hAnsi="Times New Roman" w:cs="Times New Roman"/>
        </w:rPr>
        <w:t>correlated with child BLL (</w:t>
      </w:r>
      <w:r w:rsidR="005B17C2">
        <w:rPr>
          <w:rFonts w:ascii="Times New Roman" w:hAnsi="Times New Roman" w:cs="Times New Roman"/>
        </w:rPr>
        <w:t xml:space="preserve">Spearman’s </w:t>
      </w:r>
      <w:r w:rsidR="005B17C2" w:rsidRPr="00F865AF">
        <w:rPr>
          <w:rFonts w:ascii="Times New Roman" w:hAnsi="Times New Roman" w:cs="Times New Roman"/>
        </w:rPr>
        <w:t>r</w:t>
      </w:r>
      <w:r w:rsidR="005B17C2">
        <w:rPr>
          <w:rFonts w:ascii="Times New Roman" w:hAnsi="Times New Roman" w:cs="Times New Roman"/>
        </w:rPr>
        <w:t xml:space="preserve"> = 0.13, p=0.22).  </w:t>
      </w:r>
      <w:r w:rsidR="006B055D">
        <w:rPr>
          <w:rFonts w:ascii="Times New Roman" w:hAnsi="Times New Roman" w:cs="Times New Roman"/>
        </w:rPr>
        <w:t xml:space="preserve"> Perimeter soil lead levels did not differ by BLL (Supplemental Table 2).  </w:t>
      </w:r>
    </w:p>
    <w:p w14:paraId="7EB8A12D" w14:textId="1D176BEC" w:rsidR="00D66C03" w:rsidRDefault="00D66C03" w:rsidP="00D66C03">
      <w:pPr>
        <w:pStyle w:val="ListParagraph"/>
        <w:numPr>
          <w:ilvl w:val="0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Evaluation of Pre- and Post-Abatement Blood Lead Levels</w:t>
      </w:r>
    </w:p>
    <w:p w14:paraId="269408DD" w14:textId="31F3DEA7" w:rsidR="00D66C03" w:rsidRDefault="00D66C03" w:rsidP="00D66C03">
      <w:pPr>
        <w:pStyle w:val="ListParagraph"/>
        <w:numPr>
          <w:ilvl w:val="1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Methods</w:t>
      </w:r>
    </w:p>
    <w:p w14:paraId="5FD63D2B" w14:textId="37CC9691" w:rsidR="00D66C03" w:rsidRPr="00D66C03" w:rsidRDefault="00D66C03" w:rsidP="00D66C03">
      <w:pPr>
        <w:spacing w:line="480" w:lineRule="auto"/>
        <w:rPr>
          <w:rFonts w:ascii="Times New Roman" w:hAnsi="Times New Roman" w:cs="Times New Roman"/>
        </w:rPr>
      </w:pPr>
      <w:r w:rsidRPr="00D66C03">
        <w:rPr>
          <w:rFonts w:ascii="Times New Roman" w:hAnsi="Times New Roman" w:cs="Times New Roman"/>
        </w:rPr>
        <w:t xml:space="preserve">The analysis was restricted to include children who: had a follow-up venous blood test 1-6 months post-abatement; lived in a rental home; and, were confirmed to live in the same dwelling pre- and post- abatement. If a child had more than one follow-up </w:t>
      </w:r>
      <w:r>
        <w:rPr>
          <w:rFonts w:ascii="Times New Roman" w:hAnsi="Times New Roman" w:cs="Times New Roman"/>
        </w:rPr>
        <w:t>BLL</w:t>
      </w:r>
      <w:r w:rsidRPr="00D66C03">
        <w:rPr>
          <w:rFonts w:ascii="Times New Roman" w:hAnsi="Times New Roman" w:cs="Times New Roman"/>
        </w:rPr>
        <w:t xml:space="preserve"> test between 1-6 months post-abatement, the most recent test was used for the analysis. </w:t>
      </w:r>
      <w:r>
        <w:rPr>
          <w:rFonts w:ascii="Times New Roman" w:hAnsi="Times New Roman" w:cs="Times New Roman"/>
        </w:rPr>
        <w:t>The State of Maine Health and Environmental Testing Laboratory provided the actual blood lead values for all results initially reported as less than the laboratory reporting limit of 3</w:t>
      </w:r>
      <w:r w:rsidRPr="008F66F5">
        <w:rPr>
          <w:rFonts w:ascii="Times New Roman" w:hAnsi="Times New Roman" w:cs="Times New Roman"/>
        </w:rPr>
        <w:t>µ</w:t>
      </w:r>
      <w:r>
        <w:rPr>
          <w:rFonts w:ascii="Times New Roman" w:hAnsi="Times New Roman" w:cs="Times New Roman"/>
          <w:bCs/>
        </w:rPr>
        <w:t xml:space="preserve">g/dL.  Percent difference was computed as the </w:t>
      </w:r>
      <w:r w:rsidR="001F06AD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(vBLL</w:t>
      </w:r>
      <w:r>
        <w:rPr>
          <w:rFonts w:ascii="Times New Roman" w:hAnsi="Times New Roman" w:cs="Times New Roman"/>
          <w:bCs/>
          <w:vertAlign w:val="subscript"/>
        </w:rPr>
        <w:t>post-abate</w:t>
      </w:r>
      <w:r>
        <w:rPr>
          <w:rFonts w:ascii="Times New Roman" w:hAnsi="Times New Roman" w:cs="Times New Roman"/>
          <w:bCs/>
        </w:rPr>
        <w:t xml:space="preserve"> – vBLL</w:t>
      </w:r>
      <w:r>
        <w:rPr>
          <w:rFonts w:ascii="Times New Roman" w:hAnsi="Times New Roman" w:cs="Times New Roman"/>
          <w:bCs/>
          <w:vertAlign w:val="subscript"/>
        </w:rPr>
        <w:t>pre-abate</w:t>
      </w:r>
      <w:r w:rsidR="001F06AD">
        <w:rPr>
          <w:rFonts w:ascii="Times New Roman" w:hAnsi="Times New Roman" w:cs="Times New Roman"/>
          <w:bCs/>
        </w:rPr>
        <w:t>) / vBLL</w:t>
      </w:r>
      <w:r w:rsidR="001F06AD">
        <w:rPr>
          <w:rFonts w:ascii="Times New Roman" w:hAnsi="Times New Roman" w:cs="Times New Roman"/>
          <w:bCs/>
          <w:vertAlign w:val="subscript"/>
        </w:rPr>
        <w:t>pre-abate</w:t>
      </w:r>
      <w:r w:rsidR="001F06AD">
        <w:rPr>
          <w:rFonts w:ascii="Times New Roman" w:hAnsi="Times New Roman" w:cs="Times New Roman"/>
          <w:bCs/>
        </w:rPr>
        <w:t xml:space="preserve">] × 100.   </w:t>
      </w:r>
      <w:r>
        <w:rPr>
          <w:rFonts w:ascii="Times New Roman" w:hAnsi="Times New Roman" w:cs="Times New Roman"/>
          <w:bCs/>
        </w:rPr>
        <w:t xml:space="preserve"> </w:t>
      </w:r>
    </w:p>
    <w:p w14:paraId="5711523E" w14:textId="4B687FBE" w:rsidR="001F06AD" w:rsidRPr="001F06AD" w:rsidRDefault="00D66C03" w:rsidP="00B423D1">
      <w:pPr>
        <w:pStyle w:val="ListParagraph"/>
        <w:numPr>
          <w:ilvl w:val="1"/>
          <w:numId w:val="1"/>
        </w:numPr>
        <w:tabs>
          <w:tab w:val="left" w:pos="3198"/>
        </w:tabs>
        <w:spacing w:line="480" w:lineRule="auto"/>
        <w:rPr>
          <w:rFonts w:ascii="Times New Roman" w:hAnsi="Times New Roman" w:cs="Times New Roman"/>
          <w:b/>
        </w:rPr>
      </w:pPr>
      <w:r w:rsidRPr="001F06AD">
        <w:rPr>
          <w:rFonts w:ascii="Times New Roman" w:hAnsi="Times New Roman" w:cs="Times New Roman"/>
          <w:b/>
        </w:rPr>
        <w:t xml:space="preserve"> Results</w:t>
      </w:r>
    </w:p>
    <w:p w14:paraId="45355741" w14:textId="0B1FCB6B" w:rsidR="009D63A3" w:rsidRDefault="001F06AD" w:rsidP="001F06AD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Thirty-two children met the criteria for inclusion in the exploratory analysis.  </w:t>
      </w:r>
      <w:r w:rsidRPr="001F06AD">
        <w:rPr>
          <w:rFonts w:ascii="Times New Roman" w:hAnsi="Times New Roman" w:cs="Times New Roman"/>
        </w:rPr>
        <w:t>On average, a post-abatement BLL was obtained 2.8 months after the abatement</w:t>
      </w:r>
      <w:r w:rsidR="00DC13C8">
        <w:rPr>
          <w:rFonts w:ascii="Times New Roman" w:hAnsi="Times New Roman" w:cs="Times New Roman"/>
        </w:rPr>
        <w:t xml:space="preserve"> and was, on average, 37% lower than the pre-abatement BLL.</w:t>
      </w:r>
      <w:r w:rsidRPr="001F06AD">
        <w:rPr>
          <w:rFonts w:ascii="Times New Roman" w:hAnsi="Times New Roman" w:cs="Times New Roman"/>
        </w:rPr>
        <w:t xml:space="preserve">  </w:t>
      </w:r>
      <w:r w:rsidR="00DC13C8">
        <w:rPr>
          <w:rFonts w:ascii="Times New Roman" w:hAnsi="Times New Roman" w:cs="Times New Roman"/>
        </w:rPr>
        <w:t>O</w:t>
      </w:r>
      <w:r w:rsidR="004822EC">
        <w:rPr>
          <w:rFonts w:ascii="Times New Roman" w:hAnsi="Times New Roman" w:cs="Times New Roman"/>
        </w:rPr>
        <w:t xml:space="preserve">nly </w:t>
      </w:r>
      <w:r w:rsidRPr="001F06AD">
        <w:rPr>
          <w:rFonts w:ascii="Times New Roman" w:hAnsi="Times New Roman" w:cs="Times New Roman"/>
        </w:rPr>
        <w:t xml:space="preserve">one </w:t>
      </w:r>
      <w:r w:rsidR="00DC13C8">
        <w:rPr>
          <w:rFonts w:ascii="Times New Roman" w:hAnsi="Times New Roman" w:cs="Times New Roman"/>
        </w:rPr>
        <w:t xml:space="preserve">child </w:t>
      </w:r>
      <w:r w:rsidRPr="001F06AD">
        <w:rPr>
          <w:rFonts w:ascii="Times New Roman" w:hAnsi="Times New Roman" w:cs="Times New Roman"/>
        </w:rPr>
        <w:t xml:space="preserve">had a BLL that increased </w:t>
      </w:r>
      <w:r w:rsidR="004822EC">
        <w:rPr>
          <w:rFonts w:ascii="Times New Roman" w:hAnsi="Times New Roman" w:cs="Times New Roman"/>
        </w:rPr>
        <w:t>(</w:t>
      </w:r>
      <w:r w:rsidRPr="001F06AD">
        <w:rPr>
          <w:rFonts w:ascii="Times New Roman" w:hAnsi="Times New Roman" w:cs="Times New Roman"/>
        </w:rPr>
        <w:t>3 ug/dL</w:t>
      </w:r>
      <w:r w:rsidR="004822EC">
        <w:rPr>
          <w:rFonts w:ascii="Times New Roman" w:hAnsi="Times New Roman" w:cs="Times New Roman"/>
        </w:rPr>
        <w:t>)</w:t>
      </w:r>
      <w:r w:rsidRPr="001F06AD">
        <w:rPr>
          <w:rFonts w:ascii="Times New Roman" w:hAnsi="Times New Roman" w:cs="Times New Roman"/>
        </w:rPr>
        <w:t xml:space="preserve"> post-abatement</w:t>
      </w:r>
      <w:r w:rsidR="004822EC">
        <w:rPr>
          <w:rFonts w:ascii="Times New Roman" w:hAnsi="Times New Roman" w:cs="Times New Roman"/>
        </w:rPr>
        <w:t xml:space="preserve">.  Four </w:t>
      </w:r>
      <w:r w:rsidR="00DC13C8">
        <w:rPr>
          <w:rFonts w:ascii="Times New Roman" w:hAnsi="Times New Roman" w:cs="Times New Roman"/>
        </w:rPr>
        <w:t xml:space="preserve">children </w:t>
      </w:r>
      <w:r w:rsidR="004822EC">
        <w:rPr>
          <w:rFonts w:ascii="Times New Roman" w:hAnsi="Times New Roman" w:cs="Times New Roman"/>
        </w:rPr>
        <w:t>(1</w:t>
      </w:r>
      <w:r w:rsidR="00DC13C8">
        <w:rPr>
          <w:rFonts w:ascii="Times New Roman" w:hAnsi="Times New Roman" w:cs="Times New Roman"/>
        </w:rPr>
        <w:t>3</w:t>
      </w:r>
      <w:r w:rsidR="004822EC">
        <w:rPr>
          <w:rFonts w:ascii="Times New Roman" w:hAnsi="Times New Roman" w:cs="Times New Roman"/>
        </w:rPr>
        <w:t xml:space="preserve">%) had no change in BLL; all others </w:t>
      </w:r>
      <w:r w:rsidR="00DC13C8">
        <w:rPr>
          <w:rFonts w:ascii="Times New Roman" w:hAnsi="Times New Roman" w:cs="Times New Roman"/>
        </w:rPr>
        <w:t xml:space="preserve">(84%) had a </w:t>
      </w:r>
      <w:r w:rsidR="004822EC">
        <w:rPr>
          <w:rFonts w:ascii="Times New Roman" w:hAnsi="Times New Roman" w:cs="Times New Roman"/>
        </w:rPr>
        <w:t xml:space="preserve">decrease </w:t>
      </w:r>
      <w:r w:rsidR="00DC13C8">
        <w:rPr>
          <w:rFonts w:ascii="Times New Roman" w:hAnsi="Times New Roman" w:cs="Times New Roman"/>
        </w:rPr>
        <w:t>in BLL</w:t>
      </w:r>
      <w:r w:rsidR="002F046B">
        <w:rPr>
          <w:rFonts w:ascii="Times New Roman" w:hAnsi="Times New Roman" w:cs="Times New Roman"/>
        </w:rPr>
        <w:t xml:space="preserve"> </w:t>
      </w:r>
      <w:r w:rsidR="004822EC">
        <w:rPr>
          <w:rFonts w:ascii="Times New Roman" w:hAnsi="Times New Roman" w:cs="Times New Roman"/>
        </w:rPr>
        <w:t xml:space="preserve">with an average reduction of 46%.  Supplemental Figure 1 presents a scatter plot of percent difference in pre- </w:t>
      </w:r>
      <w:r w:rsidR="00DC13C8">
        <w:rPr>
          <w:rFonts w:ascii="Times New Roman" w:hAnsi="Times New Roman" w:cs="Times New Roman"/>
        </w:rPr>
        <w:t xml:space="preserve">versus </w:t>
      </w:r>
      <w:r w:rsidR="004822EC">
        <w:rPr>
          <w:rFonts w:ascii="Times New Roman" w:hAnsi="Times New Roman" w:cs="Times New Roman"/>
        </w:rPr>
        <w:t xml:space="preserve">post-abatement BLL </w:t>
      </w:r>
      <w:r w:rsidR="00DC13C8">
        <w:rPr>
          <w:rFonts w:ascii="Times New Roman" w:hAnsi="Times New Roman" w:cs="Times New Roman"/>
        </w:rPr>
        <w:t xml:space="preserve">by </w:t>
      </w:r>
      <w:r w:rsidR="004822EC">
        <w:rPr>
          <w:rFonts w:ascii="Times New Roman" w:hAnsi="Times New Roman" w:cs="Times New Roman"/>
        </w:rPr>
        <w:t xml:space="preserve">pre-abatement BLL. </w:t>
      </w:r>
      <w:r w:rsidR="009D63A3">
        <w:rPr>
          <w:rFonts w:ascii="Times New Roman" w:hAnsi="Times New Roman" w:cs="Times New Roman"/>
        </w:rPr>
        <w:br w:type="page"/>
      </w:r>
    </w:p>
    <w:p w14:paraId="548849E2" w14:textId="77777777" w:rsidR="009D63A3" w:rsidRDefault="009D63A3" w:rsidP="009D63A3">
      <w:pPr>
        <w:suppressLineNumbers/>
        <w:rPr>
          <w:rFonts w:ascii="Times New Roman" w:hAnsi="Times New Roman" w:cs="Times New Roman"/>
        </w:rPr>
      </w:pPr>
    </w:p>
    <w:p w14:paraId="0B87481C" w14:textId="77777777" w:rsidR="009D63A3" w:rsidRPr="000905D0" w:rsidRDefault="009D63A3" w:rsidP="009D63A3">
      <w:pPr>
        <w:suppressLineNumbers/>
        <w:ind w:hanging="630"/>
        <w:rPr>
          <w:rFonts w:ascii="Arial" w:hAnsi="Arial" w:cs="Arial"/>
          <w:sz w:val="22"/>
          <w:szCs w:val="22"/>
        </w:rPr>
      </w:pPr>
    </w:p>
    <w:p w14:paraId="5FE607F4" w14:textId="77777777" w:rsidR="009D63A3" w:rsidRDefault="009D63A3" w:rsidP="009D63A3">
      <w:pPr>
        <w:suppressLineNumbers/>
        <w:tabs>
          <w:tab w:val="left" w:pos="3198"/>
        </w:tabs>
        <w:rPr>
          <w:rFonts w:ascii="Times New Roman" w:hAnsi="Times New Roman" w:cs="Times New Roman"/>
        </w:rPr>
      </w:pPr>
    </w:p>
    <w:p w14:paraId="16CBF4CF" w14:textId="77777777" w:rsidR="009D63A3" w:rsidRDefault="009D63A3" w:rsidP="009D63A3">
      <w:pPr>
        <w:suppressLineNumbers/>
        <w:tabs>
          <w:tab w:val="left" w:pos="3198"/>
        </w:tabs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Supplemental </w:t>
      </w:r>
      <w:r w:rsidRPr="000905D0">
        <w:rPr>
          <w:rFonts w:ascii="Arial" w:hAnsi="Arial" w:cs="Arial"/>
          <w:sz w:val="22"/>
          <w:szCs w:val="22"/>
        </w:rPr>
        <w:t xml:space="preserve">Table 1. Child and housing characteristics </w:t>
      </w:r>
      <w:r>
        <w:rPr>
          <w:rFonts w:ascii="Arial" w:hAnsi="Arial" w:cs="Arial"/>
          <w:sz w:val="22"/>
          <w:szCs w:val="22"/>
        </w:rPr>
        <w:t>for cases included</w:t>
      </w:r>
      <w:r>
        <w:rPr>
          <w:rFonts w:ascii="Arial" w:hAnsi="Arial" w:cs="Arial"/>
          <w:sz w:val="22"/>
          <w:szCs w:val="22"/>
          <w:vertAlign w:val="superscript"/>
        </w:rPr>
        <w:t>a</w:t>
      </w:r>
      <w:r>
        <w:rPr>
          <w:rFonts w:ascii="Arial" w:hAnsi="Arial" w:cs="Arial"/>
          <w:sz w:val="22"/>
          <w:szCs w:val="22"/>
        </w:rPr>
        <w:t xml:space="preserve"> versus those excluded</w:t>
      </w:r>
      <w:r>
        <w:rPr>
          <w:rFonts w:ascii="Arial" w:hAnsi="Arial" w:cs="Arial"/>
          <w:sz w:val="22"/>
          <w:szCs w:val="22"/>
          <w:vertAlign w:val="superscript"/>
        </w:rPr>
        <w:t>b</w:t>
      </w:r>
      <w:r>
        <w:rPr>
          <w:rFonts w:ascii="Arial" w:hAnsi="Arial" w:cs="Arial"/>
          <w:sz w:val="22"/>
          <w:szCs w:val="22"/>
        </w:rPr>
        <w:t xml:space="preserve"> from analysis</w:t>
      </w:r>
    </w:p>
    <w:tbl>
      <w:tblPr>
        <w:tblW w:w="8722" w:type="dxa"/>
        <w:tblLook w:val="04A0" w:firstRow="1" w:lastRow="0" w:firstColumn="1" w:lastColumn="0" w:noHBand="0" w:noVBand="1"/>
      </w:tblPr>
      <w:tblGrid>
        <w:gridCol w:w="5065"/>
        <w:gridCol w:w="1723"/>
        <w:gridCol w:w="1934"/>
      </w:tblGrid>
      <w:tr w:rsidR="009D63A3" w:rsidRPr="000905D0" w14:paraId="05D4A2E0" w14:textId="77777777" w:rsidTr="009777F8">
        <w:trPr>
          <w:trHeight w:val="261"/>
        </w:trPr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6285" w14:textId="77777777" w:rsidR="009D63A3" w:rsidRPr="000905D0" w:rsidRDefault="009D63A3" w:rsidP="009D63A3">
            <w:pPr>
              <w:suppressLineNumber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606E" w14:textId="77777777" w:rsidR="009D63A3" w:rsidRPr="000905D0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Cases included in analysis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4D2E" w14:textId="77777777" w:rsidR="009D63A3" w:rsidRPr="000905D0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Cases excluded from analysis</w:t>
            </w:r>
          </w:p>
        </w:tc>
      </w:tr>
      <w:tr w:rsidR="009D63A3" w:rsidRPr="0060242A" w14:paraId="438FB1F8" w14:textId="77777777" w:rsidTr="009777F8">
        <w:trPr>
          <w:trHeight w:val="320"/>
        </w:trPr>
        <w:tc>
          <w:tcPr>
            <w:tcW w:w="5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197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499C2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8163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n=1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9D63A3" w:rsidRPr="0060242A" w14:paraId="55E7BA3C" w14:textId="77777777" w:rsidTr="009777F8">
        <w:trPr>
          <w:trHeight w:val="261"/>
        </w:trPr>
        <w:tc>
          <w:tcPr>
            <w:tcW w:w="5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4C6F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03A42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0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60242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(IQR) or %</w:t>
            </w:r>
          </w:p>
        </w:tc>
      </w:tr>
      <w:tr w:rsidR="009D63A3" w:rsidRPr="0060242A" w14:paraId="0CDFC50F" w14:textId="77777777" w:rsidTr="009777F8">
        <w:trPr>
          <w:trHeight w:val="298"/>
        </w:trPr>
        <w:tc>
          <w:tcPr>
            <w:tcW w:w="50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E07BD8" w14:textId="77777777" w:rsidR="009D63A3" w:rsidRPr="005A53BF" w:rsidRDefault="009D63A3" w:rsidP="009D63A3">
            <w:pPr>
              <w:suppressLineNumber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53BF">
              <w:rPr>
                <w:rFonts w:ascii="Arial" w:hAnsi="Arial" w:cs="Arial"/>
                <w:b/>
                <w:sz w:val="20"/>
                <w:szCs w:val="20"/>
              </w:rPr>
              <w:t>Child characteristics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FBE475" w14:textId="77777777" w:rsidR="009D63A3" w:rsidRPr="0060242A" w:rsidRDefault="009D63A3" w:rsidP="009D63A3">
            <w:pPr>
              <w:suppressLineNumber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D785848" w14:textId="77777777" w:rsidR="009D63A3" w:rsidRPr="0060242A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3A3" w:rsidRPr="005A53BF" w14:paraId="35A5591C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79082" w14:textId="77777777" w:rsidR="009D63A3" w:rsidRPr="005A53BF" w:rsidRDefault="009D63A3" w:rsidP="009D63A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lead level (</w:t>
            </w:r>
            <w:r w:rsidRPr="000905D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µg/dL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FD70A" w14:textId="77777777" w:rsidR="009D63A3" w:rsidRPr="00193716" w:rsidRDefault="009D63A3" w:rsidP="009D63A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6(4)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3998BD" w14:textId="77777777" w:rsidR="009D63A3" w:rsidRPr="00193716" w:rsidRDefault="009D63A3" w:rsidP="009D63A3">
            <w:pPr>
              <w:suppressLineNumber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6(3)</w:t>
            </w:r>
          </w:p>
        </w:tc>
      </w:tr>
      <w:tr w:rsidR="009D63A3" w:rsidRPr="005A53BF" w14:paraId="584AFB1C" w14:textId="77777777" w:rsidTr="009777F8">
        <w:trPr>
          <w:trHeight w:val="287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867D5" w14:textId="77777777" w:rsidR="009D63A3" w:rsidRPr="005A53BF" w:rsidRDefault="009D63A3" w:rsidP="009D63A3">
            <w:pPr>
              <w:suppressLineNumber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53BF">
              <w:rPr>
                <w:rFonts w:ascii="Arial" w:hAnsi="Arial" w:cs="Arial"/>
                <w:sz w:val="20"/>
                <w:szCs w:val="20"/>
              </w:rPr>
              <w:t>Age (years)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9415FF" w14:textId="77777777" w:rsidR="009D63A3" w:rsidRPr="00193716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1.4(1.1</w:t>
            </w:r>
            <w:r w:rsidRPr="001937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1C9347" w14:textId="77777777" w:rsidR="009D63A3" w:rsidRPr="00193716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2.3(1.8</w:t>
            </w:r>
            <w:r w:rsidRPr="0019371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D63A3" w:rsidRPr="005A53BF" w14:paraId="347ED7EF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045CD" w14:textId="77777777" w:rsidR="009D63A3" w:rsidRDefault="009D63A3" w:rsidP="009D63A3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5A53BF">
              <w:rPr>
                <w:rFonts w:ascii="Arial" w:hAnsi="Arial" w:cs="Arial"/>
                <w:sz w:val="20"/>
                <w:szCs w:val="20"/>
              </w:rPr>
              <w:t xml:space="preserve">Medicaid </w:t>
            </w:r>
            <w:r>
              <w:rPr>
                <w:rFonts w:ascii="Arial" w:hAnsi="Arial" w:cs="Arial"/>
                <w:sz w:val="20"/>
                <w:szCs w:val="20"/>
              </w:rPr>
              <w:t>insurance</w:t>
            </w:r>
            <w:r w:rsidRPr="005A53BF">
              <w:rPr>
                <w:rFonts w:ascii="Arial" w:hAnsi="Arial" w:cs="Arial"/>
                <w:sz w:val="20"/>
                <w:szCs w:val="20"/>
              </w:rPr>
              <w:t xml:space="preserve"> (%)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2A123" w14:textId="77777777" w:rsidR="009D63A3" w:rsidRPr="00F446AF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AC713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CA97C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</w:tr>
      <w:tr w:rsidR="009D63A3" w:rsidRPr="005A53BF" w14:paraId="08F79B44" w14:textId="77777777" w:rsidTr="009777F8">
        <w:trPr>
          <w:trHeight w:val="233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EB628" w14:textId="77777777" w:rsidR="009D63A3" w:rsidRDefault="009D63A3" w:rsidP="009D63A3">
            <w:pPr>
              <w:suppressLineNumbers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0ED732" w14:textId="77777777" w:rsidR="009D63A3" w:rsidRDefault="009D63A3" w:rsidP="009D63A3">
            <w:pPr>
              <w:suppressLineNumber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Housing characteristics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A1FB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ED197D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3A3" w:rsidRPr="005A53BF" w14:paraId="525DCB26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C44CA" w14:textId="77777777" w:rsidR="009D63A3" w:rsidRPr="00687EDC" w:rsidRDefault="009D63A3" w:rsidP="009D63A3">
            <w:pPr>
              <w:suppressLineNumber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Home owned</w:t>
            </w: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(vs. rented) </w:t>
            </w: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(%)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7BEFD" w14:textId="77777777" w:rsidR="009D63A3" w:rsidRPr="00687EDC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6E64C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9D63A3" w:rsidRPr="005A53BF" w14:paraId="71222EFA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474CF7" w14:textId="77777777" w:rsidR="009D63A3" w:rsidRPr="00687EDC" w:rsidRDefault="009D63A3" w:rsidP="009D63A3">
            <w:pPr>
              <w:suppressLineNumbers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Age of home</w:t>
            </w: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60899B" w14:textId="77777777" w:rsidR="009D63A3" w:rsidRPr="00687EDC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BCC1C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3A3" w:rsidRPr="005A53BF" w14:paraId="5BE4D55A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120BC" w14:textId="77777777" w:rsidR="009D63A3" w:rsidRPr="00687EDC" w:rsidRDefault="009D63A3" w:rsidP="009D63A3">
            <w:pPr>
              <w:suppressLineNumbers/>
              <w:ind w:firstLine="34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Pre 1950</w:t>
            </w:r>
          </w:p>
        </w:tc>
        <w:tc>
          <w:tcPr>
            <w:tcW w:w="17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1A622" w14:textId="77777777" w:rsidR="009D63A3" w:rsidRPr="00687EDC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F5E64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9D63A3" w:rsidRPr="005A53BF" w14:paraId="012A918A" w14:textId="77777777" w:rsidTr="009777F8">
        <w:trPr>
          <w:trHeight w:val="261"/>
        </w:trPr>
        <w:tc>
          <w:tcPr>
            <w:tcW w:w="50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4D9D248" w14:textId="77777777" w:rsidR="009D63A3" w:rsidRPr="00687EDC" w:rsidRDefault="009D63A3" w:rsidP="009D63A3">
            <w:pPr>
              <w:suppressLineNumbers/>
              <w:ind w:firstLine="34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1950-1978</w:t>
            </w:r>
          </w:p>
        </w:tc>
        <w:tc>
          <w:tcPr>
            <w:tcW w:w="172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3650645" w14:textId="77777777" w:rsidR="009D63A3" w:rsidRPr="00687EDC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5AE777C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9D63A3" w:rsidRPr="005A53BF" w14:paraId="4BE9B750" w14:textId="77777777" w:rsidTr="009777F8">
        <w:trPr>
          <w:trHeight w:val="261"/>
        </w:trPr>
        <w:tc>
          <w:tcPr>
            <w:tcW w:w="50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1E052B" w14:textId="77777777" w:rsidR="009D63A3" w:rsidRPr="00687EDC" w:rsidRDefault="009D63A3" w:rsidP="009D63A3">
            <w:pPr>
              <w:suppressLineNumbers/>
              <w:ind w:firstLine="345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687ED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Post 1978</w:t>
            </w:r>
          </w:p>
        </w:tc>
        <w:tc>
          <w:tcPr>
            <w:tcW w:w="17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918A3" w14:textId="77777777" w:rsidR="009D63A3" w:rsidRPr="00687EDC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F31E9A" w14:textId="77777777" w:rsidR="009D63A3" w:rsidRPr="009A3225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</w:tbl>
    <w:p w14:paraId="602A48D5" w14:textId="77777777" w:rsidR="009D63A3" w:rsidRDefault="009D63A3" w:rsidP="009D63A3">
      <w:pPr>
        <w:suppressLineNumbers/>
        <w:tabs>
          <w:tab w:val="left" w:pos="3198"/>
        </w:tabs>
        <w:rPr>
          <w:rFonts w:ascii="Times New Roman" w:hAnsi="Times New Roman" w:cs="Times New Roman"/>
        </w:rPr>
      </w:pPr>
    </w:p>
    <w:p w14:paraId="51390C3D" w14:textId="77777777" w:rsidR="009D63A3" w:rsidRDefault="009D63A3" w:rsidP="009D63A3">
      <w:pPr>
        <w:suppressLineNumbers/>
        <w:ind w:left="720" w:hanging="540"/>
        <w:rPr>
          <w:rFonts w:ascii="Arial" w:eastAsia="Cambria" w:hAnsi="Arial" w:cs="Arial"/>
          <w:color w:val="000000"/>
          <w:sz w:val="20"/>
          <w:szCs w:val="20"/>
        </w:rPr>
      </w:pPr>
      <w:r w:rsidRPr="00110B36">
        <w:rPr>
          <w:rFonts w:ascii="Arial" w:eastAsia="Cambria" w:hAnsi="Arial" w:cs="Arial"/>
          <w:color w:val="000000"/>
          <w:sz w:val="20"/>
          <w:szCs w:val="20"/>
        </w:rPr>
        <w:t>Abbreviation: BLL: blood lead level</w:t>
      </w:r>
      <w:r>
        <w:rPr>
          <w:rFonts w:ascii="Arial" w:eastAsia="Cambria" w:hAnsi="Arial" w:cs="Arial"/>
          <w:color w:val="000000"/>
          <w:sz w:val="20"/>
          <w:szCs w:val="20"/>
        </w:rPr>
        <w:t xml:space="preserve">. </w:t>
      </w:r>
    </w:p>
    <w:p w14:paraId="1497597A" w14:textId="77777777" w:rsidR="009D63A3" w:rsidRDefault="009D63A3" w:rsidP="009D63A3">
      <w:pPr>
        <w:suppressLineNumbers/>
        <w:ind w:left="720" w:hanging="540"/>
        <w:rPr>
          <w:rFonts w:ascii="Arial" w:hAnsi="Arial" w:cs="Arial"/>
          <w:sz w:val="20"/>
          <w:szCs w:val="20"/>
        </w:rPr>
      </w:pPr>
      <w:r w:rsidRPr="00110B36">
        <w:rPr>
          <w:rFonts w:ascii="Arial" w:hAnsi="Arial" w:cs="Arial"/>
          <w:sz w:val="20"/>
          <w:szCs w:val="20"/>
        </w:rPr>
        <w:t>Due to rounding, percentages may not sum to 100.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506495" w14:textId="77777777" w:rsidR="009D63A3" w:rsidRDefault="009D63A3" w:rsidP="009D63A3">
      <w:pPr>
        <w:suppressLineNumbers/>
        <w:ind w:left="72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*Significant at a p-value of 0.0001</w:t>
      </w:r>
    </w:p>
    <w:p w14:paraId="602F51A3" w14:textId="77777777" w:rsidR="009D63A3" w:rsidRDefault="009D63A3" w:rsidP="009D63A3">
      <w:pPr>
        <w:suppressLineNumbers/>
        <w:ind w:left="180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Missing data for participants included in analysis (n=351): </w:t>
      </w:r>
      <w:r>
        <w:rPr>
          <w:rFonts w:ascii="Arial" w:eastAsia="Cambria" w:hAnsi="Arial" w:cs="Arial"/>
          <w:color w:val="000000"/>
          <w:sz w:val="20"/>
          <w:szCs w:val="20"/>
        </w:rPr>
        <w:t>3</w:t>
      </w:r>
      <w:r w:rsidRPr="00110B36">
        <w:rPr>
          <w:rFonts w:ascii="Arial" w:eastAsia="Cambria" w:hAnsi="Arial" w:cs="Arial"/>
          <w:color w:val="000000"/>
          <w:sz w:val="20"/>
          <w:szCs w:val="20"/>
        </w:rPr>
        <w:t xml:space="preserve"> partici</w:t>
      </w:r>
      <w:r>
        <w:rPr>
          <w:rFonts w:ascii="Arial" w:eastAsia="Cambria" w:hAnsi="Arial" w:cs="Arial"/>
          <w:color w:val="000000"/>
          <w:sz w:val="20"/>
          <w:szCs w:val="20"/>
        </w:rPr>
        <w:t xml:space="preserve">pants missing Medicaid status, 3 housing status, and 50 </w:t>
      </w:r>
      <w:r w:rsidRPr="00110B36">
        <w:rPr>
          <w:rFonts w:ascii="Arial" w:eastAsia="Cambria" w:hAnsi="Arial" w:cs="Arial"/>
          <w:color w:val="000000"/>
          <w:sz w:val="20"/>
          <w:szCs w:val="20"/>
        </w:rPr>
        <w:t>house year</w:t>
      </w:r>
      <w:r>
        <w:rPr>
          <w:rFonts w:ascii="Arial" w:eastAsia="Cambria" w:hAnsi="Arial" w:cs="Arial"/>
          <w:color w:val="000000"/>
          <w:sz w:val="20"/>
          <w:szCs w:val="20"/>
        </w:rPr>
        <w:t>.</w:t>
      </w:r>
    </w:p>
    <w:p w14:paraId="125BCC2F" w14:textId="77777777" w:rsidR="009D63A3" w:rsidRDefault="009D63A3" w:rsidP="009D63A3">
      <w:pPr>
        <w:suppressLineNumbers/>
        <w:ind w:left="180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Missing data for participants included in analysis (n=131): </w:t>
      </w:r>
      <w:r>
        <w:rPr>
          <w:rFonts w:ascii="Arial" w:eastAsia="Cambria" w:hAnsi="Arial" w:cs="Arial"/>
          <w:color w:val="000000"/>
          <w:sz w:val="20"/>
          <w:szCs w:val="20"/>
        </w:rPr>
        <w:t>2</w:t>
      </w:r>
      <w:r w:rsidRPr="00110B36">
        <w:rPr>
          <w:rFonts w:ascii="Arial" w:eastAsia="Cambria" w:hAnsi="Arial" w:cs="Arial"/>
          <w:color w:val="000000"/>
          <w:sz w:val="20"/>
          <w:szCs w:val="20"/>
        </w:rPr>
        <w:t xml:space="preserve"> partici</w:t>
      </w:r>
      <w:r>
        <w:rPr>
          <w:rFonts w:ascii="Arial" w:eastAsia="Cambria" w:hAnsi="Arial" w:cs="Arial"/>
          <w:color w:val="000000"/>
          <w:sz w:val="20"/>
          <w:szCs w:val="20"/>
        </w:rPr>
        <w:t>pants missing Medicaid status, 4</w:t>
      </w:r>
      <w:r w:rsidRPr="00110B36">
        <w:rPr>
          <w:rFonts w:ascii="Arial" w:eastAsia="Cambria" w:hAnsi="Arial" w:cs="Arial"/>
          <w:color w:val="000000"/>
          <w:sz w:val="20"/>
          <w:szCs w:val="20"/>
        </w:rPr>
        <w:t xml:space="preserve"> housing status and </w:t>
      </w:r>
      <w:r>
        <w:rPr>
          <w:rFonts w:ascii="Arial" w:eastAsia="Cambria" w:hAnsi="Arial" w:cs="Arial"/>
          <w:color w:val="000000"/>
          <w:sz w:val="20"/>
          <w:szCs w:val="20"/>
        </w:rPr>
        <w:t xml:space="preserve">31 </w:t>
      </w:r>
      <w:r w:rsidRPr="00110B36">
        <w:rPr>
          <w:rFonts w:ascii="Arial" w:eastAsia="Cambria" w:hAnsi="Arial" w:cs="Arial"/>
          <w:color w:val="000000"/>
          <w:sz w:val="20"/>
          <w:szCs w:val="20"/>
        </w:rPr>
        <w:t>house year</w:t>
      </w:r>
      <w:r>
        <w:rPr>
          <w:rFonts w:ascii="Arial" w:eastAsia="Cambria" w:hAnsi="Arial" w:cs="Arial"/>
          <w:color w:val="000000"/>
          <w:sz w:val="20"/>
          <w:szCs w:val="20"/>
        </w:rPr>
        <w:t>.</w:t>
      </w:r>
    </w:p>
    <w:p w14:paraId="66B4E51D" w14:textId="77777777" w:rsidR="009D63A3" w:rsidRPr="007E7EE2" w:rsidRDefault="009D63A3" w:rsidP="009D63A3">
      <w:pPr>
        <w:suppressLineNumbers/>
        <w:ind w:left="180"/>
        <w:rPr>
          <w:rFonts w:ascii="Arial" w:eastAsia="Cambria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and housing characteristics in Table 1 where a majority of data (&gt;50%) was missing for excluded cases were not included in this table.</w:t>
      </w:r>
    </w:p>
    <w:p w14:paraId="44C672A9" w14:textId="77777777" w:rsidR="009D63A3" w:rsidRPr="00303C44" w:rsidRDefault="009D63A3" w:rsidP="009D63A3">
      <w:pPr>
        <w:suppressLineNumbers/>
        <w:ind w:left="180"/>
        <w:rPr>
          <w:rFonts w:ascii="Arial" w:hAnsi="Arial" w:cs="Arial"/>
          <w:sz w:val="20"/>
          <w:szCs w:val="20"/>
        </w:rPr>
      </w:pPr>
    </w:p>
    <w:p w14:paraId="0C29912B" w14:textId="77777777" w:rsidR="009D63A3" w:rsidRPr="007E7EE2" w:rsidRDefault="009D63A3" w:rsidP="009D63A3">
      <w:pPr>
        <w:suppressLineNumbers/>
        <w:ind w:left="720" w:hanging="540"/>
        <w:rPr>
          <w:rFonts w:ascii="Arial" w:hAnsi="Arial" w:cs="Arial"/>
          <w:sz w:val="20"/>
          <w:szCs w:val="20"/>
        </w:rPr>
      </w:pPr>
    </w:p>
    <w:p w14:paraId="07460358" w14:textId="6E9BCC38" w:rsidR="009D63A3" w:rsidRDefault="009D63A3" w:rsidP="009D63A3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2DEE29" w14:textId="77777777" w:rsidR="009D63A3" w:rsidRDefault="009D63A3" w:rsidP="009D63A3">
      <w:pPr>
        <w:suppressLineNumbers/>
        <w:rPr>
          <w:rFonts w:ascii="Arial" w:eastAsia="Cambria" w:hAnsi="Arial" w:cs="Arial"/>
          <w:color w:val="000000"/>
          <w:sz w:val="22"/>
          <w:szCs w:val="22"/>
        </w:rPr>
      </w:pPr>
      <w:r>
        <w:rPr>
          <w:rFonts w:ascii="Arial" w:eastAsia="Cambria" w:hAnsi="Arial" w:cs="Arial"/>
          <w:color w:val="000000"/>
          <w:sz w:val="22"/>
          <w:szCs w:val="22"/>
        </w:rPr>
        <w:lastRenderedPageBreak/>
        <w:t>Supplemental Table 2. Results of soil and water lead sampling overall and by BLL for all cases</w:t>
      </w:r>
      <w:r>
        <w:rPr>
          <w:rFonts w:ascii="Arial" w:eastAsia="Cambria" w:hAnsi="Arial" w:cs="Arial"/>
          <w:color w:val="000000"/>
          <w:sz w:val="22"/>
          <w:szCs w:val="22"/>
          <w:vertAlign w:val="superscript"/>
        </w:rPr>
        <w:t>a</w:t>
      </w:r>
    </w:p>
    <w:p w14:paraId="76166A04" w14:textId="1E8222B4" w:rsidR="009D63A3" w:rsidRDefault="009D63A3" w:rsidP="009D63A3">
      <w:pPr>
        <w:suppressLineNumbers/>
        <w:tabs>
          <w:tab w:val="left" w:pos="3198"/>
        </w:tabs>
        <w:rPr>
          <w:rFonts w:ascii="Times New Roman" w:hAnsi="Times New Roman" w:cs="Times New Roman"/>
        </w:rPr>
      </w:pP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5145"/>
        <w:gridCol w:w="90"/>
        <w:gridCol w:w="180"/>
        <w:gridCol w:w="1260"/>
        <w:gridCol w:w="1260"/>
        <w:gridCol w:w="1380"/>
      </w:tblGrid>
      <w:tr w:rsidR="009D63A3" w14:paraId="5CC16969" w14:textId="77777777" w:rsidTr="009777F8">
        <w:trPr>
          <w:trHeight w:val="208"/>
        </w:trPr>
        <w:tc>
          <w:tcPr>
            <w:tcW w:w="51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4EE1476" w14:textId="77777777" w:rsidR="009D63A3" w:rsidRDefault="009D63A3" w:rsidP="009D63A3">
            <w:pPr>
              <w:suppressLineNumbers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3DA31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F267625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Overall</w:t>
            </w:r>
          </w:p>
          <w:p w14:paraId="618F5C4E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53D507A2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BLL</w:t>
            </w:r>
          </w:p>
          <w:p w14:paraId="2E92AFE3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to 9 µg/dL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4C726FBB" w14:textId="36FAE276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BLL</w:t>
            </w:r>
          </w:p>
          <w:p w14:paraId="5D3531B9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≥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µg/dL</w:t>
            </w:r>
          </w:p>
        </w:tc>
      </w:tr>
      <w:tr w:rsidR="009D63A3" w14:paraId="7073D3B7" w14:textId="77777777" w:rsidTr="009777F8">
        <w:trPr>
          <w:trHeight w:val="281"/>
        </w:trPr>
        <w:tc>
          <w:tcPr>
            <w:tcW w:w="5148" w:type="dxa"/>
            <w:noWrap/>
            <w:hideMark/>
          </w:tcPr>
          <w:p w14:paraId="02F5CDDF" w14:textId="77777777" w:rsidR="009D63A3" w:rsidRDefault="009D63A3" w:rsidP="009D63A3">
            <w:pPr>
              <w:suppressLineNumbers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AE786A1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n=351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F24A530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n=272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BE1CCA0" w14:textId="46386D6A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n=79</w:t>
            </w:r>
          </w:p>
        </w:tc>
      </w:tr>
      <w:tr w:rsidR="009D63A3" w14:paraId="1D1FA6DB" w14:textId="77777777" w:rsidTr="009777F8">
        <w:trPr>
          <w:trHeight w:val="325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68DF929" w14:textId="77777777" w:rsidR="009D63A3" w:rsidRDefault="009D63A3" w:rsidP="009D63A3">
            <w:pPr>
              <w:suppressLineNumbers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9C601B" w14:textId="126DB081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 (IQR) or %</w:t>
            </w:r>
          </w:p>
        </w:tc>
      </w:tr>
      <w:tr w:rsidR="009D63A3" w14:paraId="69926D23" w14:textId="77777777" w:rsidTr="00905A23">
        <w:trPr>
          <w:trHeight w:val="395"/>
        </w:trPr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22845892" w14:textId="02D58FF2" w:rsidR="009D63A3" w:rsidRPr="00905A23" w:rsidRDefault="009D63A3" w:rsidP="00905A23">
            <w:pPr>
              <w:suppressLineNumbers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Water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04925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E830482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350B091" w14:textId="7715D992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3A3" w14:paraId="0C680867" w14:textId="77777777" w:rsidTr="009777F8">
        <w:trPr>
          <w:trHeight w:val="208"/>
        </w:trPr>
        <w:tc>
          <w:tcPr>
            <w:tcW w:w="5418" w:type="dxa"/>
            <w:gridSpan w:val="3"/>
            <w:noWrap/>
            <w:hideMark/>
          </w:tcPr>
          <w:p w14:paraId="3171B5FA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draw (ppm)</w:t>
            </w:r>
          </w:p>
        </w:tc>
        <w:tc>
          <w:tcPr>
            <w:tcW w:w="1260" w:type="dxa"/>
            <w:hideMark/>
          </w:tcPr>
          <w:p w14:paraId="725EFEA0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0.3(1.1)</w:t>
            </w:r>
          </w:p>
        </w:tc>
        <w:tc>
          <w:tcPr>
            <w:tcW w:w="1260" w:type="dxa"/>
            <w:noWrap/>
            <w:hideMark/>
          </w:tcPr>
          <w:p w14:paraId="415B32EA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0.3(1.1)</w:t>
            </w:r>
          </w:p>
        </w:tc>
        <w:tc>
          <w:tcPr>
            <w:tcW w:w="1381" w:type="dxa"/>
            <w:noWrap/>
            <w:hideMark/>
          </w:tcPr>
          <w:p w14:paraId="62BD1F56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0.4(1.1)</w:t>
            </w:r>
          </w:p>
        </w:tc>
      </w:tr>
      <w:tr w:rsidR="009D63A3" w14:paraId="01507711" w14:textId="77777777" w:rsidTr="009777F8">
        <w:trPr>
          <w:trHeight w:val="176"/>
        </w:trPr>
        <w:tc>
          <w:tcPr>
            <w:tcW w:w="5418" w:type="dxa"/>
            <w:gridSpan w:val="3"/>
            <w:noWrap/>
            <w:hideMark/>
          </w:tcPr>
          <w:p w14:paraId="0E1708F3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Flushed draw (ppm)</w:t>
            </w:r>
          </w:p>
        </w:tc>
        <w:tc>
          <w:tcPr>
            <w:tcW w:w="1260" w:type="dxa"/>
            <w:hideMark/>
          </w:tcPr>
          <w:p w14:paraId="24BF083A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0.3(0)</w:t>
            </w:r>
          </w:p>
        </w:tc>
        <w:tc>
          <w:tcPr>
            <w:tcW w:w="1260" w:type="dxa"/>
            <w:noWrap/>
            <w:hideMark/>
          </w:tcPr>
          <w:p w14:paraId="4FAB6A84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0.3(0)</w:t>
            </w:r>
          </w:p>
        </w:tc>
        <w:tc>
          <w:tcPr>
            <w:tcW w:w="1381" w:type="dxa"/>
            <w:noWrap/>
            <w:hideMark/>
          </w:tcPr>
          <w:p w14:paraId="7E2234CC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0.3(0)</w:t>
            </w:r>
          </w:p>
        </w:tc>
      </w:tr>
      <w:tr w:rsidR="009D63A3" w14:paraId="5FF59FA7" w14:textId="77777777" w:rsidTr="009777F8">
        <w:trPr>
          <w:trHeight w:val="262"/>
        </w:trPr>
        <w:tc>
          <w:tcPr>
            <w:tcW w:w="5418" w:type="dxa"/>
            <w:gridSpan w:val="3"/>
            <w:noWrap/>
            <w:hideMark/>
          </w:tcPr>
          <w:p w14:paraId="06F46B85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draw exceeding EPA action level (15 ppm)</w:t>
            </w:r>
          </w:p>
        </w:tc>
        <w:tc>
          <w:tcPr>
            <w:tcW w:w="1260" w:type="dxa"/>
            <w:hideMark/>
          </w:tcPr>
          <w:p w14:paraId="69CD8476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noWrap/>
            <w:hideMark/>
          </w:tcPr>
          <w:p w14:paraId="0C5FA296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81" w:type="dxa"/>
            <w:noWrap/>
            <w:hideMark/>
          </w:tcPr>
          <w:p w14:paraId="4BED0C17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9D63A3" w14:paraId="500601D9" w14:textId="77777777" w:rsidTr="009777F8">
        <w:trPr>
          <w:trHeight w:val="308"/>
        </w:trPr>
        <w:tc>
          <w:tcPr>
            <w:tcW w:w="5418" w:type="dxa"/>
            <w:gridSpan w:val="3"/>
            <w:noWrap/>
            <w:hideMark/>
          </w:tcPr>
          <w:p w14:paraId="6CFAA694" w14:textId="77777777" w:rsidR="009D63A3" w:rsidRDefault="009D63A3" w:rsidP="009D63A3">
            <w:pPr>
              <w:suppressLineNumbers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Soil </w:t>
            </w:r>
          </w:p>
        </w:tc>
        <w:tc>
          <w:tcPr>
            <w:tcW w:w="1260" w:type="dxa"/>
          </w:tcPr>
          <w:p w14:paraId="66D55E98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29ADD8A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noWrap/>
          </w:tcPr>
          <w:p w14:paraId="2A31B553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3A3" w14:paraId="58EEC791" w14:textId="77777777" w:rsidTr="009777F8">
        <w:trPr>
          <w:trHeight w:val="247"/>
        </w:trPr>
        <w:tc>
          <w:tcPr>
            <w:tcW w:w="5418" w:type="dxa"/>
            <w:gridSpan w:val="3"/>
            <w:noWrap/>
            <w:hideMark/>
          </w:tcPr>
          <w:p w14:paraId="1181D3BA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area average (ppm)</w:t>
            </w:r>
          </w:p>
        </w:tc>
        <w:tc>
          <w:tcPr>
            <w:tcW w:w="1260" w:type="dxa"/>
            <w:hideMark/>
          </w:tcPr>
          <w:p w14:paraId="3CA43DA5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98(294)</w:t>
            </w:r>
          </w:p>
        </w:tc>
        <w:tc>
          <w:tcPr>
            <w:tcW w:w="1260" w:type="dxa"/>
            <w:noWrap/>
            <w:hideMark/>
          </w:tcPr>
          <w:p w14:paraId="03DDA9D4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81(223)</w:t>
            </w:r>
          </w:p>
        </w:tc>
        <w:tc>
          <w:tcPr>
            <w:tcW w:w="1381" w:type="dxa"/>
            <w:noWrap/>
            <w:hideMark/>
          </w:tcPr>
          <w:p w14:paraId="69C8D70C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128(609)</w:t>
            </w:r>
          </w:p>
        </w:tc>
      </w:tr>
      <w:tr w:rsidR="009D63A3" w14:paraId="55E47C44" w14:textId="77777777" w:rsidTr="009777F8">
        <w:trPr>
          <w:trHeight w:val="159"/>
        </w:trPr>
        <w:tc>
          <w:tcPr>
            <w:tcW w:w="5418" w:type="dxa"/>
            <w:gridSpan w:val="3"/>
            <w:noWrap/>
            <w:hideMark/>
          </w:tcPr>
          <w:p w14:paraId="5B6AE835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Dripline average (ppm)</w:t>
            </w:r>
          </w:p>
        </w:tc>
        <w:tc>
          <w:tcPr>
            <w:tcW w:w="1260" w:type="dxa"/>
            <w:hideMark/>
          </w:tcPr>
          <w:p w14:paraId="2F5B0DA0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1200(2360)</w:t>
            </w:r>
          </w:p>
        </w:tc>
        <w:tc>
          <w:tcPr>
            <w:tcW w:w="1260" w:type="dxa"/>
            <w:noWrap/>
            <w:hideMark/>
          </w:tcPr>
          <w:p w14:paraId="53267AD5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1200(2367)</w:t>
            </w:r>
          </w:p>
        </w:tc>
        <w:tc>
          <w:tcPr>
            <w:tcW w:w="1381" w:type="dxa"/>
            <w:noWrap/>
            <w:hideMark/>
          </w:tcPr>
          <w:p w14:paraId="064310B4" w14:textId="4E50DEEA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2184(3043)</w:t>
            </w:r>
          </w:p>
        </w:tc>
      </w:tr>
      <w:tr w:rsidR="009D63A3" w14:paraId="27487F47" w14:textId="77777777" w:rsidTr="009777F8">
        <w:trPr>
          <w:trHeight w:val="211"/>
        </w:trPr>
        <w:tc>
          <w:tcPr>
            <w:tcW w:w="5418" w:type="dxa"/>
            <w:gridSpan w:val="3"/>
            <w:noWrap/>
            <w:hideMark/>
          </w:tcPr>
          <w:p w14:paraId="3980235B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Play area exceeding Maine DEP standard (375 ppm) (%)*</w:t>
            </w:r>
          </w:p>
        </w:tc>
        <w:tc>
          <w:tcPr>
            <w:tcW w:w="1260" w:type="dxa"/>
            <w:hideMark/>
          </w:tcPr>
          <w:p w14:paraId="03D92E0F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21.6</w:t>
            </w:r>
          </w:p>
        </w:tc>
        <w:tc>
          <w:tcPr>
            <w:tcW w:w="1260" w:type="dxa"/>
            <w:noWrap/>
            <w:hideMark/>
          </w:tcPr>
          <w:p w14:paraId="3DC89A50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1381" w:type="dxa"/>
            <w:noWrap/>
            <w:hideMark/>
          </w:tcPr>
          <w:p w14:paraId="53D4D6FD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37.5</w:t>
            </w:r>
          </w:p>
        </w:tc>
      </w:tr>
      <w:tr w:rsidR="009D63A3" w14:paraId="161673D8" w14:textId="77777777" w:rsidTr="009777F8">
        <w:trPr>
          <w:trHeight w:val="228"/>
        </w:trPr>
        <w:tc>
          <w:tcPr>
            <w:tcW w:w="5418" w:type="dxa"/>
            <w:gridSpan w:val="3"/>
            <w:noWrap/>
            <w:hideMark/>
          </w:tcPr>
          <w:p w14:paraId="234798B1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Dripline exceeding Maine DEP standard (1000 ppm) (%)</w:t>
            </w:r>
          </w:p>
        </w:tc>
        <w:tc>
          <w:tcPr>
            <w:tcW w:w="1260" w:type="dxa"/>
            <w:hideMark/>
          </w:tcPr>
          <w:p w14:paraId="0CB9863C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54.4</w:t>
            </w:r>
          </w:p>
        </w:tc>
        <w:tc>
          <w:tcPr>
            <w:tcW w:w="1260" w:type="dxa"/>
            <w:noWrap/>
            <w:hideMark/>
          </w:tcPr>
          <w:p w14:paraId="445F6DA9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54.2</w:t>
            </w:r>
          </w:p>
        </w:tc>
        <w:tc>
          <w:tcPr>
            <w:tcW w:w="1381" w:type="dxa"/>
            <w:noWrap/>
            <w:hideMark/>
          </w:tcPr>
          <w:p w14:paraId="1BFEB946" w14:textId="60D07FBC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55.6</w:t>
            </w:r>
          </w:p>
        </w:tc>
      </w:tr>
      <w:tr w:rsidR="009D63A3" w14:paraId="7731B346" w14:textId="77777777" w:rsidTr="009777F8">
        <w:trPr>
          <w:trHeight w:val="228"/>
        </w:trPr>
        <w:tc>
          <w:tcPr>
            <w:tcW w:w="51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666EEE5" w14:textId="77777777" w:rsidR="009D63A3" w:rsidRDefault="009D63A3" w:rsidP="009D63A3">
            <w:pPr>
              <w:suppressLineNumbers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7C7B1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7E4BEED" w14:textId="77777777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D7D339B" w14:textId="26524788" w:rsidR="009D63A3" w:rsidRDefault="009D63A3" w:rsidP="009D63A3">
            <w:pPr>
              <w:suppressLineNumber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8B768E9" w14:textId="77777777" w:rsidR="009D63A3" w:rsidRDefault="009D63A3" w:rsidP="009D63A3">
      <w:pPr>
        <w:suppressLineNumbers/>
        <w:tabs>
          <w:tab w:val="left" w:pos="3198"/>
        </w:tabs>
        <w:rPr>
          <w:rFonts w:ascii="Arial" w:eastAsia="Calibri" w:hAnsi="Arial" w:cs="Arial"/>
          <w:sz w:val="20"/>
          <w:szCs w:val="20"/>
        </w:rPr>
      </w:pPr>
    </w:p>
    <w:p w14:paraId="3F407C73" w14:textId="77777777" w:rsidR="009D63A3" w:rsidRDefault="009D63A3" w:rsidP="009D63A3">
      <w:pPr>
        <w:suppressLineNumbers/>
        <w:tabs>
          <w:tab w:val="left" w:pos="3198"/>
        </w:tabs>
        <w:ind w:firstLine="18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Abbreviation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BLL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>blood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level</w:t>
      </w:r>
      <w:r>
        <w:rPr>
          <w:rFonts w:ascii="Arial" w:hAnsi="Arial" w:cs="Arial"/>
          <w:sz w:val="20"/>
          <w:szCs w:val="20"/>
        </w:rPr>
        <w:t>, DEP: Department of Environmental Protection.</w:t>
      </w:r>
    </w:p>
    <w:p w14:paraId="27F31E65" w14:textId="77777777" w:rsidR="009D63A3" w:rsidRDefault="009D63A3" w:rsidP="009D63A3">
      <w:pPr>
        <w:suppressLineNumbers/>
        <w:tabs>
          <w:tab w:val="left" w:pos="3198"/>
        </w:tabs>
        <w:ind w:firstLine="18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*Significant at a p-value of &lt;0.05</w:t>
      </w:r>
    </w:p>
    <w:p w14:paraId="34E1E1A2" w14:textId="77777777" w:rsidR="009D63A3" w:rsidRDefault="009D63A3" w:rsidP="009D63A3">
      <w:pPr>
        <w:suppressLineNumbers/>
        <w:tabs>
          <w:tab w:val="left" w:pos="3198"/>
        </w:tabs>
        <w:ind w:left="270" w:hanging="9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participants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overall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eastAsia="Calibri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=351): 63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first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draw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, 65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second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draw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, 208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soil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test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, 263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play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area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soil</w:t>
      </w:r>
      <w:r>
        <w:rPr>
          <w:rFonts w:ascii="Arial" w:hAnsi="Arial" w:cs="Arial"/>
          <w:sz w:val="20"/>
          <w:szCs w:val="20"/>
        </w:rPr>
        <w:t xml:space="preserve">, 263 </w:t>
      </w:r>
      <w:r>
        <w:rPr>
          <w:rFonts w:ascii="Arial" w:eastAsia="Calibri" w:hAnsi="Arial" w:cs="Arial"/>
          <w:sz w:val="20"/>
          <w:szCs w:val="20"/>
        </w:rPr>
        <w:t>missing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dripline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soil</w:t>
      </w:r>
      <w:r>
        <w:rPr>
          <w:rFonts w:ascii="Arial" w:hAnsi="Arial" w:cs="Arial"/>
          <w:sz w:val="20"/>
          <w:szCs w:val="20"/>
        </w:rPr>
        <w:t>.</w:t>
      </w:r>
    </w:p>
    <w:p w14:paraId="76E6A793" w14:textId="77777777" w:rsidR="001F06AD" w:rsidRDefault="001F06AD" w:rsidP="009D63A3">
      <w:pPr>
        <w:suppressLineNumbers/>
      </w:pPr>
    </w:p>
    <w:p w14:paraId="69F66352" w14:textId="63E69A35" w:rsidR="009D63A3" w:rsidRPr="001F06AD" w:rsidRDefault="001F06AD" w:rsidP="001F06AD">
      <w:pPr>
        <w:suppressLineNumbers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1751DD" wp14:editId="536EAC32">
            <wp:simplePos x="0" y="0"/>
            <wp:positionH relativeFrom="column">
              <wp:posOffset>120015</wp:posOffset>
            </wp:positionH>
            <wp:positionV relativeFrom="paragraph">
              <wp:posOffset>619760</wp:posOffset>
            </wp:positionV>
            <wp:extent cx="5531485" cy="3709670"/>
            <wp:effectExtent l="0" t="0" r="5715" b="24130"/>
            <wp:wrapTight wrapText="bothSides">
              <wp:wrapPolygon edited="0">
                <wp:start x="0" y="0"/>
                <wp:lineTo x="0" y="21593"/>
                <wp:lineTo x="21523" y="21593"/>
                <wp:lineTo x="21523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6669318-A8E6-47DC-BBF7-1C04661E0AC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Supplemental Figure 1.  Percent difference in pre- and post-abatement venous blood lead levels </w:t>
      </w:r>
      <w:r w:rsidR="00922C6B">
        <w:rPr>
          <w:rFonts w:ascii="Times New Roman" w:hAnsi="Times New Roman" w:cs="Times New Roman"/>
        </w:rPr>
        <w:t xml:space="preserve">by pre-abatement </w:t>
      </w:r>
      <w:r w:rsidR="00922C6B">
        <w:rPr>
          <w:rFonts w:ascii="Times New Roman" w:hAnsi="Times New Roman" w:cs="Times New Roman"/>
        </w:rPr>
        <w:t>blood lead level</w:t>
      </w:r>
      <w:r w:rsidR="00922C6B">
        <w:t xml:space="preserve"> </w:t>
      </w:r>
      <w:r>
        <w:t>for children confirmed to have remained living in the dwelling pre- and post-abatement.</w:t>
      </w:r>
    </w:p>
    <w:sectPr w:rsidR="009D63A3" w:rsidRPr="001F06AD" w:rsidSect="00037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20C86"/>
    <w:multiLevelType w:val="multilevel"/>
    <w:tmpl w:val="67CC6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3"/>
    <w:rsid w:val="00037751"/>
    <w:rsid w:val="00042BDD"/>
    <w:rsid w:val="000547BF"/>
    <w:rsid w:val="00065179"/>
    <w:rsid w:val="00073D05"/>
    <w:rsid w:val="000900E3"/>
    <w:rsid w:val="00114CEB"/>
    <w:rsid w:val="00163158"/>
    <w:rsid w:val="001635E0"/>
    <w:rsid w:val="00177873"/>
    <w:rsid w:val="0019429D"/>
    <w:rsid w:val="001B2462"/>
    <w:rsid w:val="001E404D"/>
    <w:rsid w:val="001F06AD"/>
    <w:rsid w:val="001F454D"/>
    <w:rsid w:val="001F6C08"/>
    <w:rsid w:val="002420A1"/>
    <w:rsid w:val="002452DC"/>
    <w:rsid w:val="00260815"/>
    <w:rsid w:val="00273643"/>
    <w:rsid w:val="0029695A"/>
    <w:rsid w:val="002F046B"/>
    <w:rsid w:val="002F2AAC"/>
    <w:rsid w:val="002F4141"/>
    <w:rsid w:val="002F7425"/>
    <w:rsid w:val="002F7BE9"/>
    <w:rsid w:val="003031B8"/>
    <w:rsid w:val="00340B84"/>
    <w:rsid w:val="0034764F"/>
    <w:rsid w:val="0035146C"/>
    <w:rsid w:val="00392224"/>
    <w:rsid w:val="003C112C"/>
    <w:rsid w:val="003C25A3"/>
    <w:rsid w:val="003F6F1D"/>
    <w:rsid w:val="004502AC"/>
    <w:rsid w:val="004822EC"/>
    <w:rsid w:val="004F63FA"/>
    <w:rsid w:val="00511A95"/>
    <w:rsid w:val="00551821"/>
    <w:rsid w:val="005B17C2"/>
    <w:rsid w:val="005D33B1"/>
    <w:rsid w:val="005F0F00"/>
    <w:rsid w:val="005F62C1"/>
    <w:rsid w:val="0062452F"/>
    <w:rsid w:val="0067050B"/>
    <w:rsid w:val="0067676A"/>
    <w:rsid w:val="006B055D"/>
    <w:rsid w:val="006C00FE"/>
    <w:rsid w:val="006D0B5F"/>
    <w:rsid w:val="00720A59"/>
    <w:rsid w:val="00722B7A"/>
    <w:rsid w:val="00725119"/>
    <w:rsid w:val="00756C2A"/>
    <w:rsid w:val="00765554"/>
    <w:rsid w:val="007807C1"/>
    <w:rsid w:val="007C3394"/>
    <w:rsid w:val="007C3A45"/>
    <w:rsid w:val="007D74F9"/>
    <w:rsid w:val="007E7EE2"/>
    <w:rsid w:val="00805631"/>
    <w:rsid w:val="00827916"/>
    <w:rsid w:val="008366C0"/>
    <w:rsid w:val="00875836"/>
    <w:rsid w:val="008B56BA"/>
    <w:rsid w:val="008C26D6"/>
    <w:rsid w:val="008D3BFE"/>
    <w:rsid w:val="008E15FB"/>
    <w:rsid w:val="008F1484"/>
    <w:rsid w:val="00905A23"/>
    <w:rsid w:val="00922C6B"/>
    <w:rsid w:val="0092619E"/>
    <w:rsid w:val="00950869"/>
    <w:rsid w:val="00977FF5"/>
    <w:rsid w:val="00986EBE"/>
    <w:rsid w:val="00997D2B"/>
    <w:rsid w:val="009B5349"/>
    <w:rsid w:val="009D63A3"/>
    <w:rsid w:val="00A27843"/>
    <w:rsid w:val="00A60054"/>
    <w:rsid w:val="00AA65D5"/>
    <w:rsid w:val="00AD26AA"/>
    <w:rsid w:val="00AD45FC"/>
    <w:rsid w:val="00AF38F5"/>
    <w:rsid w:val="00B5599E"/>
    <w:rsid w:val="00BF5679"/>
    <w:rsid w:val="00C0550E"/>
    <w:rsid w:val="00C51E0E"/>
    <w:rsid w:val="00C730DA"/>
    <w:rsid w:val="00C8486E"/>
    <w:rsid w:val="00CB513D"/>
    <w:rsid w:val="00CE6791"/>
    <w:rsid w:val="00D66C03"/>
    <w:rsid w:val="00D95CB5"/>
    <w:rsid w:val="00DC13C8"/>
    <w:rsid w:val="00DD03B0"/>
    <w:rsid w:val="00DE5A01"/>
    <w:rsid w:val="00E35E21"/>
    <w:rsid w:val="00E822FB"/>
    <w:rsid w:val="00E87BF3"/>
    <w:rsid w:val="00EA34FB"/>
    <w:rsid w:val="00EE0CAC"/>
    <w:rsid w:val="00EF4C99"/>
    <w:rsid w:val="00F06E19"/>
    <w:rsid w:val="00F10546"/>
    <w:rsid w:val="00F1354C"/>
    <w:rsid w:val="00F16B1A"/>
    <w:rsid w:val="00F434D8"/>
    <w:rsid w:val="00F8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FF7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55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99E"/>
    <w:pPr>
      <w:spacing w:after="200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99E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9E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link w:val="paragraphChar"/>
    <w:rsid w:val="00B559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aragraphChar">
    <w:name w:val="paragraph Char"/>
    <w:basedOn w:val="DefaultParagraphFont"/>
    <w:link w:val="paragraph"/>
    <w:rsid w:val="00B5599E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15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1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2224"/>
  </w:style>
  <w:style w:type="paragraph" w:customStyle="1" w:styleId="RulesParagraph">
    <w:name w:val="Rules: Paragraph"/>
    <w:basedOn w:val="Normal"/>
    <w:link w:val="RulesParagraphChar"/>
    <w:rsid w:val="002F2AAC"/>
    <w:pPr>
      <w:tabs>
        <w:tab w:val="left" w:pos="1080"/>
      </w:tabs>
      <w:ind w:left="1080" w:hanging="360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RulesParagraphChar">
    <w:name w:val="Rules: Paragraph Char"/>
    <w:basedOn w:val="DefaultParagraphFont"/>
    <w:link w:val="RulesParagraph"/>
    <w:rsid w:val="002F2AAC"/>
    <w:rPr>
      <w:rFonts w:ascii="Times New Roman" w:eastAsia="Times New Roman" w:hAnsi="Times New Roman" w:cs="Times New Roman"/>
      <w:sz w:val="22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06E19"/>
  </w:style>
  <w:style w:type="paragraph" w:styleId="ListParagraph">
    <w:name w:val="List Paragraph"/>
    <w:basedOn w:val="Normal"/>
    <w:uiPriority w:val="34"/>
    <w:qFormat/>
    <w:rsid w:val="00D6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oit-teaqfsemc11.som.w2k.state.me.us\dhhs-cdc\EOH\EOH-Shared\ChildLead\SURVEILLANCE\LeadDust_Analysis\Analysis\Final%20Analysis\ABATE_3rnd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 Difference in Pre-</a:t>
            </a:r>
            <a:r>
              <a:rPr lang="en-US" baseline="0"/>
              <a:t> and Post-Abatement </a:t>
            </a:r>
          </a:p>
          <a:p>
            <a:pPr>
              <a:defRPr/>
            </a:pPr>
            <a:r>
              <a:rPr lang="en-US"/>
              <a:t>Venous Blood Lead Level</a:t>
            </a:r>
          </a:p>
        </c:rich>
      </c:tx>
      <c:layout>
        <c:manualLayout>
          <c:xMode val="edge"/>
          <c:yMode val="edge"/>
          <c:x val="0.197755493305596"/>
          <c:y val="2.48933143669986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3215302943061"/>
          <c:y val="0.199178363574118"/>
          <c:w val="0.75394690575858003"/>
          <c:h val="0.64645669291338603"/>
        </c:manualLayout>
      </c:layout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8"/>
            <c:spPr>
              <a:noFill/>
              <a:ln w="9525">
                <a:solidFill>
                  <a:schemeClr val="tx2"/>
                </a:solidFill>
              </a:ln>
              <a:effectLst/>
            </c:spPr>
          </c:marker>
          <c:xVal>
            <c:numRef>
              <c:f>Last_Abate!$H$2:$H$40</c:f>
              <c:numCache>
                <c:formatCode>0.0</c:formatCode>
                <c:ptCount val="39"/>
                <c:pt idx="0">
                  <c:v>5.0722808812823672</c:v>
                </c:pt>
                <c:pt idx="1">
                  <c:v>5.1751717653446034</c:v>
                </c:pt>
                <c:pt idx="2">
                  <c:v>5.1104434928650067</c:v>
                </c:pt>
                <c:pt idx="3">
                  <c:v>5.0160463171266496</c:v>
                </c:pt>
                <c:pt idx="4">
                  <c:v>5.0467087444637961</c:v>
                </c:pt>
                <c:pt idx="5">
                  <c:v>5.0618465219346032</c:v>
                </c:pt>
                <c:pt idx="6">
                  <c:v>5.0706994997541379</c:v>
                </c:pt>
                <c:pt idx="7">
                  <c:v>5.1564489308747854</c:v>
                </c:pt>
                <c:pt idx="8">
                  <c:v>5.1147585423835604</c:v>
                </c:pt>
                <c:pt idx="9">
                  <c:v>5.0743442364185949</c:v>
                </c:pt>
                <c:pt idx="10">
                  <c:v>6.0949194566699871</c:v>
                </c:pt>
                <c:pt idx="11">
                  <c:v>6.0070671783230338</c:v>
                </c:pt>
                <c:pt idx="12">
                  <c:v>6.0185520198649893</c:v>
                </c:pt>
                <c:pt idx="13">
                  <c:v>6.0575211836647069</c:v>
                </c:pt>
                <c:pt idx="14">
                  <c:v>6.1025398610168056</c:v>
                </c:pt>
                <c:pt idx="15">
                  <c:v>6.0118317615107806</c:v>
                </c:pt>
                <c:pt idx="16">
                  <c:v>6.106806599892554</c:v>
                </c:pt>
                <c:pt idx="17">
                  <c:v>6.1540396427478754</c:v>
                </c:pt>
                <c:pt idx="18">
                  <c:v>6.1694741141532674</c:v>
                </c:pt>
                <c:pt idx="19">
                  <c:v>6.1749041388457186</c:v>
                </c:pt>
                <c:pt idx="20">
                  <c:v>7.08804663004135</c:v>
                </c:pt>
                <c:pt idx="21">
                  <c:v>7.1535080709853194</c:v>
                </c:pt>
                <c:pt idx="22">
                  <c:v>7.046595867139307</c:v>
                </c:pt>
                <c:pt idx="23">
                  <c:v>7.1499382790660047</c:v>
                </c:pt>
                <c:pt idx="24">
                  <c:v>7.0778389739868306</c:v>
                </c:pt>
                <c:pt idx="25">
                  <c:v>7.0763795465611921</c:v>
                </c:pt>
                <c:pt idx="26">
                  <c:v>7.1578053740584329</c:v>
                </c:pt>
                <c:pt idx="27">
                  <c:v>7.1379391687992264</c:v>
                </c:pt>
                <c:pt idx="28">
                  <c:v>8.0407388827782036</c:v>
                </c:pt>
                <c:pt idx="29">
                  <c:v>8.0508792022080709</c:v>
                </c:pt>
                <c:pt idx="30">
                  <c:v>8.1443810107010108</c:v>
                </c:pt>
                <c:pt idx="31">
                  <c:v>9.1859323405242872</c:v>
                </c:pt>
                <c:pt idx="32">
                  <c:v>10.13136813306339</c:v>
                </c:pt>
                <c:pt idx="33">
                  <c:v>12.013028491946701</c:v>
                </c:pt>
                <c:pt idx="34">
                  <c:v>16.154042074298669</c:v>
                </c:pt>
                <c:pt idx="35">
                  <c:v>17.156102060667589</c:v>
                </c:pt>
                <c:pt idx="36">
                  <c:v>20.115764211988829</c:v>
                </c:pt>
                <c:pt idx="37">
                  <c:v>23.182445654025589</c:v>
                </c:pt>
                <c:pt idx="38">
                  <c:v>34.054289646600871</c:v>
                </c:pt>
              </c:numCache>
            </c:numRef>
          </c:xVal>
          <c:yVal>
            <c:numRef>
              <c:f>Last_Abate!$G$2:$G$40</c:f>
              <c:numCache>
                <c:formatCode>0.0</c:formatCode>
                <c:ptCount val="39"/>
                <c:pt idx="0">
                  <c:v>0</c:v>
                </c:pt>
                <c:pt idx="1">
                  <c:v>-46</c:v>
                </c:pt>
                <c:pt idx="2">
                  <c:v>-40</c:v>
                </c:pt>
                <c:pt idx="3">
                  <c:v>-48</c:v>
                </c:pt>
                <c:pt idx="4">
                  <c:v>0</c:v>
                </c:pt>
                <c:pt idx="5">
                  <c:v>-56</c:v>
                </c:pt>
                <c:pt idx="6">
                  <c:v>-20</c:v>
                </c:pt>
                <c:pt idx="7">
                  <c:v>0</c:v>
                </c:pt>
                <c:pt idx="8">
                  <c:v>-76</c:v>
                </c:pt>
                <c:pt idx="9">
                  <c:v>-46</c:v>
                </c:pt>
                <c:pt idx="10">
                  <c:v>-66.666666666666643</c:v>
                </c:pt>
                <c:pt idx="11">
                  <c:v>-55</c:v>
                </c:pt>
                <c:pt idx="12">
                  <c:v>0</c:v>
                </c:pt>
                <c:pt idx="13">
                  <c:v>-16.666666666666661</c:v>
                </c:pt>
                <c:pt idx="14">
                  <c:v>-33.333333333333329</c:v>
                </c:pt>
                <c:pt idx="15">
                  <c:v>-55</c:v>
                </c:pt>
                <c:pt idx="16">
                  <c:v>-33.333333333333329</c:v>
                </c:pt>
                <c:pt idx="17">
                  <c:v>-50</c:v>
                </c:pt>
                <c:pt idx="18">
                  <c:v>-33.333333333333329</c:v>
                </c:pt>
                <c:pt idx="19">
                  <c:v>66.666666666666643</c:v>
                </c:pt>
                <c:pt idx="20">
                  <c:v>-75.714285714285722</c:v>
                </c:pt>
                <c:pt idx="21">
                  <c:v>-28.571428571428569</c:v>
                </c:pt>
                <c:pt idx="22">
                  <c:v>-42.85714285714284</c:v>
                </c:pt>
                <c:pt idx="23">
                  <c:v>-28.571428571428569</c:v>
                </c:pt>
                <c:pt idx="24">
                  <c:v>-28.571428571428569</c:v>
                </c:pt>
                <c:pt idx="25">
                  <c:v>-57.142857142857139</c:v>
                </c:pt>
                <c:pt idx="26">
                  <c:v>-57.142857142857139</c:v>
                </c:pt>
                <c:pt idx="27">
                  <c:v>-95.714285714285722</c:v>
                </c:pt>
                <c:pt idx="28">
                  <c:v>-25</c:v>
                </c:pt>
                <c:pt idx="29">
                  <c:v>-50</c:v>
                </c:pt>
                <c:pt idx="30">
                  <c:v>-37.5</c:v>
                </c:pt>
                <c:pt idx="31">
                  <c:v>-44.444444444444407</c:v>
                </c:pt>
                <c:pt idx="32">
                  <c:v>-10</c:v>
                </c:pt>
                <c:pt idx="33">
                  <c:v>25</c:v>
                </c:pt>
                <c:pt idx="34">
                  <c:v>-37.5</c:v>
                </c:pt>
                <c:pt idx="35">
                  <c:v>-82.352941176470523</c:v>
                </c:pt>
                <c:pt idx="36">
                  <c:v>-60</c:v>
                </c:pt>
                <c:pt idx="37">
                  <c:v>-73.913043478260875</c:v>
                </c:pt>
                <c:pt idx="38">
                  <c:v>-82.352941176470523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D84-4567-AB52-F3E17B39D0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9896400"/>
        <c:axId val="489899104"/>
      </c:scatterChart>
      <c:valAx>
        <c:axId val="489896400"/>
        <c:scaling>
          <c:orientation val="minMax"/>
          <c:max val="3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Pre-Abatement Venous Blood Lead Level (ug/dL)</a:t>
                </a:r>
              </a:p>
            </c:rich>
          </c:tx>
          <c:layout>
            <c:manualLayout>
              <c:xMode val="edge"/>
              <c:yMode val="edge"/>
              <c:x val="0.198462896960657"/>
              <c:y val="0.9116834227068999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99104"/>
        <c:crossesAt val="-100"/>
        <c:crossBetween val="midCat"/>
      </c:valAx>
      <c:valAx>
        <c:axId val="489899104"/>
        <c:scaling>
          <c:orientation val="minMax"/>
          <c:max val="100"/>
          <c:min val="-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400"/>
                  <a:t>Percent Difference </a:t>
                </a:r>
              </a:p>
            </c:rich>
          </c:tx>
          <c:layout>
            <c:manualLayout>
              <c:xMode val="edge"/>
              <c:yMode val="edge"/>
              <c:x val="2.12173442935117E-2"/>
              <c:y val="0.322200930886701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989640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1080</Words>
  <Characters>6157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Cluett, Rachel</dc:creator>
  <cp:lastModifiedBy>Smith, Andy E. (DHHS)</cp:lastModifiedBy>
  <cp:revision>2</cp:revision>
  <cp:lastPrinted>2018-05-31T14:09:00Z</cp:lastPrinted>
  <dcterms:created xsi:type="dcterms:W3CDTF">2018-07-13T14:44:00Z</dcterms:created>
  <dcterms:modified xsi:type="dcterms:W3CDTF">2018-07-13T14:44:00Z</dcterms:modified>
</cp:coreProperties>
</file>