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1"/>
        <w:tblW w:w="5406" w:type="pct"/>
        <w:jc w:val="center"/>
        <w:tblLayout w:type="fixed"/>
        <w:tblLook w:val="06A0" w:firstRow="1" w:lastRow="0" w:firstColumn="1" w:lastColumn="0" w:noHBand="1" w:noVBand="1"/>
      </w:tblPr>
      <w:tblGrid>
        <w:gridCol w:w="1786"/>
        <w:gridCol w:w="1889"/>
        <w:gridCol w:w="313"/>
        <w:gridCol w:w="29"/>
        <w:gridCol w:w="2197"/>
        <w:gridCol w:w="34"/>
        <w:gridCol w:w="51"/>
        <w:gridCol w:w="205"/>
        <w:gridCol w:w="1974"/>
        <w:gridCol w:w="29"/>
        <w:gridCol w:w="85"/>
        <w:gridCol w:w="13"/>
        <w:gridCol w:w="2209"/>
        <w:gridCol w:w="9"/>
        <w:gridCol w:w="75"/>
      </w:tblGrid>
      <w:tr w:rsidR="0007001D" w:rsidRPr="006B43DD" w:rsidTr="00897F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4" w:type="dxa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78" w:type="dxa"/>
            <w:gridSpan w:val="14"/>
            <w:tcBorders>
              <w:right w:val="none" w:sz="0" w:space="0" w:color="auto"/>
            </w:tcBorders>
            <w:shd w:val="solid" w:color="auto" w:fill="FFFFFF" w:themeFill="background1"/>
            <w:vAlign w:val="center"/>
          </w:tcPr>
          <w:p w:rsidR="0007001D" w:rsidRPr="002B0CF7" w:rsidRDefault="0007001D" w:rsidP="00897F74">
            <w:pPr>
              <w:pBdr>
                <w:bottom w:val="single" w:sz="4" w:space="0" w:color="7F7F7F" w:themeColor="text1" w:themeTint="80"/>
              </w:pBd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</w:rPr>
              <w:t>TABLE 1</w:t>
            </w:r>
          </w:p>
          <w:p w:rsidR="0007001D" w:rsidRPr="002B0CF7" w:rsidRDefault="0007001D" w:rsidP="00897F74">
            <w:pPr>
              <w:pBdr>
                <w:bottom w:val="single" w:sz="4" w:space="0" w:color="7F7F7F" w:themeColor="text1" w:themeTint="80"/>
              </w:pBd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2"/>
              </w:rPr>
              <w:t>% U.S. Population and Households by Race/Ethnicity with Selected Sociodemographic Characteristics (2012-2016)</w:t>
            </w:r>
            <w:r>
              <w:rPr>
                <w:rFonts w:ascii="Times New Roman" w:hAnsi="Times New Roman" w:cs="Times New Roman"/>
                <w:b/>
                <w:i w:val="0"/>
                <w:sz w:val="22"/>
              </w:rPr>
              <w:t>*</w:t>
            </w:r>
          </w:p>
        </w:tc>
      </w:tr>
      <w:tr w:rsidR="0007001D" w:rsidRPr="002B0CF7" w:rsidTr="00897F7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2" w:type="dxa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7001D" w:rsidRPr="002B0CF7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Total U.S. Population</w:t>
            </w:r>
          </w:p>
        </w:tc>
        <w:tc>
          <w:tcPr>
            <w:tcW w:w="2176" w:type="dxa"/>
            <w:gridSpan w:val="3"/>
            <w:vAlign w:val="center"/>
          </w:tcPr>
          <w:p w:rsidR="0007001D" w:rsidRPr="002B0CF7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Non-Hispanic White</w:t>
            </w: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5"/>
            <w:vAlign w:val="center"/>
          </w:tcPr>
          <w:p w:rsidR="0007001D" w:rsidRPr="002B0CF7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Non-Hispanic Black </w:t>
            </w:r>
          </w:p>
        </w:tc>
        <w:tc>
          <w:tcPr>
            <w:tcW w:w="1978" w:type="dxa"/>
            <w:gridSpan w:val="3"/>
            <w:vAlign w:val="center"/>
          </w:tcPr>
          <w:p w:rsidR="0007001D" w:rsidRPr="002B0CF7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Hispanic/Latino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2012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309,138,711</w:t>
            </w:r>
          </w:p>
        </w:tc>
        <w:tc>
          <w:tcPr>
            <w:tcW w:w="2176" w:type="dxa"/>
            <w:gridSpan w:val="3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196,903,968 (64%)</w:t>
            </w:r>
          </w:p>
        </w:tc>
        <w:tc>
          <w:tcPr>
            <w:tcW w:w="1966" w:type="dxa"/>
            <w:gridSpan w:val="5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37,786,591 (12%)</w:t>
            </w:r>
          </w:p>
        </w:tc>
        <w:tc>
          <w:tcPr>
            <w:tcW w:w="1978" w:type="dxa"/>
            <w:gridSpan w:val="3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50,545,275 (16%)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311,536,594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197,050,418 (63%)</w:t>
            </w: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38,093,998 (12%)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51,786,591 (17%)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2014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314,107,084</w:t>
            </w:r>
          </w:p>
        </w:tc>
        <w:tc>
          <w:tcPr>
            <w:tcW w:w="2176" w:type="dxa"/>
            <w:gridSpan w:val="3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197,159,492 (63%)</w:t>
            </w:r>
          </w:p>
        </w:tc>
        <w:tc>
          <w:tcPr>
            <w:tcW w:w="1966" w:type="dxa"/>
            <w:gridSpan w:val="5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38,460,598 (12%)</w:t>
            </w:r>
          </w:p>
        </w:tc>
        <w:tc>
          <w:tcPr>
            <w:tcW w:w="1978" w:type="dxa"/>
            <w:gridSpan w:val="3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53,070,096 (17%)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316,515,021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197,258,278 (62%)</w:t>
            </w: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38,785,726 (12%)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54,232,205 (17%)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2016</w:t>
            </w:r>
          </w:p>
        </w:tc>
        <w:tc>
          <w:tcPr>
            <w:tcW w:w="1619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318,558,162</w:t>
            </w:r>
          </w:p>
        </w:tc>
        <w:tc>
          <w:tcPr>
            <w:tcW w:w="2176" w:type="dxa"/>
            <w:gridSpan w:val="3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197,326,672 (62%)</w:t>
            </w:r>
          </w:p>
        </w:tc>
        <w:tc>
          <w:tcPr>
            <w:tcW w:w="1966" w:type="dxa"/>
            <w:gridSpan w:val="5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39,098,319 (12%)</w:t>
            </w:r>
          </w:p>
        </w:tc>
        <w:tc>
          <w:tcPr>
            <w:tcW w:w="1978" w:type="dxa"/>
            <w:gridSpan w:val="3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55,199,107 (17%)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Below Poverty</w:t>
            </w:r>
          </w:p>
        </w:tc>
        <w:tc>
          <w:tcPr>
            <w:tcW w:w="1887" w:type="dxa"/>
            <w:gridSpan w:val="2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07001D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Average %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15.3%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10.6%</w:t>
            </w: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26.3%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23.7%</w:t>
            </w:r>
          </w:p>
        </w:tc>
      </w:tr>
      <w:tr w:rsidR="0007001D" w:rsidRPr="002B0CF7" w:rsidTr="00897F74">
        <w:trPr>
          <w:gridAfter w:val="2"/>
          <w:wAfter w:w="72" w:type="dxa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tcBorders>
              <w:bottom w:val="nil"/>
            </w:tcBorders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7739" w:type="dxa"/>
            <w:gridSpan w:val="12"/>
            <w:tcBorders>
              <w:bottom w:val="nil"/>
            </w:tcBorders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</w:rPr>
            </w:pPr>
            <w:r w:rsidRPr="002B0CF7">
              <w:rPr>
                <w:rFonts w:ascii="Times New Roman" w:eastAsiaTheme="majorEastAsia" w:hAnsi="Times New Roman" w:cs="Times New Roman"/>
                <w:b/>
                <w:iCs/>
              </w:rPr>
              <w:t>U.S. Population 16  years and above</w:t>
            </w:r>
          </w:p>
        </w:tc>
      </w:tr>
      <w:tr w:rsidR="0007001D" w:rsidRPr="002B0CF7" w:rsidTr="00897F74">
        <w:trPr>
          <w:gridAfter w:val="2"/>
          <w:wAfter w:w="72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>Total Population 16 years</w:t>
            </w:r>
            <w:r w:rsidRPr="002B0CF7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  <w:vertAlign w:val="superscript"/>
              </w:rPr>
              <w:t>+</w:t>
            </w:r>
            <w:r w:rsidRPr="002B0CF7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gridSpan w:val="3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Non-Hispanic White</w:t>
            </w:r>
            <w:r w:rsidRPr="002B0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  <w:gridSpan w:val="5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Non-Hispanic Black </w:t>
            </w:r>
          </w:p>
        </w:tc>
        <w:tc>
          <w:tcPr>
            <w:tcW w:w="1978" w:type="dxa"/>
            <w:gridSpan w:val="3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sz w:val="20"/>
                <w:szCs w:val="20"/>
              </w:rPr>
              <w:t>Hispanic/Latino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2012</w:t>
            </w:r>
          </w:p>
        </w:tc>
        <w:tc>
          <w:tcPr>
            <w:tcW w:w="1619" w:type="dxa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243,810,053</w:t>
            </w:r>
          </w:p>
        </w:tc>
        <w:tc>
          <w:tcPr>
            <w:tcW w:w="2176" w:type="dxa"/>
            <w:gridSpan w:val="3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162,118,886 (66.5%)</w:t>
            </w:r>
          </w:p>
        </w:tc>
        <w:tc>
          <w:tcPr>
            <w:tcW w:w="1966" w:type="dxa"/>
            <w:gridSpan w:val="5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29,461,678 (12.1%)</w:t>
            </w:r>
          </w:p>
        </w:tc>
        <w:tc>
          <w:tcPr>
            <w:tcW w:w="1978" w:type="dxa"/>
            <w:gridSpan w:val="3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35,263,076 (14.5%)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2013</w:t>
            </w:r>
          </w:p>
        </w:tc>
        <w:tc>
          <w:tcPr>
            <w:tcW w:w="1619" w:type="dxa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246,191,954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162,599,992 (66.0%)</w:t>
            </w:r>
          </w:p>
        </w:tc>
        <w:tc>
          <w:tcPr>
            <w:tcW w:w="1966" w:type="dxa"/>
            <w:gridSpan w:val="5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29,853,390 (12.1%)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36,251,808 (14.7%)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2014</w:t>
            </w:r>
          </w:p>
        </w:tc>
        <w:tc>
          <w:tcPr>
            <w:tcW w:w="1619" w:type="dxa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248,775,628</w:t>
            </w:r>
          </w:p>
        </w:tc>
        <w:tc>
          <w:tcPr>
            <w:tcW w:w="2176" w:type="dxa"/>
            <w:gridSpan w:val="3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163,031,681 (65.5%)</w:t>
            </w:r>
          </w:p>
        </w:tc>
        <w:tc>
          <w:tcPr>
            <w:tcW w:w="1966" w:type="dxa"/>
            <w:gridSpan w:val="5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30,292,232 (12.2%)</w:t>
            </w:r>
          </w:p>
        </w:tc>
        <w:tc>
          <w:tcPr>
            <w:tcW w:w="1978" w:type="dxa"/>
            <w:gridSpan w:val="3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37,321,583 (15.0%)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251,221,309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163,437,455 (65.1%)</w:t>
            </w:r>
          </w:p>
        </w:tc>
        <w:tc>
          <w:tcPr>
            <w:tcW w:w="1966" w:type="dxa"/>
            <w:gridSpan w:val="5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30,680,210 (12.2%)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38,303,779 (15.2%)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2016</w:t>
            </w:r>
          </w:p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253,323,709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163,840,347 (64.7%)</w:t>
            </w:r>
          </w:p>
        </w:tc>
        <w:tc>
          <w:tcPr>
            <w:tcW w:w="1966" w:type="dxa"/>
            <w:gridSpan w:val="5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31,045,496 (12.3%)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39,103,605 (15.4%)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0"/>
                <w:szCs w:val="20"/>
              </w:rPr>
              <w:t>Unemployment</w:t>
            </w:r>
          </w:p>
        </w:tc>
        <w:tc>
          <w:tcPr>
            <w:tcW w:w="3795" w:type="dxa"/>
            <w:gridSpan w:val="4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Cs w:val="20"/>
              </w:rPr>
            </w:pPr>
          </w:p>
        </w:tc>
        <w:tc>
          <w:tcPr>
            <w:tcW w:w="1966" w:type="dxa"/>
            <w:gridSpan w:val="5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07001D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Average %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8.7%</w:t>
            </w:r>
          </w:p>
        </w:tc>
        <w:tc>
          <w:tcPr>
            <w:tcW w:w="2176" w:type="dxa"/>
            <w:gridSpan w:val="3"/>
            <w:shd w:val="clear" w:color="auto" w:fill="FFFFFF" w:themeFill="background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7.3%</w:t>
            </w:r>
          </w:p>
        </w:tc>
        <w:tc>
          <w:tcPr>
            <w:tcW w:w="1966" w:type="dxa"/>
            <w:gridSpan w:val="5"/>
            <w:shd w:val="clear" w:color="auto" w:fill="FFFFFF" w:themeFill="background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15.3%</w:t>
            </w:r>
          </w:p>
        </w:tc>
        <w:tc>
          <w:tcPr>
            <w:tcW w:w="1978" w:type="dxa"/>
            <w:gridSpan w:val="3"/>
            <w:shd w:val="clear" w:color="auto" w:fill="FFFFFF" w:themeFill="background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10.5%</w:t>
            </w:r>
          </w:p>
        </w:tc>
      </w:tr>
      <w:tr w:rsidR="0007001D" w:rsidRPr="002B0CF7" w:rsidTr="00897F74">
        <w:trPr>
          <w:gridAfter w:val="2"/>
          <w:wAfter w:w="72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left"/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"/>
                <w:szCs w:val="20"/>
              </w:rPr>
            </w:pPr>
          </w:p>
        </w:tc>
        <w:tc>
          <w:tcPr>
            <w:tcW w:w="7739" w:type="dxa"/>
            <w:gridSpan w:val="12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color w:val="FFFFFF" w:themeColor="background1"/>
                <w:szCs w:val="20"/>
              </w:rPr>
            </w:pPr>
          </w:p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color w:val="FFFFFF" w:themeColor="background1"/>
                <w:szCs w:val="20"/>
              </w:rPr>
            </w:pPr>
          </w:p>
        </w:tc>
        <w:tc>
          <w:tcPr>
            <w:tcW w:w="7739" w:type="dxa"/>
            <w:gridSpan w:val="12"/>
            <w:shd w:val="clear" w:color="auto" w:fill="000000" w:themeFill="text1"/>
            <w:vAlign w:val="center"/>
          </w:tcPr>
          <w:p w:rsidR="0007001D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</w:rPr>
            </w:pPr>
            <w:r w:rsidRPr="002B0CF7"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</w:rPr>
              <w:t>U.S. Population 25 years and above</w:t>
            </w:r>
          </w:p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color w:val="FFFFFF" w:themeColor="background1"/>
                <w:szCs w:val="20"/>
              </w:rPr>
            </w:pPr>
          </w:p>
        </w:tc>
        <w:tc>
          <w:tcPr>
            <w:tcW w:w="7739" w:type="dxa"/>
            <w:gridSpan w:val="12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4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912" w:type="dxa"/>
            <w:gridSpan w:val="3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  <w:t>Total Population 25 years+</w:t>
            </w:r>
          </w:p>
        </w:tc>
        <w:tc>
          <w:tcPr>
            <w:tcW w:w="1912" w:type="dxa"/>
            <w:gridSpan w:val="2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  <w:t>Non-Hispanic White</w:t>
            </w:r>
          </w:p>
        </w:tc>
        <w:tc>
          <w:tcPr>
            <w:tcW w:w="1912" w:type="dxa"/>
            <w:gridSpan w:val="3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  <w:t xml:space="preserve">Non-Hispanic Black </w:t>
            </w:r>
          </w:p>
        </w:tc>
        <w:tc>
          <w:tcPr>
            <w:tcW w:w="2003" w:type="dxa"/>
            <w:gridSpan w:val="4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b/>
                <w:iCs/>
                <w:color w:val="FFFFFF" w:themeColor="background1"/>
                <w:sz w:val="20"/>
                <w:szCs w:val="20"/>
              </w:rPr>
              <w:t>Hispanic/Latino</w:t>
            </w:r>
          </w:p>
        </w:tc>
      </w:tr>
      <w:tr w:rsidR="0007001D" w:rsidRPr="00605A86" w:rsidTr="00897F74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2012</w:t>
            </w:r>
          </w:p>
        </w:tc>
        <w:tc>
          <w:tcPr>
            <w:tcW w:w="1619" w:type="dxa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204,336,017</w:t>
            </w:r>
          </w:p>
        </w:tc>
        <w:tc>
          <w:tcPr>
            <w:tcW w:w="2249" w:type="dxa"/>
            <w:gridSpan w:val="5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139,669,339 (68.4%)</w:t>
            </w:r>
          </w:p>
        </w:tc>
        <w:tc>
          <w:tcPr>
            <w:tcW w:w="1966" w:type="dxa"/>
            <w:gridSpan w:val="4"/>
            <w:shd w:val="clear" w:color="auto" w:fill="E7E6E6" w:themeFill="background2"/>
          </w:tcPr>
          <w:p w:rsidR="0007001D" w:rsidRPr="002B0CF7" w:rsidRDefault="0007001D" w:rsidP="00897F74">
            <w:pPr>
              <w:ind w:left="-15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23,543,152 (11.5%)</w:t>
            </w:r>
          </w:p>
        </w:tc>
        <w:tc>
          <w:tcPr>
            <w:tcW w:w="1977" w:type="dxa"/>
            <w:gridSpan w:val="4"/>
            <w:shd w:val="clear" w:color="auto" w:fill="E7E6E6" w:themeFill="background2"/>
          </w:tcPr>
          <w:p w:rsidR="0007001D" w:rsidRPr="002B0CF7" w:rsidRDefault="0007001D" w:rsidP="00897F74">
            <w:pPr>
              <w:ind w:left="-15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27,316,907 (13.4%)</w:t>
            </w:r>
          </w:p>
        </w:tc>
      </w:tr>
      <w:tr w:rsidR="0007001D" w:rsidRPr="00605A86" w:rsidTr="00897F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2013</w:t>
            </w:r>
          </w:p>
        </w:tc>
        <w:tc>
          <w:tcPr>
            <w:tcW w:w="1619" w:type="dxa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206,587,852</w:t>
            </w:r>
          </w:p>
        </w:tc>
        <w:tc>
          <w:tcPr>
            <w:tcW w:w="2249" w:type="dxa"/>
            <w:gridSpan w:val="5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140,293,598 (67.9%)</w:t>
            </w:r>
          </w:p>
        </w:tc>
        <w:tc>
          <w:tcPr>
            <w:tcW w:w="1966" w:type="dxa"/>
            <w:gridSpan w:val="4"/>
            <w:shd w:val="clear" w:color="auto" w:fill="auto"/>
          </w:tcPr>
          <w:p w:rsidR="0007001D" w:rsidRPr="002B0CF7" w:rsidRDefault="0007001D" w:rsidP="00897F74">
            <w:pPr>
              <w:ind w:left="-15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23,895,588 (11.6%)</w:t>
            </w:r>
          </w:p>
        </w:tc>
        <w:tc>
          <w:tcPr>
            <w:tcW w:w="1977" w:type="dxa"/>
            <w:gridSpan w:val="4"/>
            <w:shd w:val="clear" w:color="auto" w:fill="auto"/>
          </w:tcPr>
          <w:p w:rsidR="0007001D" w:rsidRPr="002B0CF7" w:rsidRDefault="0007001D" w:rsidP="00897F74">
            <w:pPr>
              <w:ind w:left="-15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28,147,483 (13.6%)</w:t>
            </w:r>
          </w:p>
        </w:tc>
      </w:tr>
      <w:tr w:rsidR="0007001D" w:rsidRPr="00605A86" w:rsidTr="00897F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pct12" w:color="auto" w:fill="auto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2014</w:t>
            </w:r>
          </w:p>
        </w:tc>
        <w:tc>
          <w:tcPr>
            <w:tcW w:w="1619" w:type="dxa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209,056,129</w:t>
            </w:r>
          </w:p>
        </w:tc>
        <w:tc>
          <w:tcPr>
            <w:tcW w:w="2249" w:type="dxa"/>
            <w:gridSpan w:val="5"/>
            <w:shd w:val="pct12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140,882,229 (67.4%)</w:t>
            </w:r>
          </w:p>
        </w:tc>
        <w:tc>
          <w:tcPr>
            <w:tcW w:w="1966" w:type="dxa"/>
            <w:gridSpan w:val="4"/>
            <w:shd w:val="pct12" w:color="auto" w:fill="auto"/>
          </w:tcPr>
          <w:p w:rsidR="0007001D" w:rsidRPr="002B0CF7" w:rsidRDefault="0007001D" w:rsidP="00897F74">
            <w:pPr>
              <w:ind w:left="-15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24,300,347 (11.6%)</w:t>
            </w:r>
          </w:p>
        </w:tc>
        <w:tc>
          <w:tcPr>
            <w:tcW w:w="1977" w:type="dxa"/>
            <w:gridSpan w:val="4"/>
            <w:shd w:val="pct12" w:color="auto" w:fill="auto"/>
          </w:tcPr>
          <w:p w:rsidR="0007001D" w:rsidRPr="002B0CF7" w:rsidRDefault="0007001D" w:rsidP="00897F74">
            <w:pPr>
              <w:ind w:left="-15" w:firstLine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29,078,104 (13.9%)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211,462,522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07001D" w:rsidRPr="002B0CF7" w:rsidRDefault="0007001D" w:rsidP="00897F74">
            <w:pPr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141,456,683 (66.9%)</w:t>
            </w:r>
          </w:p>
        </w:tc>
        <w:tc>
          <w:tcPr>
            <w:tcW w:w="1966" w:type="dxa"/>
            <w:gridSpan w:val="5"/>
            <w:shd w:val="clear" w:color="auto" w:fill="auto"/>
          </w:tcPr>
          <w:p w:rsidR="0007001D" w:rsidRPr="002B0CF7" w:rsidRDefault="0007001D" w:rsidP="00897F74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24,689,835 (11.7%)</w:t>
            </w:r>
          </w:p>
        </w:tc>
        <w:tc>
          <w:tcPr>
            <w:tcW w:w="1978" w:type="dxa"/>
            <w:gridSpan w:val="3"/>
            <w:shd w:val="clear" w:color="auto" w:fill="auto"/>
          </w:tcPr>
          <w:p w:rsidR="0007001D" w:rsidRPr="002B0CF7" w:rsidRDefault="0007001D" w:rsidP="00897F74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29,952,299 (14.2%)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2016</w:t>
            </w:r>
          </w:p>
        </w:tc>
        <w:tc>
          <w:tcPr>
            <w:tcW w:w="1619" w:type="dxa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213,649,147</w:t>
            </w:r>
          </w:p>
        </w:tc>
        <w:tc>
          <w:tcPr>
            <w:tcW w:w="2176" w:type="dxa"/>
            <w:gridSpan w:val="3"/>
            <w:shd w:val="clear" w:color="auto" w:fill="E7E6E6" w:themeFill="background2"/>
          </w:tcPr>
          <w:p w:rsidR="0007001D" w:rsidRPr="002B0CF7" w:rsidRDefault="0007001D" w:rsidP="00897F74">
            <w:pPr>
              <w:ind w:lef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142,075,939 (66.5%)</w:t>
            </w:r>
          </w:p>
        </w:tc>
        <w:tc>
          <w:tcPr>
            <w:tcW w:w="1966" w:type="dxa"/>
            <w:gridSpan w:val="5"/>
            <w:shd w:val="clear" w:color="auto" w:fill="E7E6E6" w:themeFill="background2"/>
          </w:tcPr>
          <w:p w:rsidR="0007001D" w:rsidRPr="002B0CF7" w:rsidRDefault="0007001D" w:rsidP="00897F74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25,084,264 (11.7%)</w:t>
            </w:r>
          </w:p>
        </w:tc>
        <w:tc>
          <w:tcPr>
            <w:tcW w:w="1978" w:type="dxa"/>
            <w:gridSpan w:val="3"/>
            <w:shd w:val="clear" w:color="auto" w:fill="E7E6E6" w:themeFill="background2"/>
          </w:tcPr>
          <w:p w:rsidR="0007001D" w:rsidRPr="002B0CF7" w:rsidRDefault="0007001D" w:rsidP="00897F74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sz w:val="20"/>
                <w:szCs w:val="20"/>
              </w:rPr>
              <w:t>30,666,598 (14.4%)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6" w:type="dxa"/>
            <w:gridSpan w:val="3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6" w:type="dxa"/>
            <w:gridSpan w:val="5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3"/>
            <w:shd w:val="clear" w:color="auto" w:fill="E7E6E6" w:themeFill="background2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Educational Attainment</w:t>
            </w:r>
          </w:p>
        </w:tc>
        <w:tc>
          <w:tcPr>
            <w:tcW w:w="1619" w:type="dxa"/>
            <w:shd w:val="clear" w:color="auto" w:fill="000000" w:themeFill="text1"/>
            <w:vAlign w:val="center"/>
          </w:tcPr>
          <w:p w:rsidR="0007001D" w:rsidRPr="002B0CF7" w:rsidRDefault="0007001D" w:rsidP="00897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6" w:type="dxa"/>
            <w:gridSpan w:val="3"/>
            <w:shd w:val="clear" w:color="auto" w:fill="000000" w:themeFill="text1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6" w:type="dxa"/>
            <w:gridSpan w:val="5"/>
            <w:shd w:val="clear" w:color="auto" w:fill="000000" w:themeFill="text1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gridSpan w:val="3"/>
            <w:shd w:val="clear" w:color="auto" w:fill="000000" w:themeFill="text1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07001D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Average %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i w:val="0"/>
                <w:sz w:val="20"/>
                <w:szCs w:val="20"/>
              </w:rPr>
              <w:t>High School Graduate</w:t>
            </w:r>
            <w:r w:rsidRPr="002B0CF7">
              <w:rPr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+</w:t>
            </w:r>
            <w:r w:rsidRPr="002B0CF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86.7%</w:t>
            </w:r>
          </w:p>
        </w:tc>
        <w:tc>
          <w:tcPr>
            <w:tcW w:w="2176" w:type="dxa"/>
            <w:gridSpan w:val="3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91.4%</w:t>
            </w:r>
          </w:p>
        </w:tc>
        <w:tc>
          <w:tcPr>
            <w:tcW w:w="1966" w:type="dxa"/>
            <w:gridSpan w:val="5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83.2%</w:t>
            </w:r>
          </w:p>
        </w:tc>
        <w:tc>
          <w:tcPr>
            <w:tcW w:w="1978" w:type="dxa"/>
            <w:gridSpan w:val="3"/>
            <w:shd w:val="clear" w:color="auto" w:fill="E7E6E6" w:themeFill="background2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64.1%</w:t>
            </w:r>
          </w:p>
        </w:tc>
      </w:tr>
      <w:tr w:rsidR="0007001D" w:rsidRPr="002B0CF7" w:rsidTr="00897F74">
        <w:trPr>
          <w:gridAfter w:val="2"/>
          <w:wAfter w:w="7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07001D" w:rsidRPr="002B0CF7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B0CF7">
              <w:rPr>
                <w:rFonts w:ascii="Times New Roman" w:hAnsi="Times New Roman" w:cs="Times New Roman"/>
                <w:i w:val="0"/>
                <w:sz w:val="20"/>
                <w:szCs w:val="20"/>
              </w:rPr>
              <w:t>Bachelor’s Degree</w:t>
            </w:r>
            <w:r w:rsidRPr="002B0CF7">
              <w:rPr>
                <w:rFonts w:ascii="Times New Roman" w:hAnsi="Times New Roman" w:cs="Times New Roman"/>
                <w:i w:val="0"/>
                <w:sz w:val="20"/>
                <w:szCs w:val="20"/>
                <w:vertAlign w:val="superscript"/>
              </w:rPr>
              <w:t>+</w:t>
            </w:r>
            <w:r w:rsidRPr="002B0CF7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29.9%</w:t>
            </w:r>
          </w:p>
        </w:tc>
        <w:tc>
          <w:tcPr>
            <w:tcW w:w="2176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32.7%</w:t>
            </w:r>
          </w:p>
        </w:tc>
        <w:tc>
          <w:tcPr>
            <w:tcW w:w="1966" w:type="dxa"/>
            <w:gridSpan w:val="5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19.0%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07001D" w:rsidRPr="002B0CF7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2B0CF7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13.9%</w:t>
            </w:r>
          </w:p>
        </w:tc>
      </w:tr>
    </w:tbl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p w:rsidR="0007001D" w:rsidRDefault="0007001D" w:rsidP="0007001D">
      <w:pPr>
        <w:rPr>
          <w:sz w:val="20"/>
          <w:szCs w:val="20"/>
        </w:rPr>
      </w:pPr>
    </w:p>
    <w:tbl>
      <w:tblPr>
        <w:tblStyle w:val="PlainTable51"/>
        <w:tblpPr w:leftFromText="180" w:rightFromText="180" w:vertAnchor="page" w:horzAnchor="margin" w:tblpXSpec="center" w:tblpY="721"/>
        <w:tblW w:w="10440" w:type="dxa"/>
        <w:tblLayout w:type="fixed"/>
        <w:tblLook w:val="04A0" w:firstRow="1" w:lastRow="0" w:firstColumn="1" w:lastColumn="0" w:noHBand="0" w:noVBand="1"/>
      </w:tblPr>
      <w:tblGrid>
        <w:gridCol w:w="2520"/>
        <w:gridCol w:w="2070"/>
        <w:gridCol w:w="1980"/>
        <w:gridCol w:w="1980"/>
        <w:gridCol w:w="1890"/>
      </w:tblGrid>
      <w:tr w:rsidR="0007001D" w:rsidRPr="00605A86" w:rsidTr="0089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  <w:vAlign w:val="center"/>
          </w:tcPr>
          <w:p w:rsidR="0007001D" w:rsidRPr="00530A12" w:rsidRDefault="0007001D" w:rsidP="00897F74">
            <w:pPr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7001D" w:rsidRPr="00932B02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001D" w:rsidRPr="00932B02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7001D" w:rsidRPr="00932B02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7001D" w:rsidRPr="00932B02" w:rsidRDefault="0007001D" w:rsidP="00897F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0000" w:themeFill="text1"/>
            <w:vAlign w:val="center"/>
          </w:tcPr>
          <w:p w:rsidR="0007001D" w:rsidRDefault="0007001D" w:rsidP="00897F74">
            <w:pPr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7920" w:type="dxa"/>
            <w:gridSpan w:val="4"/>
            <w:shd w:val="clear" w:color="auto" w:fill="000000" w:themeFill="text1"/>
            <w:vAlign w:val="bottom"/>
          </w:tcPr>
          <w:p w:rsidR="0007001D" w:rsidRPr="00310063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</w:rPr>
            </w:pPr>
            <w:r w:rsidRPr="00310063">
              <w:rPr>
                <w:rFonts w:ascii="Times New Roman" w:eastAsiaTheme="majorEastAsia" w:hAnsi="Times New Roman" w:cs="Times New Roman"/>
                <w:b/>
                <w:iCs/>
              </w:rPr>
              <w:t>Total U.S. Households (2012-2016)</w:t>
            </w:r>
          </w:p>
        </w:tc>
      </w:tr>
      <w:tr w:rsidR="0007001D" w:rsidRPr="00605A86" w:rsidTr="0089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0000" w:themeFill="text1"/>
            <w:vAlign w:val="center"/>
          </w:tcPr>
          <w:p w:rsidR="0007001D" w:rsidRDefault="0007001D" w:rsidP="00897F74">
            <w:pPr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7920" w:type="dxa"/>
            <w:gridSpan w:val="4"/>
            <w:shd w:val="clear" w:color="auto" w:fill="000000" w:themeFill="text1"/>
            <w:vAlign w:val="bottom"/>
          </w:tcPr>
          <w:p w:rsidR="0007001D" w:rsidRPr="00975E31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</w:rPr>
            </w:pP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0000" w:themeFill="text1"/>
            <w:vAlign w:val="center"/>
          </w:tcPr>
          <w:p w:rsidR="0007001D" w:rsidRDefault="0007001D" w:rsidP="00897F74">
            <w:pPr>
              <w:jc w:val="left"/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</w:p>
          <w:p w:rsidR="0007001D" w:rsidRPr="008D2DB6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000000" w:themeFill="text1"/>
            <w:vAlign w:val="bottom"/>
          </w:tcPr>
          <w:p w:rsidR="0007001D" w:rsidRPr="008471C9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 w:rsidRPr="008471C9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>Total Households</w:t>
            </w:r>
          </w:p>
        </w:tc>
        <w:tc>
          <w:tcPr>
            <w:tcW w:w="1980" w:type="dxa"/>
            <w:shd w:val="clear" w:color="auto" w:fill="000000" w:themeFill="text1"/>
            <w:vAlign w:val="bottom"/>
          </w:tcPr>
          <w:p w:rsidR="0007001D" w:rsidRPr="008471C9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>Non-Hispanic White</w:t>
            </w:r>
            <w:r w:rsidRPr="008471C9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000000" w:themeFill="text1"/>
            <w:vAlign w:val="bottom"/>
          </w:tcPr>
          <w:p w:rsidR="0007001D" w:rsidRPr="008471C9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 xml:space="preserve">Non-Hispanic Black </w:t>
            </w:r>
          </w:p>
        </w:tc>
        <w:tc>
          <w:tcPr>
            <w:tcW w:w="1890" w:type="dxa"/>
            <w:shd w:val="clear" w:color="auto" w:fill="000000" w:themeFill="text1"/>
            <w:vAlign w:val="bottom"/>
          </w:tcPr>
          <w:p w:rsidR="0007001D" w:rsidRPr="008471C9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</w:pPr>
            <w:r w:rsidRPr="008471C9">
              <w:rPr>
                <w:rFonts w:ascii="Times New Roman" w:eastAsiaTheme="majorEastAsia" w:hAnsi="Times New Roman" w:cs="Times New Roman"/>
                <w:b/>
                <w:iCs/>
                <w:sz w:val="20"/>
                <w:szCs w:val="20"/>
              </w:rPr>
              <w:t>Hispanic/Latino</w:t>
            </w:r>
          </w:p>
        </w:tc>
      </w:tr>
      <w:tr w:rsidR="0007001D" w:rsidRPr="00605A86" w:rsidTr="00897F7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D9D9D9" w:themeFill="background1" w:themeFillShade="D9"/>
            <w:vAlign w:val="center"/>
          </w:tcPr>
          <w:p w:rsidR="0007001D" w:rsidRPr="00B83F6C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83F6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2012</w:t>
            </w:r>
          </w:p>
        </w:tc>
        <w:tc>
          <w:tcPr>
            <w:tcW w:w="207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115,226,802</w:t>
            </w:r>
          </w:p>
        </w:tc>
        <w:tc>
          <w:tcPr>
            <w:tcW w:w="198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81,188,572 (70.5%)</w:t>
            </w:r>
          </w:p>
        </w:tc>
        <w:tc>
          <w:tcPr>
            <w:tcW w:w="198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13,842,116 (12.0%)</w:t>
            </w:r>
          </w:p>
        </w:tc>
        <w:tc>
          <w:tcPr>
            <w:tcW w:w="189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13,440,797 (11.7%)</w:t>
            </w: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7001D" w:rsidRPr="00B83F6C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83F6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2013</w:t>
            </w:r>
          </w:p>
        </w:tc>
        <w:tc>
          <w:tcPr>
            <w:tcW w:w="207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115,610,216</w:t>
            </w:r>
          </w:p>
        </w:tc>
        <w:tc>
          <w:tcPr>
            <w:tcW w:w="198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81,069,053 (70.1%)</w:t>
            </w:r>
          </w:p>
        </w:tc>
        <w:tc>
          <w:tcPr>
            <w:tcW w:w="198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13,920,322 (12.0%)</w:t>
            </w:r>
          </w:p>
        </w:tc>
        <w:tc>
          <w:tcPr>
            <w:tcW w:w="189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13,698,727 (11.8%)</w:t>
            </w:r>
          </w:p>
        </w:tc>
      </w:tr>
      <w:tr w:rsidR="0007001D" w:rsidRPr="00605A86" w:rsidTr="00897F7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D9D9D9" w:themeFill="background1" w:themeFillShade="D9"/>
            <w:vAlign w:val="center"/>
          </w:tcPr>
          <w:p w:rsidR="0007001D" w:rsidRPr="00B83F6C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83F6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2014</w:t>
            </w:r>
          </w:p>
        </w:tc>
        <w:tc>
          <w:tcPr>
            <w:tcW w:w="207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116,211,092</w:t>
            </w:r>
          </w:p>
        </w:tc>
        <w:tc>
          <w:tcPr>
            <w:tcW w:w="198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80,989,398 (69.7%)</w:t>
            </w:r>
          </w:p>
        </w:tc>
        <w:tc>
          <w:tcPr>
            <w:tcW w:w="198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14,042,937 (12.1%)</w:t>
            </w:r>
          </w:p>
        </w:tc>
        <w:tc>
          <w:tcPr>
            <w:tcW w:w="189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14,047,027 (12.1%)</w:t>
            </w: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7001D" w:rsidRPr="00B83F6C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B83F6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2015</w:t>
            </w:r>
          </w:p>
        </w:tc>
        <w:tc>
          <w:tcPr>
            <w:tcW w:w="207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116,926,305</w:t>
            </w:r>
          </w:p>
        </w:tc>
        <w:tc>
          <w:tcPr>
            <w:tcW w:w="198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80,971,346 (69.2%)</w:t>
            </w:r>
          </w:p>
        </w:tc>
        <w:tc>
          <w:tcPr>
            <w:tcW w:w="198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14,186,983 (12.1%)</w:t>
            </w:r>
          </w:p>
        </w:tc>
        <w:tc>
          <w:tcPr>
            <w:tcW w:w="1890" w:type="dxa"/>
            <w:shd w:val="clear" w:color="auto" w:fill="auto"/>
          </w:tcPr>
          <w:p w:rsidR="0007001D" w:rsidRPr="0077426A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14,410,181 (12.3%)</w:t>
            </w:r>
          </w:p>
        </w:tc>
      </w:tr>
      <w:tr w:rsidR="0007001D" w:rsidRPr="00605A86" w:rsidTr="00897F7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D9D9D9" w:themeFill="background1" w:themeFillShade="D9"/>
            <w:vAlign w:val="center"/>
          </w:tcPr>
          <w:p w:rsidR="0007001D" w:rsidRPr="00B83F6C" w:rsidRDefault="0007001D" w:rsidP="00897F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F6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2016</w:t>
            </w:r>
          </w:p>
        </w:tc>
        <w:tc>
          <w:tcPr>
            <w:tcW w:w="207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117,716,237</w:t>
            </w:r>
          </w:p>
        </w:tc>
        <w:tc>
          <w:tcPr>
            <w:tcW w:w="198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81,079,482 (68.9%)</w:t>
            </w:r>
          </w:p>
        </w:tc>
        <w:tc>
          <w:tcPr>
            <w:tcW w:w="198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14,343,764 (12.2%)</w:t>
            </w:r>
          </w:p>
        </w:tc>
        <w:tc>
          <w:tcPr>
            <w:tcW w:w="1890" w:type="dxa"/>
            <w:shd w:val="pct12" w:color="auto" w:fill="auto"/>
          </w:tcPr>
          <w:p w:rsidR="0007001D" w:rsidRPr="0077426A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6A">
              <w:rPr>
                <w:rFonts w:ascii="Times New Roman" w:hAnsi="Times New Roman" w:cs="Times New Roman"/>
                <w:sz w:val="20"/>
                <w:szCs w:val="20"/>
              </w:rPr>
              <w:t>14,725,771 (12.5%)</w:t>
            </w: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0000" w:themeFill="text1"/>
            <w:vAlign w:val="center"/>
          </w:tcPr>
          <w:p w:rsidR="0007001D" w:rsidRPr="00757023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757023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Home Ownership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07001D" w:rsidRPr="00395836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07001D" w:rsidRPr="001D2B46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07001D" w:rsidRPr="001D2B46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07001D" w:rsidRPr="001D2B46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07001D" w:rsidRPr="00605A86" w:rsidTr="00897F7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7001D" w:rsidRPr="00131F52" w:rsidRDefault="0007001D" w:rsidP="0007001D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Average %</w:t>
            </w:r>
            <w:r w:rsidRPr="00131F52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E7E6E6" w:themeFill="background2"/>
            <w:vAlign w:val="center"/>
          </w:tcPr>
          <w:p w:rsidR="0007001D" w:rsidRPr="00530A12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Owner Occupied</w:t>
            </w: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64.0%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71.4%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41.9%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45.8%</w:t>
            </w:r>
          </w:p>
        </w:tc>
      </w:tr>
      <w:tr w:rsidR="0007001D" w:rsidRPr="00605A86" w:rsidTr="0089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7001D" w:rsidRPr="00530A12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Renter Occupied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36.0%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28.6%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58.1%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54.2%</w:t>
            </w: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000000" w:themeFill="text1"/>
            <w:vAlign w:val="center"/>
          </w:tcPr>
          <w:p w:rsidR="0007001D" w:rsidRPr="00757023" w:rsidRDefault="0007001D" w:rsidP="00897F74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757023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Food Assistance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07001D" w:rsidRPr="00605A86" w:rsidTr="0089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7001D" w:rsidRPr="00961B02" w:rsidRDefault="0007001D" w:rsidP="0007001D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61B02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Average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%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</w:p>
        </w:tc>
      </w:tr>
      <w:tr w:rsidR="0007001D" w:rsidRPr="00605A86" w:rsidTr="0089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D9D9D9" w:themeFill="background1" w:themeFillShade="D9"/>
            <w:vAlign w:val="center"/>
          </w:tcPr>
          <w:p w:rsidR="0007001D" w:rsidRPr="00530A12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R</w:t>
            </w:r>
            <w:r w:rsidRPr="00530A1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eceived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Food Assistance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 w:rsidRPr="00FF600A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12.4%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8.5%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</w:t>
            </w:r>
            <w:r w:rsidRPr="00FF600A"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7.1%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07001D" w:rsidRPr="00932B02" w:rsidRDefault="0007001D" w:rsidP="00897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21.3%</w:t>
            </w:r>
          </w:p>
        </w:tc>
      </w:tr>
      <w:tr w:rsidR="0007001D" w:rsidRPr="00605A86" w:rsidTr="00897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07001D" w:rsidRPr="00530A12" w:rsidRDefault="0007001D" w:rsidP="00897F74">
            <w:pPr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Did not receive Food Assistance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87.6%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91.5%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 xml:space="preserve"> 72.8%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01D" w:rsidRPr="00932B02" w:rsidRDefault="0007001D" w:rsidP="00897F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iCs/>
                <w:sz w:val="20"/>
                <w:szCs w:val="20"/>
              </w:rPr>
              <w:t>78.7%</w:t>
            </w:r>
          </w:p>
        </w:tc>
      </w:tr>
    </w:tbl>
    <w:p w:rsidR="0007001D" w:rsidRPr="00725A2A" w:rsidRDefault="0007001D" w:rsidP="0007001D">
      <w:pPr>
        <w:rPr>
          <w:rFonts w:ascii="Times New Roman" w:hAnsi="Times New Roman" w:cs="Times New Roman"/>
          <w:sz w:val="20"/>
          <w:szCs w:val="20"/>
        </w:rPr>
      </w:pPr>
      <w:r w:rsidRPr="00725A2A">
        <w:rPr>
          <w:rFonts w:ascii="Times New Roman" w:hAnsi="Times New Roman" w:cs="Times New Roman"/>
          <w:sz w:val="20"/>
          <w:szCs w:val="20"/>
        </w:rPr>
        <w:t>*</w:t>
      </w:r>
      <w:r w:rsidRPr="00725A2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25A2A">
        <w:rPr>
          <w:rFonts w:ascii="Times New Roman" w:hAnsi="Times New Roman" w:cs="Times New Roman"/>
          <w:sz w:val="20"/>
          <w:szCs w:val="20"/>
        </w:rPr>
        <w:t>Only the highest proportion of U.S. racial ethnicities are included in this table; therefore, average percentages may not total up to 100%.</w:t>
      </w:r>
    </w:p>
    <w:p w:rsidR="0007001D" w:rsidRDefault="0007001D" w:rsidP="0007001D">
      <w:pPr>
        <w:rPr>
          <w:sz w:val="20"/>
          <w:szCs w:val="20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1D"/>
    <w:rsid w:val="0007001D"/>
    <w:rsid w:val="00725A2A"/>
    <w:rsid w:val="00A16C2E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F15C"/>
  <w15:chartTrackingRefBased/>
  <w15:docId w15:val="{A7F230D4-3CF6-4D2C-992B-B377A4C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0700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Qaiyim J. (CDC/ONDIEH/NCEH)-SU</dc:creator>
  <cp:keywords/>
  <dc:description/>
  <cp:lastModifiedBy>Whitehead, LaToria (CDC/ONDIEH/NCEH)</cp:lastModifiedBy>
  <cp:revision>2</cp:revision>
  <dcterms:created xsi:type="dcterms:W3CDTF">2018-08-13T22:43:00Z</dcterms:created>
  <dcterms:modified xsi:type="dcterms:W3CDTF">2018-08-13T22:43:00Z</dcterms:modified>
</cp:coreProperties>
</file>