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47" w:rsidRDefault="009A1C47" w:rsidP="009A1C47">
      <w:pPr>
        <w:spacing w:after="0" w:line="480" w:lineRule="auto"/>
      </w:pPr>
      <w:bookmarkStart w:id="0" w:name="_GoBack"/>
      <w:r w:rsidRPr="009A1C47">
        <w:rPr>
          <w:b/>
        </w:rPr>
        <w:t>Appendix 2.</w:t>
      </w:r>
      <w:r>
        <w:t xml:space="preserve"> </w:t>
      </w:r>
      <w:bookmarkEnd w:id="0"/>
      <w:r>
        <w:t>Description of the modifications made during the confirmatory factor analysis (CFA)</w:t>
      </w:r>
    </w:p>
    <w:p w:rsidR="009A1C47" w:rsidRDefault="009A1C47" w:rsidP="009A1C47">
      <w:pPr>
        <w:spacing w:after="0" w:line="480" w:lineRule="auto"/>
      </w:pPr>
    </w:p>
    <w:p w:rsidR="009A1C47" w:rsidRPr="007C7C4E" w:rsidRDefault="009A1C47" w:rsidP="009A1C47">
      <w:pPr>
        <w:spacing w:after="0" w:line="480" w:lineRule="auto"/>
      </w:pPr>
      <w:r w:rsidRPr="007C7C4E">
        <w:t xml:space="preserve">The base model had poor fit according to all indices </w:t>
      </w:r>
      <w:r w:rsidRPr="008C1890">
        <w:t>(</w:t>
      </w:r>
      <w:r w:rsidRPr="008C1890">
        <w:rPr>
          <w:rFonts w:ascii="Calibri" w:eastAsia="Times New Roman" w:hAnsi="Calibri" w:cs="Calibri"/>
          <w:bCs/>
          <w:color w:val="000000"/>
        </w:rPr>
        <w:t>Χ</w:t>
      </w:r>
      <w:r w:rsidRPr="008C1890">
        <w:rPr>
          <w:rFonts w:ascii="Calibri" w:eastAsia="Times New Roman" w:hAnsi="Calibri" w:cs="Calibri"/>
          <w:bCs/>
          <w:color w:val="000000"/>
          <w:vertAlign w:val="superscript"/>
        </w:rPr>
        <w:t>2</w:t>
      </w:r>
      <w:r w:rsidRPr="008C1890">
        <w:rPr>
          <w:rFonts w:ascii="Calibri" w:eastAsia="Times New Roman" w:hAnsi="Calibri" w:cs="Calibri"/>
          <w:bCs/>
          <w:color w:val="000000"/>
        </w:rPr>
        <w:t>=1355</w:t>
      </w:r>
      <w:r>
        <w:rPr>
          <w:rFonts w:ascii="Calibri" w:eastAsia="Times New Roman" w:hAnsi="Calibri" w:cs="Calibri"/>
          <w:bCs/>
          <w:color w:val="000000"/>
        </w:rPr>
        <w:t xml:space="preserve">, </w:t>
      </w:r>
      <w:r w:rsidRPr="008C1890">
        <w:t>RMSEA</w:t>
      </w:r>
      <w:r>
        <w:t xml:space="preserve">=0.096, CFI=0.921, </w:t>
      </w:r>
      <w:r w:rsidRPr="007C7C4E">
        <w:t xml:space="preserve">Table 3). In the first modification, two items </w:t>
      </w:r>
      <w:r>
        <w:t xml:space="preserve">(20 and 24) </w:t>
      </w:r>
      <w:r w:rsidRPr="007C7C4E">
        <w:t xml:space="preserve">were dropped because of high modification indices indicating </w:t>
      </w:r>
      <w:proofErr w:type="gramStart"/>
      <w:r w:rsidRPr="007C7C4E">
        <w:t>cross-loading</w:t>
      </w:r>
      <w:proofErr w:type="gramEnd"/>
      <w:r w:rsidRPr="007C7C4E">
        <w:t xml:space="preserve"> onto all other factors in addition to the factors on which they were intended to load. The fit of this model improved moderately but was still inadequate</w:t>
      </w:r>
      <w:r>
        <w:t xml:space="preserve"> </w:t>
      </w:r>
      <w:r w:rsidRPr="008C1890">
        <w:t>(</w:t>
      </w:r>
      <w:r w:rsidRPr="008C1890">
        <w:rPr>
          <w:rFonts w:ascii="Calibri" w:eastAsia="Times New Roman" w:hAnsi="Calibri" w:cs="Calibri"/>
          <w:bCs/>
          <w:color w:val="000000"/>
        </w:rPr>
        <w:t>Χ</w:t>
      </w:r>
      <w:r w:rsidRPr="008C1890">
        <w:rPr>
          <w:rFonts w:ascii="Calibri" w:eastAsia="Times New Roman" w:hAnsi="Calibri" w:cs="Calibri"/>
          <w:bCs/>
          <w:color w:val="000000"/>
          <w:vertAlign w:val="superscript"/>
        </w:rPr>
        <w:t>2</w:t>
      </w:r>
      <w:r w:rsidRPr="008C1890">
        <w:rPr>
          <w:rFonts w:ascii="Calibri" w:eastAsia="Times New Roman" w:hAnsi="Calibri" w:cs="Calibri"/>
          <w:bCs/>
          <w:color w:val="000000"/>
        </w:rPr>
        <w:t>=</w:t>
      </w:r>
      <w:r>
        <w:rPr>
          <w:rFonts w:ascii="Calibri" w:eastAsia="Times New Roman" w:hAnsi="Calibri" w:cs="Calibri"/>
          <w:bCs/>
          <w:color w:val="000000"/>
        </w:rPr>
        <w:t xml:space="preserve">950, </w:t>
      </w:r>
      <w:r w:rsidRPr="008C1890">
        <w:t>RMSEA</w:t>
      </w:r>
      <w:r>
        <w:t>=0.085, CFI=0.945)</w:t>
      </w:r>
      <w:r w:rsidRPr="007C7C4E">
        <w:t xml:space="preserve">. In the second and third modifications, one item </w:t>
      </w:r>
      <w:proofErr w:type="gramStart"/>
      <w:r w:rsidRPr="007C7C4E">
        <w:t>was dropped</w:t>
      </w:r>
      <w:proofErr w:type="gramEnd"/>
      <w:r w:rsidRPr="007C7C4E">
        <w:t xml:space="preserve"> in each because of high modification indices indicating it loaded onto three other factors and was highly correlated with another item</w:t>
      </w:r>
      <w:r>
        <w:t xml:space="preserve"> (item 4 in modification 2 and item 19 in modification 3)</w:t>
      </w:r>
      <w:r w:rsidRPr="007C7C4E">
        <w:t>. These modifications slightly improved model fit</w:t>
      </w:r>
      <w:r w:rsidRPr="008C1890">
        <w:t xml:space="preserve"> (</w:t>
      </w:r>
      <w:r>
        <w:t xml:space="preserve">modification 2: </w:t>
      </w:r>
      <w:r w:rsidRPr="008C1890">
        <w:rPr>
          <w:rFonts w:ascii="Calibri" w:eastAsia="Times New Roman" w:hAnsi="Calibri" w:cs="Calibri"/>
          <w:bCs/>
          <w:color w:val="000000"/>
        </w:rPr>
        <w:t>Χ</w:t>
      </w:r>
      <w:r w:rsidRPr="008C1890">
        <w:rPr>
          <w:rFonts w:ascii="Calibri" w:eastAsia="Times New Roman" w:hAnsi="Calibri" w:cs="Calibri"/>
          <w:bCs/>
          <w:color w:val="000000"/>
          <w:vertAlign w:val="superscript"/>
        </w:rPr>
        <w:t>2</w:t>
      </w:r>
      <w:r w:rsidRPr="008C1890">
        <w:rPr>
          <w:rFonts w:ascii="Calibri" w:eastAsia="Times New Roman" w:hAnsi="Calibri" w:cs="Calibri"/>
          <w:bCs/>
          <w:color w:val="000000"/>
        </w:rPr>
        <w:t>=</w:t>
      </w:r>
      <w:r>
        <w:rPr>
          <w:rFonts w:ascii="Calibri" w:eastAsia="Times New Roman" w:hAnsi="Calibri" w:cs="Calibri"/>
          <w:bCs/>
          <w:color w:val="000000"/>
        </w:rPr>
        <w:t xml:space="preserve">810, </w:t>
      </w:r>
      <w:r w:rsidRPr="008C1890">
        <w:t>RMSEA</w:t>
      </w:r>
      <w:r>
        <w:t xml:space="preserve">=0.081, CFI=0.950; modification 3: </w:t>
      </w:r>
      <w:r w:rsidRPr="008C1890">
        <w:rPr>
          <w:rFonts w:ascii="Calibri" w:eastAsia="Times New Roman" w:hAnsi="Calibri" w:cs="Calibri"/>
          <w:bCs/>
          <w:color w:val="000000"/>
        </w:rPr>
        <w:t>Χ</w:t>
      </w:r>
      <w:r w:rsidRPr="008C1890">
        <w:rPr>
          <w:rFonts w:ascii="Calibri" w:eastAsia="Times New Roman" w:hAnsi="Calibri" w:cs="Calibri"/>
          <w:bCs/>
          <w:color w:val="000000"/>
          <w:vertAlign w:val="superscript"/>
        </w:rPr>
        <w:t>2</w:t>
      </w:r>
      <w:r w:rsidRPr="008C1890">
        <w:rPr>
          <w:rFonts w:ascii="Calibri" w:eastAsia="Times New Roman" w:hAnsi="Calibri" w:cs="Calibri"/>
          <w:bCs/>
          <w:color w:val="000000"/>
        </w:rPr>
        <w:t>=</w:t>
      </w:r>
      <w:r>
        <w:rPr>
          <w:rFonts w:ascii="Calibri" w:eastAsia="Times New Roman" w:hAnsi="Calibri" w:cs="Calibri"/>
          <w:bCs/>
          <w:color w:val="000000"/>
        </w:rPr>
        <w:t xml:space="preserve">713, </w:t>
      </w:r>
      <w:r w:rsidRPr="008C1890">
        <w:t>RMSEA</w:t>
      </w:r>
      <w:r>
        <w:t>=0.079, CFI=0.954)</w:t>
      </w:r>
      <w:r w:rsidRPr="007C7C4E">
        <w:t xml:space="preserve">. In the fourth modification, two covariance terms were added, one between items </w:t>
      </w:r>
      <w:r>
        <w:t>2 and 6</w:t>
      </w:r>
      <w:r w:rsidRPr="007C7C4E">
        <w:t xml:space="preserve"> and the other between </w:t>
      </w:r>
      <w:r>
        <w:t>items 8 and 14.T</w:t>
      </w:r>
      <w:r w:rsidRPr="007C7C4E">
        <w:t xml:space="preserve">he model fit </w:t>
      </w:r>
      <w:r>
        <w:t xml:space="preserve">after this modification </w:t>
      </w:r>
      <w:r w:rsidRPr="007C7C4E">
        <w:t>was adequate on all indices</w:t>
      </w:r>
      <w:r>
        <w:t xml:space="preserve"> (</w:t>
      </w:r>
      <w:r w:rsidRPr="008C1890">
        <w:rPr>
          <w:rFonts w:ascii="Calibri" w:eastAsia="Times New Roman" w:hAnsi="Calibri" w:cs="Calibri"/>
          <w:bCs/>
          <w:color w:val="000000"/>
        </w:rPr>
        <w:t>Χ</w:t>
      </w:r>
      <w:r w:rsidRPr="008C1890">
        <w:rPr>
          <w:rFonts w:ascii="Calibri" w:eastAsia="Times New Roman" w:hAnsi="Calibri" w:cs="Calibri"/>
          <w:bCs/>
          <w:color w:val="000000"/>
          <w:vertAlign w:val="superscript"/>
        </w:rPr>
        <w:t>2</w:t>
      </w:r>
      <w:r w:rsidRPr="008C1890">
        <w:rPr>
          <w:rFonts w:ascii="Calibri" w:eastAsia="Times New Roman" w:hAnsi="Calibri" w:cs="Calibri"/>
          <w:bCs/>
          <w:color w:val="000000"/>
        </w:rPr>
        <w:t>=</w:t>
      </w:r>
      <w:r>
        <w:rPr>
          <w:rFonts w:ascii="Calibri" w:eastAsia="Times New Roman" w:hAnsi="Calibri" w:cs="Calibri"/>
          <w:bCs/>
          <w:color w:val="000000"/>
        </w:rPr>
        <w:t xml:space="preserve">637, </w:t>
      </w:r>
      <w:r w:rsidRPr="008C1890">
        <w:t>RMSEA</w:t>
      </w:r>
      <w:r>
        <w:t>=0.074, CFI=0.961)</w:t>
      </w:r>
      <w:r w:rsidRPr="007C7C4E">
        <w:t xml:space="preserve">. In the last (fifth) modification, </w:t>
      </w:r>
      <w:r>
        <w:t>item 15</w:t>
      </w:r>
      <w:r w:rsidRPr="007C7C4E">
        <w:t xml:space="preserve"> was dropped because of </w:t>
      </w:r>
      <w:proofErr w:type="gramStart"/>
      <w:r w:rsidRPr="007C7C4E">
        <w:t>cross-loading</w:t>
      </w:r>
      <w:proofErr w:type="gramEnd"/>
      <w:r w:rsidRPr="007C7C4E">
        <w:t xml:space="preserve"> onto all other factors. The model fit only improved slightly</w:t>
      </w:r>
      <w:r>
        <w:t xml:space="preserve"> (</w:t>
      </w:r>
      <w:r w:rsidRPr="008C1890">
        <w:rPr>
          <w:rFonts w:ascii="Calibri" w:eastAsia="Times New Roman" w:hAnsi="Calibri" w:cs="Calibri"/>
          <w:bCs/>
          <w:color w:val="000000"/>
        </w:rPr>
        <w:t>Χ</w:t>
      </w:r>
      <w:r w:rsidRPr="008C1890">
        <w:rPr>
          <w:rFonts w:ascii="Calibri" w:eastAsia="Times New Roman" w:hAnsi="Calibri" w:cs="Calibri"/>
          <w:bCs/>
          <w:color w:val="000000"/>
          <w:vertAlign w:val="superscript"/>
        </w:rPr>
        <w:t>2</w:t>
      </w:r>
      <w:r w:rsidRPr="008C1890">
        <w:rPr>
          <w:rFonts w:ascii="Calibri" w:eastAsia="Times New Roman" w:hAnsi="Calibri" w:cs="Calibri"/>
          <w:bCs/>
          <w:color w:val="000000"/>
        </w:rPr>
        <w:t>=</w:t>
      </w:r>
      <w:r>
        <w:rPr>
          <w:rFonts w:ascii="Calibri" w:eastAsia="Times New Roman" w:hAnsi="Calibri" w:cs="Calibri"/>
          <w:bCs/>
          <w:color w:val="000000"/>
        </w:rPr>
        <w:t xml:space="preserve">569, </w:t>
      </w:r>
      <w:r w:rsidRPr="008C1890">
        <w:t>RMSEA</w:t>
      </w:r>
      <w:r>
        <w:t>=0.073, CFI=0.965)</w:t>
      </w:r>
      <w:r w:rsidRPr="007C7C4E">
        <w:t xml:space="preserve">, but the item </w:t>
      </w:r>
      <w:r>
        <w:t xml:space="preserve">remained </w:t>
      </w:r>
      <w:r w:rsidRPr="007C7C4E">
        <w:t>excluded in the final model solution based on parsimony</w:t>
      </w:r>
      <w:r>
        <w:t xml:space="preserve"> (i.e., being able to measure the construct sufficiently with the fewest number of items possible)</w:t>
      </w:r>
      <w:r w:rsidRPr="007C7C4E">
        <w:t>. The final measure had six scales: awareness of EBDM (</w:t>
      </w:r>
      <w:proofErr w:type="gramStart"/>
      <w:r w:rsidRPr="007C7C4E">
        <w:t>3</w:t>
      </w:r>
      <w:proofErr w:type="gramEnd"/>
      <w:r w:rsidRPr="007C7C4E">
        <w:t xml:space="preserve"> items), capacity for EBDM (7 items), resources availability (3 items), evaluation capacity (3 items), EBDM climate cultivation (3 items), and partnerships to support EBDM (3 items), with a total of 22 items.</w:t>
      </w:r>
    </w:p>
    <w:p w:rsidR="00EE520D" w:rsidRDefault="009A1C47"/>
    <w:sectPr w:rsidR="00EE5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47"/>
    <w:rsid w:val="009A1C47"/>
    <w:rsid w:val="00AE29F6"/>
    <w:rsid w:val="00E4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99E8"/>
  <w15:chartTrackingRefBased/>
  <w15:docId w15:val="{5D5BFB29-BAA1-4FC7-A9B7-5EB57F7B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1502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Mazzucca</dc:creator>
  <cp:keywords/>
  <dc:description/>
  <cp:lastModifiedBy>Stephanie Mazzucca</cp:lastModifiedBy>
  <cp:revision>1</cp:revision>
  <dcterms:created xsi:type="dcterms:W3CDTF">2018-10-30T19:29:00Z</dcterms:created>
  <dcterms:modified xsi:type="dcterms:W3CDTF">2018-10-30T19:29:00Z</dcterms:modified>
</cp:coreProperties>
</file>