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D8274" w14:textId="41745959" w:rsidR="00816FFB" w:rsidRDefault="00816FFB" w:rsidP="00816FFB">
      <w:pPr>
        <w:spacing w:after="0" w:line="240" w:lineRule="auto"/>
        <w:jc w:val="center"/>
        <w:rPr>
          <w:rFonts w:ascii="Calibri" w:eastAsia="+mn-ea" w:hAnsi="Calibri" w:cs="+mn-cs"/>
          <w:b/>
          <w:color w:val="000000"/>
          <w:kern w:val="24"/>
          <w:sz w:val="28"/>
          <w:szCs w:val="28"/>
        </w:rPr>
      </w:pPr>
      <w:r w:rsidRPr="00197D8C">
        <w:rPr>
          <w:rFonts w:ascii="Calibri" w:eastAsia="+mn-ea" w:hAnsi="Calibri" w:cs="+mn-cs"/>
          <w:b/>
          <w:color w:val="000000"/>
          <w:kern w:val="24"/>
          <w:sz w:val="28"/>
          <w:szCs w:val="28"/>
        </w:rPr>
        <w:t xml:space="preserve">Essential Policies for </w:t>
      </w:r>
      <w:r w:rsidR="00117C85">
        <w:rPr>
          <w:rFonts w:ascii="Calibri" w:eastAsia="+mn-ea" w:hAnsi="Calibri" w:cs="+mn-cs"/>
          <w:b/>
          <w:color w:val="000000"/>
          <w:kern w:val="24"/>
          <w:sz w:val="28"/>
          <w:szCs w:val="28"/>
        </w:rPr>
        <w:t>Chronic</w:t>
      </w:r>
      <w:r w:rsidRPr="00197D8C">
        <w:rPr>
          <w:rFonts w:ascii="Calibri" w:eastAsia="+mn-ea" w:hAnsi="Calibri" w:cs="+mn-cs"/>
          <w:b/>
          <w:color w:val="000000"/>
          <w:kern w:val="24"/>
          <w:sz w:val="28"/>
          <w:szCs w:val="28"/>
        </w:rPr>
        <w:t xml:space="preserve"> Disease</w:t>
      </w:r>
      <w:r w:rsidR="00117C85">
        <w:rPr>
          <w:rFonts w:ascii="Calibri" w:eastAsia="+mn-ea" w:hAnsi="Calibri" w:cs="+mn-cs"/>
          <w:b/>
          <w:color w:val="000000"/>
          <w:kern w:val="24"/>
          <w:sz w:val="28"/>
          <w:szCs w:val="28"/>
        </w:rPr>
        <w:t xml:space="preserve"> Prevention and Control:</w:t>
      </w:r>
      <w:r w:rsidRPr="0019658E">
        <w:rPr>
          <w:rFonts w:ascii="Calibri" w:eastAsia="+mn-ea" w:hAnsi="Calibri" w:cs="+mn-cs"/>
          <w:b/>
          <w:color w:val="000000"/>
          <w:kern w:val="24"/>
          <w:sz w:val="28"/>
          <w:szCs w:val="28"/>
        </w:rPr>
        <w:t xml:space="preserve"> </w:t>
      </w:r>
    </w:p>
    <w:p w14:paraId="10B26F7C" w14:textId="6C0658D7" w:rsidR="00117C85" w:rsidRPr="00117C85" w:rsidRDefault="00117C85" w:rsidP="00816FFB">
      <w:pPr>
        <w:spacing w:after="0" w:line="240" w:lineRule="auto"/>
        <w:jc w:val="center"/>
        <w:rPr>
          <w:rFonts w:ascii="Calibri" w:eastAsia="+mn-ea" w:hAnsi="Calibri" w:cs="+mn-cs"/>
          <w:i/>
          <w:color w:val="000000"/>
          <w:kern w:val="24"/>
          <w:sz w:val="28"/>
          <w:szCs w:val="28"/>
        </w:rPr>
      </w:pPr>
      <w:r>
        <w:rPr>
          <w:rFonts w:ascii="Calibri" w:eastAsia="+mn-ea" w:hAnsi="Calibri" w:cs="+mn-cs"/>
          <w:i/>
          <w:color w:val="000000"/>
          <w:kern w:val="24"/>
          <w:sz w:val="28"/>
          <w:szCs w:val="28"/>
        </w:rPr>
        <w:t xml:space="preserve">Priorities for </w:t>
      </w:r>
      <w:r w:rsidRPr="00117C85">
        <w:rPr>
          <w:rFonts w:ascii="Calibri" w:eastAsia="+mn-ea" w:hAnsi="Calibri" w:cs="+mn-cs"/>
          <w:i/>
          <w:color w:val="000000"/>
          <w:kern w:val="24"/>
          <w:sz w:val="28"/>
          <w:szCs w:val="28"/>
        </w:rPr>
        <w:t>State and Territorial Health Official</w:t>
      </w:r>
      <w:r>
        <w:rPr>
          <w:rFonts w:ascii="Calibri" w:eastAsia="+mn-ea" w:hAnsi="Calibri" w:cs="+mn-cs"/>
          <w:i/>
          <w:color w:val="000000"/>
          <w:kern w:val="24"/>
          <w:sz w:val="28"/>
          <w:szCs w:val="28"/>
        </w:rPr>
        <w:t>s</w:t>
      </w:r>
      <w:r w:rsidRPr="00117C85">
        <w:rPr>
          <w:rFonts w:ascii="Calibri" w:eastAsia="+mn-ea" w:hAnsi="Calibri" w:cs="+mn-cs"/>
          <w:i/>
          <w:color w:val="000000"/>
          <w:kern w:val="24"/>
          <w:sz w:val="28"/>
          <w:szCs w:val="28"/>
        </w:rPr>
        <w:t xml:space="preserve"> </w:t>
      </w:r>
    </w:p>
    <w:p w14:paraId="1E3541B4" w14:textId="77777777" w:rsidR="001A0E9D" w:rsidRDefault="001A0E9D" w:rsidP="00816FFB">
      <w:pPr>
        <w:spacing w:after="0" w:line="240" w:lineRule="auto"/>
        <w:jc w:val="center"/>
        <w:rPr>
          <w:rFonts w:ascii="Calibri" w:eastAsia="+mn-ea" w:hAnsi="Calibri" w:cs="+mn-cs"/>
          <w:b/>
          <w:color w:val="000000"/>
          <w:kern w:val="24"/>
          <w:sz w:val="28"/>
          <w:szCs w:val="28"/>
        </w:rPr>
      </w:pPr>
    </w:p>
    <w:p w14:paraId="02C76CED" w14:textId="77777777" w:rsidR="001A0E9D" w:rsidRPr="00197D8C" w:rsidRDefault="001A0E9D" w:rsidP="00816FFB">
      <w:pPr>
        <w:spacing w:after="0" w:line="240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14:paraId="6DAFF06F" w14:textId="720F1107" w:rsidR="00816FFB" w:rsidRPr="00876499" w:rsidRDefault="00816FFB" w:rsidP="00816FF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876499">
        <w:rPr>
          <w:rFonts w:ascii="Calibri" w:eastAsia="+mn-ea" w:hAnsi="Calibri" w:cs="+mn-cs"/>
          <w:b/>
          <w:color w:val="000000"/>
          <w:kern w:val="24"/>
          <w:sz w:val="40"/>
          <w:szCs w:val="40"/>
        </w:rPr>
        <w:t>Risk Factor:  Tobacco</w:t>
      </w:r>
    </w:p>
    <w:p w14:paraId="6261A160" w14:textId="77777777" w:rsidR="001A0E9D" w:rsidRDefault="001A0E9D" w:rsidP="001A0E9D">
      <w:pPr>
        <w:spacing w:after="0" w:line="240" w:lineRule="auto"/>
        <w:rPr>
          <w:rFonts w:ascii="Calibri" w:eastAsia="+mn-ea" w:hAnsi="Calibri" w:cs="+mn-cs"/>
          <w:b/>
          <w:color w:val="000000"/>
          <w:kern w:val="24"/>
          <w:sz w:val="28"/>
          <w:szCs w:val="28"/>
        </w:rPr>
      </w:pPr>
    </w:p>
    <w:p w14:paraId="2925E919" w14:textId="1260B495" w:rsidR="001A0E9D" w:rsidRPr="001A0E9D" w:rsidRDefault="001A0E9D" w:rsidP="001A0E9D">
      <w:pPr>
        <w:spacing w:after="0" w:line="240" w:lineRule="auto"/>
        <w:rPr>
          <w:rFonts w:ascii="Calibri" w:eastAsia="+mn-ea" w:hAnsi="Calibri" w:cs="+mn-cs"/>
          <w:color w:val="000000"/>
          <w:kern w:val="24"/>
          <w:sz w:val="28"/>
          <w:szCs w:val="28"/>
          <w:u w:val="single"/>
        </w:rPr>
      </w:pPr>
      <w:r w:rsidRPr="001A0E9D">
        <w:rPr>
          <w:rFonts w:ascii="Calibri" w:eastAsia="+mn-ea" w:hAnsi="Calibri" w:cs="+mn-cs"/>
          <w:color w:val="000000"/>
          <w:kern w:val="24"/>
          <w:sz w:val="28"/>
          <w:szCs w:val="28"/>
          <w:u w:val="single"/>
        </w:rPr>
        <w:t xml:space="preserve">S/THO has primary </w:t>
      </w:r>
      <w:r w:rsidR="001D2692">
        <w:rPr>
          <w:rFonts w:ascii="Calibri" w:eastAsia="+mn-ea" w:hAnsi="Calibri" w:cs="+mn-cs"/>
          <w:color w:val="000000"/>
          <w:kern w:val="24"/>
          <w:sz w:val="28"/>
          <w:szCs w:val="28"/>
          <w:u w:val="single"/>
        </w:rPr>
        <w:t>authority</w:t>
      </w:r>
      <w:r w:rsidR="00E33182" w:rsidRPr="001A0E9D">
        <w:rPr>
          <w:rFonts w:ascii="Calibri" w:eastAsia="+mn-ea" w:hAnsi="Calibri" w:cs="+mn-cs"/>
          <w:color w:val="000000"/>
          <w:kern w:val="24"/>
          <w:sz w:val="28"/>
          <w:szCs w:val="28"/>
          <w:u w:val="single"/>
        </w:rPr>
        <w:t xml:space="preserve"> </w:t>
      </w:r>
      <w:r w:rsidRPr="001A0E9D">
        <w:rPr>
          <w:rFonts w:ascii="Calibri" w:eastAsia="+mn-ea" w:hAnsi="Calibri" w:cs="+mn-cs"/>
          <w:color w:val="000000"/>
          <w:kern w:val="24"/>
          <w:sz w:val="28"/>
          <w:szCs w:val="28"/>
          <w:u w:val="single"/>
        </w:rPr>
        <w:t>role</w:t>
      </w:r>
    </w:p>
    <w:p w14:paraId="574C675B" w14:textId="77777777" w:rsidR="001A0E9D" w:rsidRPr="001A0E9D" w:rsidRDefault="001A0E9D" w:rsidP="001A0E9D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192F70EE" w14:textId="7416FE5F" w:rsidR="00E33182" w:rsidRPr="00983810" w:rsidRDefault="00816FFB" w:rsidP="008031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464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Increase taxes on </w:t>
      </w:r>
      <w:r w:rsidR="00E33182" w:rsidRPr="00AB4464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all </w:t>
      </w:r>
      <w:r w:rsidRPr="00AB4464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tobacco products </w:t>
      </w:r>
    </w:p>
    <w:p w14:paraId="31296FC2" w14:textId="5D731ADA" w:rsidR="00983810" w:rsidRDefault="00983810" w:rsidP="00983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D9FA2F" w14:textId="4C0428A1" w:rsidR="00983810" w:rsidRPr="00983810" w:rsidRDefault="00983810" w:rsidP="0098381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83810">
        <w:rPr>
          <w:rFonts w:eastAsia="Times New Roman" w:cstheme="minorHAnsi"/>
          <w:sz w:val="24"/>
          <w:szCs w:val="24"/>
        </w:rPr>
        <w:t>Policy Areas</w:t>
      </w:r>
    </w:p>
    <w:p w14:paraId="093CE951" w14:textId="77777777" w:rsidR="00AB4464" w:rsidRPr="00983810" w:rsidRDefault="00AB4464" w:rsidP="00AB4464">
      <w:pPr>
        <w:pStyle w:val="ListParagraph"/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</w:p>
    <w:p w14:paraId="261CF32F" w14:textId="7C107C72" w:rsidR="00112C61" w:rsidRDefault="00112C61" w:rsidP="00112C61">
      <w:pPr>
        <w:spacing w:after="0" w:line="240" w:lineRule="auto"/>
      </w:pPr>
      <w:r>
        <w:t xml:space="preserve">Tracking sources: </w:t>
      </w:r>
    </w:p>
    <w:p w14:paraId="20B7963E" w14:textId="4A246A64" w:rsidR="005B3939" w:rsidRPr="005B3939" w:rsidRDefault="00641C9E" w:rsidP="00C66BF1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8" w:history="1">
        <w:r w:rsidR="00C66BF1" w:rsidRPr="005B3939">
          <w:rPr>
            <w:rStyle w:val="Hyperlink"/>
            <w:rFonts w:ascii="Calibri" w:eastAsia="Times New Roman" w:hAnsi="Calibri" w:cs="Calibri"/>
          </w:rPr>
          <w:t>https://www.lung.org/research/sotc/state-grades</w:t>
        </w:r>
      </w:hyperlink>
    </w:p>
    <w:p w14:paraId="70621EFE" w14:textId="46D940B7" w:rsidR="005B3939" w:rsidRDefault="00641C9E" w:rsidP="00C66BF1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9" w:history="1">
        <w:r w:rsidR="00C66BF1" w:rsidRPr="005B3939">
          <w:rPr>
            <w:rStyle w:val="Hyperlink"/>
            <w:rFonts w:ascii="Calibri" w:eastAsia="Times New Roman" w:hAnsi="Calibri" w:cs="Calibri"/>
          </w:rPr>
          <w:t>https://www.tobaccofreekids.org/assets/factsheets/0097.pdf</w:t>
        </w:r>
      </w:hyperlink>
    </w:p>
    <w:p w14:paraId="5F71B965" w14:textId="77777777" w:rsidR="005B3939" w:rsidRPr="005B3939" w:rsidRDefault="00641C9E" w:rsidP="005B3939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0" w:history="1">
        <w:r w:rsidR="005B3939" w:rsidRPr="005B3939">
          <w:rPr>
            <w:rFonts w:ascii="Calibri" w:eastAsia="Times New Roman" w:hAnsi="Calibri" w:cs="Calibri"/>
            <w:color w:val="0563C1"/>
            <w:u w:val="single"/>
          </w:rPr>
          <w:t>https://publichealthlawcenter.org/sites/default/files/States-with-Laws-Taxing-ECigarettes-March152020.pdf</w:t>
        </w:r>
      </w:hyperlink>
    </w:p>
    <w:p w14:paraId="05035EA3" w14:textId="77777777" w:rsidR="005B3939" w:rsidRPr="005B3939" w:rsidRDefault="00641C9E" w:rsidP="005B3939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1" w:history="1">
        <w:r w:rsidR="005B3939" w:rsidRPr="005B3939">
          <w:rPr>
            <w:rFonts w:ascii="Calibri" w:eastAsia="Times New Roman" w:hAnsi="Calibri" w:cs="Calibri"/>
            <w:color w:val="0563C1"/>
            <w:u w:val="single"/>
          </w:rPr>
          <w:t>https://www.ncsl.org/research/fiscal-policy/electronic-cigarette-taxation.aspx</w:t>
        </w:r>
      </w:hyperlink>
    </w:p>
    <w:p w14:paraId="5142F439" w14:textId="77777777" w:rsidR="005B3939" w:rsidRPr="005B3939" w:rsidRDefault="005B3939" w:rsidP="005B3939">
      <w:pPr>
        <w:spacing w:after="0" w:line="240" w:lineRule="auto"/>
        <w:ind w:firstLine="360"/>
        <w:rPr>
          <w:rFonts w:ascii="Calibri" w:eastAsia="Times New Roman" w:hAnsi="Calibri" w:cs="Calibri"/>
          <w:color w:val="0563C1"/>
          <w:u w:val="single"/>
        </w:rPr>
      </w:pPr>
    </w:p>
    <w:p w14:paraId="7B55BF03" w14:textId="77777777" w:rsidR="005B3939" w:rsidRPr="00112C61" w:rsidRDefault="005B3939" w:rsidP="00112C6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14:paraId="426DD5F5" w14:textId="77777777" w:rsidR="001219C6" w:rsidRPr="005740F5" w:rsidRDefault="001219C6" w:rsidP="00E33182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6CE5A691" w14:textId="69209A0E" w:rsidR="00816FFB" w:rsidRPr="00320CCD" w:rsidRDefault="00452F02" w:rsidP="00816F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Create </w:t>
      </w:r>
      <w:r w:rsidR="00816FFB" w:rsidRPr="005740F5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and enforce model comprehensive </w:t>
      </w:r>
      <w:r w:rsidR="009539AF">
        <w:rPr>
          <w:rFonts w:ascii="Calibri" w:eastAsia="+mn-ea" w:hAnsi="Calibri" w:cs="+mn-cs"/>
          <w:color w:val="000000"/>
          <w:kern w:val="24"/>
          <w:sz w:val="28"/>
          <w:szCs w:val="28"/>
        </w:rPr>
        <w:t>tobacco</w:t>
      </w:r>
      <w:r w:rsidR="00816FFB" w:rsidRPr="005740F5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-free air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policies</w:t>
      </w:r>
      <w:r w:rsidR="00816FFB" w:rsidRPr="005740F5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</w:t>
      </w:r>
    </w:p>
    <w:p w14:paraId="121B57CC" w14:textId="77777777" w:rsidR="00983810" w:rsidRDefault="00983810" w:rsidP="00320CCD">
      <w:pPr>
        <w:ind w:left="720"/>
        <w:rPr>
          <w:sz w:val="24"/>
          <w:szCs w:val="24"/>
        </w:rPr>
      </w:pPr>
    </w:p>
    <w:p w14:paraId="5574999F" w14:textId="77777777" w:rsidR="00983810" w:rsidRPr="00983810" w:rsidRDefault="00983810" w:rsidP="0098381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83810">
        <w:rPr>
          <w:rFonts w:eastAsia="Times New Roman" w:cstheme="minorHAnsi"/>
          <w:sz w:val="24"/>
          <w:szCs w:val="24"/>
        </w:rPr>
        <w:t>Policy Areas</w:t>
      </w:r>
    </w:p>
    <w:p w14:paraId="4133ED14" w14:textId="3E03EDA0" w:rsidR="00320CCD" w:rsidRDefault="00320CCD" w:rsidP="00320CCD">
      <w:pPr>
        <w:ind w:left="720"/>
        <w:rPr>
          <w:sz w:val="24"/>
          <w:szCs w:val="24"/>
        </w:rPr>
      </w:pPr>
      <w:r w:rsidRPr="00E33182">
        <w:rPr>
          <w:sz w:val="24"/>
          <w:szCs w:val="24"/>
        </w:rPr>
        <w:t xml:space="preserve">Gov bldgs., private worksites, Schools, Childcare facilities, Healthcare facilities, </w:t>
      </w:r>
      <w:r w:rsidR="002610EF">
        <w:rPr>
          <w:sz w:val="24"/>
          <w:szCs w:val="24"/>
        </w:rPr>
        <w:t xml:space="preserve">hotels and other hospitality venues, </w:t>
      </w:r>
      <w:r w:rsidRPr="00E33182">
        <w:rPr>
          <w:sz w:val="24"/>
          <w:szCs w:val="24"/>
        </w:rPr>
        <w:t xml:space="preserve">Restaurants, Bars, </w:t>
      </w:r>
      <w:r w:rsidR="002610EF">
        <w:rPr>
          <w:sz w:val="24"/>
          <w:szCs w:val="24"/>
        </w:rPr>
        <w:t xml:space="preserve">Casinos, </w:t>
      </w:r>
      <w:r w:rsidRPr="00E33182">
        <w:rPr>
          <w:sz w:val="24"/>
          <w:szCs w:val="24"/>
        </w:rPr>
        <w:t>Private Vehicles</w:t>
      </w:r>
      <w:r w:rsidR="002610EF">
        <w:rPr>
          <w:sz w:val="24"/>
          <w:szCs w:val="24"/>
        </w:rPr>
        <w:t>, Recreational facilities.</w:t>
      </w:r>
      <w:r w:rsidRPr="00E33182">
        <w:rPr>
          <w:sz w:val="24"/>
          <w:szCs w:val="24"/>
        </w:rPr>
        <w:t xml:space="preserve"> </w:t>
      </w:r>
    </w:p>
    <w:p w14:paraId="475F7E70" w14:textId="77777777" w:rsidR="00112C61" w:rsidRDefault="00112C61" w:rsidP="00112C61">
      <w:pPr>
        <w:spacing w:after="0" w:line="240" w:lineRule="auto"/>
      </w:pPr>
      <w:r>
        <w:t xml:space="preserve">Tracking sources: </w:t>
      </w:r>
    </w:p>
    <w:p w14:paraId="10ACA666" w14:textId="77777777" w:rsidR="005B3939" w:rsidRPr="005B3939" w:rsidRDefault="00641C9E" w:rsidP="005B3939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2" w:history="1">
        <w:r w:rsidR="005B3939" w:rsidRPr="005B3939">
          <w:rPr>
            <w:rFonts w:ascii="Calibri" w:eastAsia="Times New Roman" w:hAnsi="Calibri" w:cs="Calibri"/>
            <w:color w:val="0563C1"/>
            <w:u w:val="single"/>
          </w:rPr>
          <w:t>https://no-smoke.org/smokefree-lists-maps-october-2019-update/</w:t>
        </w:r>
      </w:hyperlink>
    </w:p>
    <w:p w14:paraId="7AB32440" w14:textId="77777777" w:rsidR="005B3939" w:rsidRPr="005B3939" w:rsidRDefault="00641C9E" w:rsidP="005B3939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3" w:history="1">
        <w:r w:rsidR="005B3939" w:rsidRPr="005B3939">
          <w:rPr>
            <w:rFonts w:ascii="Calibri" w:eastAsia="Times New Roman" w:hAnsi="Calibri" w:cs="Calibri"/>
            <w:color w:val="0563C1"/>
            <w:u w:val="single"/>
          </w:rPr>
          <w:t>https://www.lung.org/research/sotc/state-grades</w:t>
        </w:r>
      </w:hyperlink>
    </w:p>
    <w:p w14:paraId="73D125B3" w14:textId="77777777" w:rsidR="005B3939" w:rsidRPr="005B3939" w:rsidRDefault="00641C9E" w:rsidP="005B3939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4" w:history="1">
        <w:r w:rsidR="005B3939" w:rsidRPr="005B3939">
          <w:rPr>
            <w:rFonts w:ascii="Calibri" w:eastAsia="Times New Roman" w:hAnsi="Calibri" w:cs="Calibri"/>
            <w:color w:val="0563C1"/>
            <w:u w:val="single"/>
          </w:rPr>
          <w:t>https://no-smoke.org/wp-content/uploads/pdf/WRBLawsMap.pdf</w:t>
        </w:r>
      </w:hyperlink>
    </w:p>
    <w:p w14:paraId="301D1E17" w14:textId="77777777" w:rsidR="005B3939" w:rsidRPr="005B3939" w:rsidRDefault="00641C9E" w:rsidP="005B3939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5" w:history="1">
        <w:r w:rsidR="005B3939" w:rsidRPr="005B3939">
          <w:rPr>
            <w:rFonts w:ascii="Calibri" w:eastAsia="Times New Roman" w:hAnsi="Calibri" w:cs="Calibri"/>
            <w:color w:val="0563C1"/>
            <w:u w:val="single"/>
          </w:rPr>
          <w:t>https://no-smoke.org/wp-content/uploads/pdf/100smokefreecasinos.pdf</w:t>
        </w:r>
      </w:hyperlink>
    </w:p>
    <w:p w14:paraId="583E72AF" w14:textId="77777777" w:rsidR="005B3939" w:rsidRPr="005B3939" w:rsidRDefault="00641C9E" w:rsidP="005B3939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6" w:history="1">
        <w:r w:rsidR="005B3939" w:rsidRPr="005B3939">
          <w:rPr>
            <w:rFonts w:ascii="Calibri" w:eastAsia="Times New Roman" w:hAnsi="Calibri" w:cs="Calibri"/>
            <w:color w:val="0563C1"/>
            <w:u w:val="single"/>
          </w:rPr>
          <w:t>https://no-smoke.org/wp-content/uploads/pdf/ecigslaws.pdf</w:t>
        </w:r>
      </w:hyperlink>
    </w:p>
    <w:p w14:paraId="65B4C507" w14:textId="77777777" w:rsidR="005B3939" w:rsidRDefault="005B3939" w:rsidP="00112C61">
      <w:pPr>
        <w:spacing w:after="0" w:line="240" w:lineRule="auto"/>
        <w:ind w:firstLine="360"/>
      </w:pPr>
    </w:p>
    <w:p w14:paraId="5387413D" w14:textId="77777777" w:rsidR="001219C6" w:rsidRPr="001219C6" w:rsidRDefault="001219C6" w:rsidP="001219C6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0E44852E" w14:textId="2288CFBE" w:rsidR="009556CE" w:rsidRDefault="009556CE" w:rsidP="00E709B2">
      <w:pPr>
        <w:pStyle w:val="ListParagraph"/>
        <w:numPr>
          <w:ilvl w:val="0"/>
          <w:numId w:val="1"/>
        </w:num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Restrict </w:t>
      </w:r>
      <w:r w:rsidR="002610EF">
        <w:rPr>
          <w:rFonts w:eastAsia="Times New Roman" w:cstheme="minorHAnsi"/>
          <w:sz w:val="28"/>
          <w:szCs w:val="28"/>
        </w:rPr>
        <w:t xml:space="preserve">all </w:t>
      </w:r>
      <w:r>
        <w:rPr>
          <w:rFonts w:eastAsia="Times New Roman" w:cstheme="minorHAnsi"/>
          <w:sz w:val="28"/>
          <w:szCs w:val="28"/>
        </w:rPr>
        <w:t xml:space="preserve">tobacco </w:t>
      </w:r>
      <w:r w:rsidR="002610EF">
        <w:rPr>
          <w:rFonts w:eastAsia="Times New Roman" w:cstheme="minorHAnsi"/>
          <w:sz w:val="28"/>
          <w:szCs w:val="28"/>
        </w:rPr>
        <w:t xml:space="preserve">product </w:t>
      </w:r>
      <w:r>
        <w:rPr>
          <w:rFonts w:eastAsia="Times New Roman" w:cstheme="minorHAnsi"/>
          <w:sz w:val="28"/>
          <w:szCs w:val="28"/>
        </w:rPr>
        <w:t>flavors</w:t>
      </w:r>
      <w:r w:rsidR="00284DE6">
        <w:rPr>
          <w:rFonts w:eastAsia="Times New Roman" w:cstheme="minorHAnsi"/>
          <w:sz w:val="28"/>
          <w:szCs w:val="28"/>
        </w:rPr>
        <w:t>, including menthol.</w:t>
      </w:r>
    </w:p>
    <w:p w14:paraId="3AB8C405" w14:textId="77777777" w:rsidR="00112C61" w:rsidRDefault="00112C61" w:rsidP="00112C61">
      <w:pPr>
        <w:spacing w:after="0" w:line="240" w:lineRule="auto"/>
      </w:pPr>
      <w:r>
        <w:t xml:space="preserve">Tracking sources: </w:t>
      </w:r>
    </w:p>
    <w:p w14:paraId="7B204F95" w14:textId="77777777" w:rsidR="00C66BF1" w:rsidRPr="00C66BF1" w:rsidRDefault="00641C9E" w:rsidP="00C66BF1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7" w:history="1">
        <w:r w:rsidR="00C66BF1" w:rsidRPr="00C66BF1">
          <w:rPr>
            <w:rFonts w:ascii="Calibri" w:eastAsia="Times New Roman" w:hAnsi="Calibri" w:cs="Calibri"/>
            <w:color w:val="0563C1"/>
            <w:u w:val="single"/>
          </w:rPr>
          <w:t>https://no-smoke.org/wp-content/uploads/pdf/flavored-tobacco-product-sales.pdf</w:t>
        </w:r>
      </w:hyperlink>
    </w:p>
    <w:p w14:paraId="1BF088AF" w14:textId="77777777" w:rsidR="007741AE" w:rsidRPr="007741AE" w:rsidRDefault="00641C9E" w:rsidP="007741AE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8" w:history="1">
        <w:r w:rsidR="007741AE" w:rsidRPr="007741AE">
          <w:rPr>
            <w:rFonts w:ascii="Calibri" w:eastAsia="Times New Roman" w:hAnsi="Calibri" w:cs="Calibri"/>
            <w:color w:val="0563C1"/>
            <w:u w:val="single"/>
          </w:rPr>
          <w:t>https://www.tobaccofreekids.org/assets/factsheets/0398.pdf</w:t>
        </w:r>
      </w:hyperlink>
    </w:p>
    <w:p w14:paraId="3B6FE7B9" w14:textId="1507B7DA" w:rsidR="007741AE" w:rsidRDefault="00641C9E" w:rsidP="007741AE">
      <w:pPr>
        <w:rPr>
          <w:rStyle w:val="Hyperlink"/>
        </w:rPr>
      </w:pPr>
      <w:hyperlink r:id="rId19" w:history="1">
        <w:r w:rsidR="007741AE" w:rsidRPr="007956FC">
          <w:rPr>
            <w:rStyle w:val="Hyperlink"/>
          </w:rPr>
          <w:t>https://www.lung.org/our-initiatives/tobacco/reports-resources/sotc/state-grades/highlights.html</w:t>
        </w:r>
      </w:hyperlink>
    </w:p>
    <w:p w14:paraId="354E47DA" w14:textId="77777777" w:rsidR="00C66BF1" w:rsidRDefault="00C66BF1" w:rsidP="00112C61">
      <w:pPr>
        <w:ind w:firstLine="360"/>
      </w:pPr>
    </w:p>
    <w:p w14:paraId="1E3B1002" w14:textId="77777777" w:rsidR="00112C61" w:rsidRDefault="00112C61" w:rsidP="009556CE">
      <w:pPr>
        <w:pStyle w:val="ListParagraph"/>
        <w:ind w:left="360"/>
        <w:rPr>
          <w:rFonts w:eastAsia="Times New Roman" w:cstheme="minorHAnsi"/>
          <w:sz w:val="28"/>
          <w:szCs w:val="28"/>
        </w:rPr>
      </w:pPr>
    </w:p>
    <w:p w14:paraId="58FBF4C5" w14:textId="5DC29E6C" w:rsidR="00E709B2" w:rsidRDefault="00E709B2" w:rsidP="00E709B2">
      <w:pPr>
        <w:pStyle w:val="ListParagraph"/>
        <w:numPr>
          <w:ilvl w:val="0"/>
          <w:numId w:val="1"/>
        </w:numPr>
        <w:rPr>
          <w:rFonts w:eastAsia="Times New Roman" w:cstheme="minorHAnsi"/>
          <w:sz w:val="28"/>
          <w:szCs w:val="28"/>
        </w:rPr>
      </w:pPr>
      <w:r w:rsidRPr="00CE62DE">
        <w:rPr>
          <w:rFonts w:eastAsia="Times New Roman" w:cstheme="minorHAnsi"/>
          <w:sz w:val="28"/>
          <w:szCs w:val="28"/>
        </w:rPr>
        <w:t>Protect local</w:t>
      </w:r>
      <w:r w:rsidR="009A0B6E">
        <w:rPr>
          <w:rFonts w:eastAsia="Times New Roman" w:cstheme="minorHAnsi"/>
          <w:sz w:val="28"/>
          <w:szCs w:val="28"/>
        </w:rPr>
        <w:t xml:space="preserve"> a</w:t>
      </w:r>
      <w:r w:rsidR="003C7E1D">
        <w:rPr>
          <w:rFonts w:eastAsia="Times New Roman" w:cstheme="minorHAnsi"/>
          <w:sz w:val="28"/>
          <w:szCs w:val="28"/>
        </w:rPr>
        <w:t>uthority</w:t>
      </w:r>
      <w:r w:rsidR="009A0B6E">
        <w:rPr>
          <w:rFonts w:eastAsia="Times New Roman" w:cstheme="minorHAnsi"/>
          <w:sz w:val="28"/>
          <w:szCs w:val="28"/>
        </w:rPr>
        <w:t xml:space="preserve"> to enact tobacco</w:t>
      </w:r>
      <w:r w:rsidRPr="00CE62DE">
        <w:rPr>
          <w:rFonts w:eastAsia="Times New Roman" w:cstheme="minorHAnsi"/>
          <w:sz w:val="28"/>
          <w:szCs w:val="28"/>
        </w:rPr>
        <w:t xml:space="preserve"> control</w:t>
      </w:r>
      <w:r w:rsidR="009A0B6E">
        <w:rPr>
          <w:rFonts w:eastAsia="Times New Roman" w:cstheme="minorHAnsi"/>
          <w:sz w:val="28"/>
          <w:szCs w:val="28"/>
        </w:rPr>
        <w:t xml:space="preserve"> policies</w:t>
      </w:r>
      <w:r w:rsidRPr="00CE62DE">
        <w:rPr>
          <w:rFonts w:eastAsia="Times New Roman" w:cstheme="minorHAnsi"/>
          <w:sz w:val="28"/>
          <w:szCs w:val="28"/>
        </w:rPr>
        <w:t xml:space="preserve"> by </w:t>
      </w:r>
      <w:r w:rsidR="00452F02">
        <w:rPr>
          <w:rFonts w:eastAsia="Times New Roman" w:cstheme="minorHAnsi"/>
          <w:sz w:val="28"/>
          <w:szCs w:val="28"/>
        </w:rPr>
        <w:t xml:space="preserve">preventing or </w:t>
      </w:r>
      <w:r w:rsidRPr="00CE62DE">
        <w:rPr>
          <w:rFonts w:eastAsia="Times New Roman" w:cstheme="minorHAnsi"/>
          <w:sz w:val="28"/>
          <w:szCs w:val="28"/>
        </w:rPr>
        <w:t xml:space="preserve">eliminating </w:t>
      </w:r>
      <w:r w:rsidR="00452F02">
        <w:rPr>
          <w:rFonts w:eastAsia="Times New Roman" w:cstheme="minorHAnsi"/>
          <w:sz w:val="28"/>
          <w:szCs w:val="28"/>
        </w:rPr>
        <w:t>p</w:t>
      </w:r>
      <w:r w:rsidRPr="00CE62DE">
        <w:rPr>
          <w:rFonts w:eastAsia="Times New Roman" w:cstheme="minorHAnsi"/>
          <w:sz w:val="28"/>
          <w:szCs w:val="28"/>
        </w:rPr>
        <w:t>reempti</w:t>
      </w:r>
      <w:r w:rsidR="00452F02">
        <w:rPr>
          <w:rFonts w:eastAsia="Times New Roman" w:cstheme="minorHAnsi"/>
          <w:sz w:val="28"/>
          <w:szCs w:val="28"/>
        </w:rPr>
        <w:t>ve tobacco policies</w:t>
      </w:r>
    </w:p>
    <w:p w14:paraId="5D44CA48" w14:textId="77777777" w:rsidR="00112C61" w:rsidRDefault="00112C61" w:rsidP="00112C61">
      <w:pPr>
        <w:spacing w:after="0" w:line="240" w:lineRule="auto"/>
      </w:pPr>
      <w:r>
        <w:t xml:space="preserve">Tracking sources: </w:t>
      </w:r>
    </w:p>
    <w:p w14:paraId="466B2406" w14:textId="77777777" w:rsidR="007741AE" w:rsidRPr="007741AE" w:rsidRDefault="00641C9E" w:rsidP="007741AE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20" w:history="1">
        <w:r w:rsidR="007741AE" w:rsidRPr="007741AE">
          <w:rPr>
            <w:rFonts w:ascii="Calibri" w:eastAsia="Times New Roman" w:hAnsi="Calibri" w:cs="Calibri"/>
            <w:color w:val="0563C1"/>
            <w:u w:val="single"/>
          </w:rPr>
          <w:t>https://nccd.cdc.gov/STATESystem/rdPage.aspx?rdReport=OSH_STATE.Highlights&amp;rdRequestForwarding=Form</w:t>
        </w:r>
      </w:hyperlink>
    </w:p>
    <w:p w14:paraId="6F445A82" w14:textId="77777777" w:rsidR="007741AE" w:rsidRPr="007741AE" w:rsidRDefault="00641C9E" w:rsidP="007741AE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21" w:history="1">
        <w:r w:rsidR="007741AE" w:rsidRPr="007741AE">
          <w:rPr>
            <w:rFonts w:ascii="Calibri" w:eastAsia="Times New Roman" w:hAnsi="Calibri" w:cs="Calibri"/>
            <w:color w:val="0563C1"/>
            <w:u w:val="single"/>
          </w:rPr>
          <w:t>https://no-smoke.org/smokefree-threats/preemption/</w:t>
        </w:r>
      </w:hyperlink>
    </w:p>
    <w:p w14:paraId="1F065F3A" w14:textId="724189F4" w:rsidR="001A0E9D" w:rsidRDefault="00641C9E" w:rsidP="007741AE">
      <w:pPr>
        <w:rPr>
          <w:rFonts w:eastAsia="Times New Roman" w:cstheme="minorHAnsi"/>
          <w:sz w:val="28"/>
          <w:szCs w:val="28"/>
        </w:rPr>
      </w:pPr>
      <w:hyperlink r:id="rId22" w:history="1">
        <w:r w:rsidR="007741AE" w:rsidRPr="007956FC">
          <w:rPr>
            <w:rStyle w:val="Hyperlink"/>
          </w:rPr>
          <w:t>https://www.lung.org/our-initiatives/tobacco/reports-resources/sotc/state-grades/highlights.html</w:t>
        </w:r>
      </w:hyperlink>
    </w:p>
    <w:p w14:paraId="506C8722" w14:textId="77777777" w:rsidR="007741AE" w:rsidRDefault="007741AE" w:rsidP="007741AE">
      <w:pPr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14:paraId="0E1109AA" w14:textId="16F94E30" w:rsidR="005E465D" w:rsidRPr="007741AE" w:rsidRDefault="001A0E9D" w:rsidP="007741AE">
      <w:pPr>
        <w:pStyle w:val="ListParagraph"/>
        <w:numPr>
          <w:ilvl w:val="0"/>
          <w:numId w:val="1"/>
        </w:numPr>
        <w:rPr>
          <w:rFonts w:ascii="Calibri" w:eastAsia="+mn-ea" w:hAnsi="Calibri" w:cs="+mn-cs"/>
          <w:color w:val="000000"/>
          <w:kern w:val="24"/>
          <w:sz w:val="28"/>
          <w:szCs w:val="28"/>
          <w:u w:val="single"/>
        </w:rPr>
      </w:pPr>
      <w:r w:rsidRPr="007741AE">
        <w:rPr>
          <w:rFonts w:ascii="Calibri" w:eastAsia="+mn-ea" w:hAnsi="Calibri" w:cs="+mn-cs"/>
          <w:color w:val="000000"/>
          <w:kern w:val="24"/>
          <w:sz w:val="28"/>
          <w:szCs w:val="28"/>
        </w:rPr>
        <w:t>Policies that increase access to tobacco cessation programs</w:t>
      </w:r>
      <w:r w:rsidR="00694876" w:rsidRPr="007741AE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</w:t>
      </w:r>
    </w:p>
    <w:p w14:paraId="75A11B60" w14:textId="77777777" w:rsidR="00983810" w:rsidRDefault="00983810" w:rsidP="00983810">
      <w:pPr>
        <w:pStyle w:val="ListParagraph"/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</w:p>
    <w:p w14:paraId="115681AC" w14:textId="07A59065" w:rsidR="00983810" w:rsidRPr="00983810" w:rsidRDefault="00983810" w:rsidP="00983810">
      <w:pPr>
        <w:pStyle w:val="ListParagraph"/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983810">
        <w:rPr>
          <w:rFonts w:eastAsia="Times New Roman" w:cstheme="minorHAnsi"/>
          <w:sz w:val="24"/>
          <w:szCs w:val="24"/>
        </w:rPr>
        <w:t>Policy Areas</w:t>
      </w:r>
    </w:p>
    <w:p w14:paraId="25DDCD24" w14:textId="753651CF" w:rsidR="001A0E9D" w:rsidRDefault="00F90CD3" w:rsidP="005E465D">
      <w:pPr>
        <w:ind w:left="720"/>
        <w:rPr>
          <w:rFonts w:ascii="Calibri" w:eastAsia="+mn-ea" w:hAnsi="Calibri" w:cs="+mn-cs"/>
          <w:color w:val="000000"/>
          <w:kern w:val="24"/>
          <w:sz w:val="24"/>
          <w:szCs w:val="24"/>
        </w:rPr>
      </w:pPr>
      <w:r w:rsidRPr="005E465D">
        <w:rPr>
          <w:rFonts w:ascii="Calibri" w:eastAsia="+mn-ea" w:hAnsi="Calibri" w:cs="+mn-cs"/>
          <w:color w:val="000000"/>
          <w:kern w:val="24"/>
          <w:sz w:val="24"/>
          <w:szCs w:val="24"/>
        </w:rPr>
        <w:t xml:space="preserve">insurance </w:t>
      </w:r>
      <w:r w:rsidR="00694876" w:rsidRPr="005E465D">
        <w:rPr>
          <w:rFonts w:ascii="Calibri" w:eastAsia="+mn-ea" w:hAnsi="Calibri" w:cs="+mn-cs"/>
          <w:color w:val="000000"/>
          <w:kern w:val="24"/>
          <w:sz w:val="24"/>
          <w:szCs w:val="24"/>
        </w:rPr>
        <w:t>cover</w:t>
      </w:r>
      <w:r w:rsidRPr="005E465D">
        <w:rPr>
          <w:rFonts w:ascii="Calibri" w:eastAsia="+mn-ea" w:hAnsi="Calibri" w:cs="+mn-cs"/>
          <w:color w:val="000000"/>
          <w:kern w:val="24"/>
          <w:sz w:val="24"/>
          <w:szCs w:val="24"/>
        </w:rPr>
        <w:t>age</w:t>
      </w:r>
      <w:r w:rsidR="00694876" w:rsidRPr="005E465D">
        <w:rPr>
          <w:rFonts w:ascii="Calibri" w:eastAsia="+mn-ea" w:hAnsi="Calibri" w:cs="+mn-cs"/>
          <w:color w:val="000000"/>
          <w:kern w:val="24"/>
          <w:sz w:val="24"/>
          <w:szCs w:val="24"/>
        </w:rPr>
        <w:t xml:space="preserve"> </w:t>
      </w:r>
      <w:r w:rsidRPr="005E465D">
        <w:rPr>
          <w:rFonts w:ascii="Calibri" w:eastAsia="+mn-ea" w:hAnsi="Calibri" w:cs="+mn-cs"/>
          <w:color w:val="000000"/>
          <w:kern w:val="24"/>
          <w:sz w:val="24"/>
          <w:szCs w:val="24"/>
        </w:rPr>
        <w:t xml:space="preserve">for </w:t>
      </w:r>
      <w:r w:rsidR="00694876" w:rsidRPr="005E465D">
        <w:rPr>
          <w:rFonts w:ascii="Calibri" w:eastAsia="+mn-ea" w:hAnsi="Calibri" w:cs="+mn-cs"/>
          <w:color w:val="000000"/>
          <w:kern w:val="24"/>
          <w:sz w:val="24"/>
          <w:szCs w:val="24"/>
        </w:rPr>
        <w:t>all evidence-based treatments</w:t>
      </w:r>
      <w:r w:rsidR="005E465D" w:rsidRPr="005E465D">
        <w:rPr>
          <w:rFonts w:ascii="Calibri" w:eastAsia="+mn-ea" w:hAnsi="Calibri" w:cs="+mn-cs"/>
          <w:color w:val="000000"/>
          <w:kern w:val="24"/>
          <w:sz w:val="24"/>
          <w:szCs w:val="24"/>
        </w:rPr>
        <w:t xml:space="preserve">, </w:t>
      </w:r>
      <w:r w:rsidRPr="005E465D">
        <w:rPr>
          <w:rFonts w:ascii="Calibri" w:eastAsia="+mn-ea" w:hAnsi="Calibri" w:cs="+mn-cs"/>
          <w:color w:val="000000"/>
          <w:kern w:val="24"/>
          <w:sz w:val="24"/>
          <w:szCs w:val="24"/>
        </w:rPr>
        <w:t>removal of barriers like co-pays or prior authorization</w:t>
      </w:r>
    </w:p>
    <w:p w14:paraId="54686757" w14:textId="77777777" w:rsidR="000761F3" w:rsidRPr="005E465D" w:rsidRDefault="000761F3" w:rsidP="000761F3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+mn-ea" w:hAnsi="Calibri" w:cs="+mn-cs"/>
          <w:i/>
          <w:color w:val="000000"/>
          <w:kern w:val="24"/>
          <w:sz w:val="24"/>
          <w:szCs w:val="24"/>
        </w:rPr>
      </w:pPr>
      <w:r w:rsidRPr="005E465D">
        <w:rPr>
          <w:rFonts w:ascii="Calibri" w:eastAsia="+mn-ea" w:hAnsi="Calibri" w:cs="+mn-cs"/>
          <w:i/>
          <w:color w:val="000000"/>
          <w:kern w:val="24"/>
          <w:sz w:val="24"/>
          <w:szCs w:val="24"/>
        </w:rPr>
        <w:t>Primary authority: health insurance plans (especially state Medicaid), medical systems, clinical practices</w:t>
      </w:r>
    </w:p>
    <w:p w14:paraId="445165D2" w14:textId="77777777" w:rsidR="000761F3" w:rsidRDefault="000761F3" w:rsidP="00076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2FC750" w14:textId="670C53B3" w:rsidR="00112C61" w:rsidRDefault="00112C61" w:rsidP="00112C61">
      <w:pPr>
        <w:spacing w:after="0" w:line="240" w:lineRule="auto"/>
      </w:pPr>
      <w:r>
        <w:t xml:space="preserve">Tracking sources: </w:t>
      </w:r>
    </w:p>
    <w:p w14:paraId="279895C7" w14:textId="77777777" w:rsidR="007741AE" w:rsidRPr="007741AE" w:rsidRDefault="00641C9E" w:rsidP="007741AE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23" w:history="1">
        <w:r w:rsidR="007741AE" w:rsidRPr="007741AE">
          <w:rPr>
            <w:rFonts w:ascii="Calibri" w:eastAsia="Times New Roman" w:hAnsi="Calibri" w:cs="Calibri"/>
            <w:color w:val="0563C1"/>
            <w:u w:val="single"/>
          </w:rPr>
          <w:t>https://www.lung.org/research/sotc/state-grades</w:t>
        </w:r>
      </w:hyperlink>
    </w:p>
    <w:p w14:paraId="11FBC267" w14:textId="77777777" w:rsidR="007741AE" w:rsidRPr="007741AE" w:rsidRDefault="00641C9E" w:rsidP="007741AE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24" w:history="1">
        <w:r w:rsidR="007741AE" w:rsidRPr="007741AE">
          <w:rPr>
            <w:rFonts w:ascii="Calibri" w:eastAsia="Times New Roman" w:hAnsi="Calibri" w:cs="Calibri"/>
            <w:color w:val="0563C1"/>
            <w:u w:val="single"/>
          </w:rPr>
          <w:t>https://www.cdc.gov/mmwr/volumes/69/wr/mm6906a2.htm</w:t>
        </w:r>
      </w:hyperlink>
    </w:p>
    <w:p w14:paraId="7330949B" w14:textId="06F23381" w:rsidR="001219C6" w:rsidRDefault="00641C9E" w:rsidP="007741AE">
      <w:hyperlink r:id="rId25" w:history="1">
        <w:r w:rsidR="007741AE" w:rsidRPr="007956FC">
          <w:rPr>
            <w:rStyle w:val="Hyperlink"/>
          </w:rPr>
          <w:t>https://www.lung.org/our-initiatives/tobacco/reports-resources/sotc/state-grades/state-rankings/access-to-cessation-services.html</w:t>
        </w:r>
      </w:hyperlink>
    </w:p>
    <w:p w14:paraId="7ADDB10A" w14:textId="77777777" w:rsidR="001A0E9D" w:rsidRPr="00E709B2" w:rsidRDefault="001A0E9D" w:rsidP="00E70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84815F" w14:textId="77777777" w:rsidR="001A0E9D" w:rsidRDefault="001A0E9D">
      <w:pPr>
        <w:rPr>
          <w:rFonts w:ascii="Calibri" w:eastAsia="+mn-ea" w:hAnsi="Calibri" w:cs="+mn-cs"/>
          <w:b/>
          <w:color w:val="000000"/>
          <w:kern w:val="24"/>
          <w:sz w:val="28"/>
          <w:szCs w:val="28"/>
        </w:rPr>
      </w:pPr>
      <w:r>
        <w:rPr>
          <w:rFonts w:ascii="Calibri" w:eastAsia="+mn-ea" w:hAnsi="Calibri" w:cs="+mn-cs"/>
          <w:b/>
          <w:color w:val="000000"/>
          <w:kern w:val="24"/>
          <w:sz w:val="28"/>
          <w:szCs w:val="28"/>
        </w:rPr>
        <w:br w:type="page"/>
      </w:r>
    </w:p>
    <w:p w14:paraId="30F05A30" w14:textId="358A8106" w:rsidR="00816FFB" w:rsidRPr="00876499" w:rsidRDefault="00816FFB" w:rsidP="00816FFB">
      <w:pPr>
        <w:spacing w:after="0" w:line="240" w:lineRule="auto"/>
        <w:rPr>
          <w:rFonts w:ascii="Calibri" w:eastAsia="+mn-ea" w:hAnsi="Calibri" w:cs="+mn-cs"/>
          <w:b/>
          <w:color w:val="000000"/>
          <w:kern w:val="24"/>
          <w:sz w:val="40"/>
          <w:szCs w:val="40"/>
        </w:rPr>
      </w:pPr>
      <w:r w:rsidRPr="00876499">
        <w:rPr>
          <w:rFonts w:ascii="Calibri" w:eastAsia="+mn-ea" w:hAnsi="Calibri" w:cs="+mn-cs"/>
          <w:b/>
          <w:color w:val="000000"/>
          <w:kern w:val="24"/>
          <w:sz w:val="40"/>
          <w:szCs w:val="40"/>
        </w:rPr>
        <w:lastRenderedPageBreak/>
        <w:t>Risk Factor:  Poor Nutrition</w:t>
      </w:r>
    </w:p>
    <w:p w14:paraId="70BB902D" w14:textId="6696FC0A" w:rsidR="001A0E9D" w:rsidRDefault="001A0E9D" w:rsidP="00816FFB">
      <w:pPr>
        <w:spacing w:after="0" w:line="240" w:lineRule="auto"/>
        <w:rPr>
          <w:rFonts w:ascii="Calibri" w:eastAsia="+mn-ea" w:hAnsi="Calibri" w:cs="+mn-cs"/>
          <w:b/>
          <w:color w:val="000000"/>
          <w:kern w:val="24"/>
          <w:sz w:val="28"/>
          <w:szCs w:val="28"/>
        </w:rPr>
      </w:pPr>
    </w:p>
    <w:p w14:paraId="13721EAC" w14:textId="24DED3BA" w:rsidR="001A0E9D" w:rsidRPr="001A0E9D" w:rsidRDefault="001A0E9D" w:rsidP="001A0E9D">
      <w:pPr>
        <w:spacing w:after="0" w:line="240" w:lineRule="auto"/>
        <w:rPr>
          <w:rFonts w:ascii="Calibri" w:eastAsia="+mn-ea" w:hAnsi="Calibri" w:cs="+mn-cs"/>
          <w:color w:val="000000"/>
          <w:kern w:val="24"/>
          <w:sz w:val="28"/>
          <w:szCs w:val="28"/>
          <w:u w:val="single"/>
        </w:rPr>
      </w:pPr>
      <w:r w:rsidRPr="001A0E9D">
        <w:rPr>
          <w:rFonts w:ascii="Calibri" w:eastAsia="+mn-ea" w:hAnsi="Calibri" w:cs="+mn-cs"/>
          <w:color w:val="000000"/>
          <w:kern w:val="24"/>
          <w:sz w:val="28"/>
          <w:szCs w:val="28"/>
          <w:u w:val="single"/>
        </w:rPr>
        <w:t>S/THO has primary</w:t>
      </w:r>
      <w:r w:rsidR="00E33182">
        <w:rPr>
          <w:rFonts w:ascii="Calibri" w:eastAsia="+mn-ea" w:hAnsi="Calibri" w:cs="+mn-cs"/>
          <w:color w:val="000000"/>
          <w:kern w:val="24"/>
          <w:sz w:val="28"/>
          <w:szCs w:val="28"/>
          <w:u w:val="single"/>
        </w:rPr>
        <w:t xml:space="preserve"> </w:t>
      </w:r>
      <w:r w:rsidR="009556CE">
        <w:rPr>
          <w:rFonts w:ascii="Calibri" w:eastAsia="+mn-ea" w:hAnsi="Calibri" w:cs="+mn-cs"/>
          <w:color w:val="000000"/>
          <w:kern w:val="24"/>
          <w:sz w:val="28"/>
          <w:szCs w:val="28"/>
          <w:u w:val="single"/>
        </w:rPr>
        <w:t>authority</w:t>
      </w:r>
      <w:r w:rsidRPr="001A0E9D">
        <w:rPr>
          <w:rFonts w:ascii="Calibri" w:eastAsia="+mn-ea" w:hAnsi="Calibri" w:cs="+mn-cs"/>
          <w:color w:val="000000"/>
          <w:kern w:val="24"/>
          <w:sz w:val="28"/>
          <w:szCs w:val="28"/>
          <w:u w:val="single"/>
        </w:rPr>
        <w:t xml:space="preserve"> role</w:t>
      </w:r>
    </w:p>
    <w:p w14:paraId="1C0F6BA7" w14:textId="77777777" w:rsidR="001A0E9D" w:rsidRPr="001A0E9D" w:rsidRDefault="001A0E9D" w:rsidP="001A0E9D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0FC0A7ED" w14:textId="6B72248C" w:rsidR="00816FFB" w:rsidRPr="001A0E9D" w:rsidRDefault="00816FFB" w:rsidP="001A0E9D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0E9D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Implement </w:t>
      </w:r>
      <w:r w:rsidR="00F03BAC" w:rsidRPr="001A0E9D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multicomponent </w:t>
      </w:r>
      <w:r w:rsidRPr="001A0E9D">
        <w:rPr>
          <w:rFonts w:ascii="Calibri" w:eastAsia="+mn-ea" w:hAnsi="Calibri" w:cs="+mn-cs"/>
          <w:color w:val="000000"/>
          <w:kern w:val="24"/>
          <w:sz w:val="28"/>
          <w:szCs w:val="28"/>
        </w:rPr>
        <w:t>policies that reduce sugar consumption</w:t>
      </w:r>
    </w:p>
    <w:p w14:paraId="7402B387" w14:textId="26AE34FC" w:rsidR="00983810" w:rsidRDefault="00983810" w:rsidP="0076682D">
      <w:pPr>
        <w:spacing w:after="0" w:line="240" w:lineRule="auto"/>
        <w:ind w:left="720"/>
        <w:rPr>
          <w:sz w:val="24"/>
          <w:szCs w:val="24"/>
        </w:rPr>
      </w:pPr>
    </w:p>
    <w:p w14:paraId="44E69C6F" w14:textId="77777777" w:rsidR="00983810" w:rsidRPr="00983810" w:rsidRDefault="00983810" w:rsidP="0098381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83810">
        <w:rPr>
          <w:rFonts w:eastAsia="Times New Roman" w:cstheme="minorHAnsi"/>
          <w:sz w:val="24"/>
          <w:szCs w:val="24"/>
        </w:rPr>
        <w:t>Policy Areas</w:t>
      </w:r>
    </w:p>
    <w:p w14:paraId="70483839" w14:textId="40A423EB" w:rsidR="001A0E9D" w:rsidRDefault="00ED7FBF" w:rsidP="0076682D">
      <w:pPr>
        <w:spacing w:after="0" w:line="240" w:lineRule="auto"/>
        <w:ind w:left="720"/>
        <w:rPr>
          <w:rFonts w:ascii="Calibri" w:eastAsia="+mn-ea" w:hAnsi="Calibri" w:cs="+mn-cs"/>
          <w:color w:val="000000"/>
          <w:kern w:val="24"/>
          <w:sz w:val="24"/>
          <w:szCs w:val="24"/>
        </w:rPr>
      </w:pPr>
      <w:r w:rsidRPr="00E33182">
        <w:rPr>
          <w:sz w:val="24"/>
          <w:szCs w:val="24"/>
        </w:rPr>
        <w:t>S</w:t>
      </w:r>
      <w:r w:rsidR="00E33182" w:rsidRPr="00E33182">
        <w:rPr>
          <w:sz w:val="24"/>
          <w:szCs w:val="24"/>
        </w:rPr>
        <w:t xml:space="preserve">ugar </w:t>
      </w:r>
      <w:r w:rsidRPr="00E33182">
        <w:rPr>
          <w:sz w:val="24"/>
          <w:szCs w:val="24"/>
        </w:rPr>
        <w:t>S</w:t>
      </w:r>
      <w:r w:rsidR="00E33182" w:rsidRPr="00E33182">
        <w:rPr>
          <w:sz w:val="24"/>
          <w:szCs w:val="24"/>
        </w:rPr>
        <w:t xml:space="preserve">weetened </w:t>
      </w:r>
      <w:r w:rsidRPr="00E33182">
        <w:rPr>
          <w:sz w:val="24"/>
          <w:szCs w:val="24"/>
        </w:rPr>
        <w:t>B</w:t>
      </w:r>
      <w:r w:rsidR="00E33182" w:rsidRPr="00E33182">
        <w:rPr>
          <w:sz w:val="24"/>
          <w:szCs w:val="24"/>
        </w:rPr>
        <w:t>everage (SSB)</w:t>
      </w:r>
      <w:r w:rsidRPr="00E33182">
        <w:rPr>
          <w:sz w:val="24"/>
          <w:szCs w:val="24"/>
        </w:rPr>
        <w:t xml:space="preserve"> taxes, </w:t>
      </w:r>
      <w:r w:rsidR="00F03BAC" w:rsidRPr="00E33182">
        <w:rPr>
          <w:sz w:val="24"/>
          <w:szCs w:val="24"/>
        </w:rPr>
        <w:t>government</w:t>
      </w:r>
      <w:r w:rsidRPr="00E33182">
        <w:rPr>
          <w:sz w:val="24"/>
          <w:szCs w:val="24"/>
        </w:rPr>
        <w:t xml:space="preserve"> </w:t>
      </w:r>
      <w:r w:rsidR="00452F02" w:rsidRPr="00E33182">
        <w:rPr>
          <w:sz w:val="24"/>
          <w:szCs w:val="24"/>
        </w:rPr>
        <w:t xml:space="preserve">facility </w:t>
      </w:r>
      <w:r w:rsidRPr="00E33182">
        <w:rPr>
          <w:sz w:val="24"/>
          <w:szCs w:val="24"/>
        </w:rPr>
        <w:t xml:space="preserve">vending/procurement policies, regulation/standards in </w:t>
      </w:r>
      <w:r w:rsidR="003C129C" w:rsidRPr="00E33182">
        <w:rPr>
          <w:sz w:val="24"/>
          <w:szCs w:val="24"/>
        </w:rPr>
        <w:t>child/</w:t>
      </w:r>
      <w:r w:rsidRPr="00E33182">
        <w:rPr>
          <w:sz w:val="24"/>
          <w:szCs w:val="24"/>
        </w:rPr>
        <w:t>day care environments</w:t>
      </w:r>
      <w:r w:rsidR="007B2593" w:rsidRPr="00E33182">
        <w:rPr>
          <w:sz w:val="24"/>
          <w:szCs w:val="24"/>
        </w:rPr>
        <w:t xml:space="preserve">, </w:t>
      </w:r>
      <w:r w:rsidR="00E44AB2" w:rsidRPr="00E33182">
        <w:rPr>
          <w:rFonts w:ascii="Calibri" w:eastAsia="+mn-ea" w:hAnsi="Calibri" w:cs="+mn-cs"/>
          <w:color w:val="000000"/>
          <w:kern w:val="24"/>
          <w:sz w:val="24"/>
          <w:szCs w:val="24"/>
        </w:rPr>
        <w:t>Restaurant menu labellin</w:t>
      </w:r>
      <w:r w:rsidR="0076682D">
        <w:rPr>
          <w:rFonts w:ascii="Calibri" w:eastAsia="+mn-ea" w:hAnsi="Calibri" w:cs="+mn-cs"/>
          <w:color w:val="000000"/>
          <w:kern w:val="24"/>
          <w:sz w:val="24"/>
          <w:szCs w:val="24"/>
        </w:rPr>
        <w:t>g</w:t>
      </w:r>
    </w:p>
    <w:p w14:paraId="6B856F5A" w14:textId="77777777" w:rsidR="0076682D" w:rsidRDefault="0076682D" w:rsidP="0076682D">
      <w:pPr>
        <w:spacing w:after="0" w:line="240" w:lineRule="auto"/>
        <w:ind w:left="720"/>
      </w:pPr>
    </w:p>
    <w:p w14:paraId="6FDE3673" w14:textId="2F1CFEB6" w:rsidR="0076682D" w:rsidRPr="0076682D" w:rsidRDefault="0076682D" w:rsidP="00223C3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t xml:space="preserve">Tracking sources: </w:t>
      </w:r>
    </w:p>
    <w:p w14:paraId="0D9BDA93" w14:textId="066466A2" w:rsidR="00223C31" w:rsidRDefault="00641C9E" w:rsidP="00223C31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26" w:history="1">
        <w:r w:rsidR="00223C31" w:rsidRPr="00223C31">
          <w:rPr>
            <w:rFonts w:ascii="Calibri" w:eastAsia="Times New Roman" w:hAnsi="Calibri" w:cs="Calibri"/>
            <w:color w:val="0563C1"/>
            <w:u w:val="single"/>
          </w:rPr>
          <w:t xml:space="preserve">http://www.healthyfoodamerica.org/compare_tax_policies </w:t>
        </w:r>
      </w:hyperlink>
    </w:p>
    <w:p w14:paraId="0257EDDE" w14:textId="77777777" w:rsidR="008E5EF3" w:rsidRPr="008E5EF3" w:rsidRDefault="008E5EF3" w:rsidP="00223C31">
      <w:pPr>
        <w:spacing w:after="0" w:line="240" w:lineRule="auto"/>
        <w:rPr>
          <w:i/>
          <w:iCs/>
        </w:rPr>
      </w:pPr>
    </w:p>
    <w:p w14:paraId="54C21883" w14:textId="6F1D04D5" w:rsidR="00223C31" w:rsidRPr="008E5EF3" w:rsidRDefault="00641C9E" w:rsidP="00223C31">
      <w:pPr>
        <w:spacing w:after="0" w:line="240" w:lineRule="auto"/>
        <w:rPr>
          <w:rFonts w:ascii="Calibri" w:eastAsia="Times New Roman" w:hAnsi="Calibri" w:cs="Calibri"/>
          <w:i/>
          <w:iCs/>
          <w:color w:val="0563C1"/>
          <w:u w:val="single"/>
        </w:rPr>
      </w:pPr>
      <w:hyperlink r:id="rId27" w:history="1">
        <w:r w:rsidR="008E5EF3" w:rsidRPr="008E5EF3">
          <w:rPr>
            <w:rStyle w:val="Hyperlink"/>
            <w:i/>
            <w:iCs/>
          </w:rPr>
          <w:t>https://www.tfah.org/wp-content/uploads/2019/09/2019ObesityReportFINAL-1.pdf</w:t>
        </w:r>
      </w:hyperlink>
    </w:p>
    <w:p w14:paraId="165FBAC8" w14:textId="718D4180" w:rsidR="005E465D" w:rsidRDefault="005E465D" w:rsidP="001A0E9D">
      <w:pPr>
        <w:rPr>
          <w:rFonts w:ascii="Calibri" w:eastAsia="+mn-ea" w:hAnsi="Calibri" w:cs="+mn-cs"/>
          <w:color w:val="000000"/>
          <w:kern w:val="24"/>
          <w:sz w:val="24"/>
          <w:szCs w:val="24"/>
          <w:u w:val="single"/>
        </w:rPr>
      </w:pPr>
    </w:p>
    <w:p w14:paraId="48278871" w14:textId="1B23F066" w:rsidR="001A0E9D" w:rsidRPr="00223C31" w:rsidRDefault="001A0E9D" w:rsidP="00223C31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  <w:r w:rsidRPr="00223C31">
        <w:rPr>
          <w:rFonts w:ascii="Calibri" w:eastAsia="+mn-ea" w:hAnsi="Calibri" w:cs="+mn-cs"/>
          <w:color w:val="000000"/>
          <w:kern w:val="24"/>
          <w:sz w:val="28"/>
          <w:szCs w:val="28"/>
        </w:rPr>
        <w:t>Implement policies that promote breastfeeding</w:t>
      </w:r>
    </w:p>
    <w:p w14:paraId="6D13C47A" w14:textId="5E0C1EB9" w:rsidR="00675E7E" w:rsidRDefault="00675E7E" w:rsidP="00675E7E">
      <w:pPr>
        <w:pStyle w:val="ListParagraph"/>
        <w:spacing w:after="0" w:line="240" w:lineRule="auto"/>
        <w:ind w:left="360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14:paraId="29B4F9A1" w14:textId="77777777" w:rsidR="00983810" w:rsidRPr="00983810" w:rsidRDefault="00983810" w:rsidP="0098381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83810">
        <w:rPr>
          <w:rFonts w:eastAsia="Times New Roman" w:cstheme="minorHAnsi"/>
          <w:sz w:val="24"/>
          <w:szCs w:val="24"/>
        </w:rPr>
        <w:t>Policy Areas</w:t>
      </w:r>
    </w:p>
    <w:p w14:paraId="0D6AABDA" w14:textId="5D7CCABD" w:rsidR="00675E7E" w:rsidRPr="005234B6" w:rsidRDefault="00274338" w:rsidP="004E37F5">
      <w:pPr>
        <w:pStyle w:val="ListParagraph"/>
        <w:spacing w:after="0" w:line="240" w:lineRule="auto"/>
        <w:rPr>
          <w:rFonts w:eastAsia="+mn-ea" w:cstheme="minorHAnsi"/>
          <w:color w:val="000000"/>
          <w:kern w:val="24"/>
        </w:rPr>
      </w:pPr>
      <w:r w:rsidRPr="00274338">
        <w:rPr>
          <w:rFonts w:ascii="Helvetica" w:hAnsi="Helvetica" w:cs="Helvetica"/>
          <w:sz w:val="20"/>
          <w:szCs w:val="20"/>
          <w:shd w:val="clear" w:color="auto" w:fill="FFFFFF"/>
        </w:rPr>
        <w:t>S</w:t>
      </w:r>
      <w:r w:rsidR="00271DD7" w:rsidRPr="00274338">
        <w:rPr>
          <w:rFonts w:ascii="Helvetica" w:hAnsi="Helvetica" w:cs="Helvetica"/>
          <w:sz w:val="20"/>
          <w:szCs w:val="20"/>
          <w:shd w:val="clear" w:color="auto" w:fill="FFFFFF"/>
        </w:rPr>
        <w:t>upport breastfeeding</w:t>
      </w:r>
      <w:r w:rsidRPr="00274338">
        <w:rPr>
          <w:rFonts w:ascii="Helvetica" w:hAnsi="Helvetica" w:cs="Helvetica"/>
          <w:sz w:val="20"/>
          <w:szCs w:val="20"/>
          <w:shd w:val="clear" w:color="auto" w:fill="FFFFFF"/>
        </w:rPr>
        <w:t xml:space="preserve"> in facilities providing maternity and newborn services</w:t>
      </w:r>
      <w:r w:rsidR="00271DD7" w:rsidRPr="00274338">
        <w:rPr>
          <w:rFonts w:ascii="Helvetica" w:hAnsi="Helvetica" w:cs="Helvetica"/>
          <w:sz w:val="20"/>
          <w:szCs w:val="20"/>
          <w:shd w:val="clear" w:color="auto" w:fill="FFFFFF"/>
        </w:rPr>
        <w:t>.</w:t>
      </w:r>
      <w:r w:rsidR="0076682D">
        <w:rPr>
          <w:rFonts w:ascii="Calibri" w:eastAsia="+mn-ea" w:hAnsi="Calibri" w:cs="+mn-cs"/>
          <w:color w:val="000000"/>
          <w:kern w:val="24"/>
        </w:rPr>
        <w:t xml:space="preserve">  </w:t>
      </w:r>
      <w:r>
        <w:rPr>
          <w:rFonts w:ascii="Calibri" w:eastAsia="+mn-ea" w:hAnsi="Calibri" w:cs="+mn-cs"/>
          <w:color w:val="000000"/>
          <w:kern w:val="24"/>
        </w:rPr>
        <w:t>O</w:t>
      </w:r>
      <w:r>
        <w:t xml:space="preserve">n-site breastfeeding, and storage and handling requirements in </w:t>
      </w:r>
      <w:r>
        <w:rPr>
          <w:rFonts w:ascii="Calibri" w:eastAsia="+mn-ea" w:hAnsi="Calibri" w:cs="+mn-cs"/>
          <w:color w:val="000000"/>
          <w:kern w:val="24"/>
        </w:rPr>
        <w:t>in Early Care and education (</w:t>
      </w:r>
      <w:r w:rsidR="0076682D">
        <w:rPr>
          <w:rFonts w:ascii="Calibri" w:eastAsia="+mn-ea" w:hAnsi="Calibri" w:cs="+mn-cs"/>
          <w:color w:val="000000"/>
          <w:kern w:val="24"/>
        </w:rPr>
        <w:t>ECE</w:t>
      </w:r>
      <w:r>
        <w:rPr>
          <w:rFonts w:ascii="Calibri" w:eastAsia="+mn-ea" w:hAnsi="Calibri" w:cs="+mn-cs"/>
          <w:color w:val="000000"/>
          <w:kern w:val="24"/>
        </w:rPr>
        <w:t xml:space="preserve">) </w:t>
      </w:r>
      <w:r w:rsidR="0076682D">
        <w:rPr>
          <w:rFonts w:ascii="Calibri" w:eastAsia="+mn-ea" w:hAnsi="Calibri" w:cs="+mn-cs"/>
          <w:color w:val="000000"/>
          <w:kern w:val="24"/>
        </w:rPr>
        <w:t>s</w:t>
      </w:r>
      <w:r>
        <w:rPr>
          <w:rFonts w:ascii="Calibri" w:eastAsia="+mn-ea" w:hAnsi="Calibri" w:cs="+mn-cs"/>
          <w:color w:val="000000"/>
          <w:kern w:val="24"/>
        </w:rPr>
        <w:t>ettings</w:t>
      </w:r>
      <w:r w:rsidR="0076682D" w:rsidRPr="005234B6">
        <w:rPr>
          <w:rFonts w:eastAsia="+mn-ea" w:cstheme="minorHAnsi"/>
          <w:color w:val="000000"/>
          <w:kern w:val="24"/>
        </w:rPr>
        <w:t>.</w:t>
      </w:r>
      <w:r w:rsidR="00675E7E" w:rsidRPr="005234B6">
        <w:rPr>
          <w:rFonts w:eastAsia="+mn-ea" w:cstheme="minorHAnsi"/>
          <w:color w:val="000000"/>
          <w:kern w:val="24"/>
        </w:rPr>
        <w:t xml:space="preserve"> </w:t>
      </w:r>
      <w:r w:rsidR="009B4131">
        <w:rPr>
          <w:rFonts w:cstheme="minorHAnsi"/>
          <w:color w:val="000000"/>
          <w:shd w:val="clear" w:color="auto" w:fill="FFFFFF"/>
        </w:rPr>
        <w:t>W</w:t>
      </w:r>
      <w:r w:rsidR="005234B6" w:rsidRPr="005234B6">
        <w:rPr>
          <w:rFonts w:cstheme="minorHAnsi"/>
          <w:color w:val="000000"/>
          <w:shd w:val="clear" w:color="auto" w:fill="FFFFFF"/>
        </w:rPr>
        <w:t>orkplace compliance with </w:t>
      </w:r>
      <w:r w:rsidR="005234B6" w:rsidRPr="005234B6">
        <w:rPr>
          <w:rFonts w:cstheme="minorHAnsi"/>
          <w:shd w:val="clear" w:color="auto" w:fill="FFFFFF"/>
        </w:rPr>
        <w:t>federal lactation accommodation laws</w:t>
      </w:r>
    </w:p>
    <w:p w14:paraId="1F585A0C" w14:textId="77777777" w:rsidR="0076682D" w:rsidRDefault="0076682D" w:rsidP="004E37F5">
      <w:pPr>
        <w:pStyle w:val="ListParagraph"/>
        <w:spacing w:after="0" w:line="240" w:lineRule="auto"/>
        <w:rPr>
          <w:rFonts w:ascii="Calibri" w:eastAsia="+mn-ea" w:hAnsi="Calibri" w:cs="+mn-cs"/>
          <w:color w:val="000000"/>
          <w:kern w:val="24"/>
        </w:rPr>
      </w:pPr>
    </w:p>
    <w:p w14:paraId="40757E01" w14:textId="77777777" w:rsidR="000761F3" w:rsidRDefault="000761F3" w:rsidP="000761F3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+mn-ea" w:hAnsi="Calibri" w:cs="+mn-cs"/>
          <w:color w:val="000000"/>
          <w:kern w:val="24"/>
          <w:sz w:val="24"/>
          <w:szCs w:val="24"/>
        </w:rPr>
      </w:pPr>
      <w:r w:rsidRPr="005E465D">
        <w:rPr>
          <w:rFonts w:ascii="Calibri" w:eastAsia="+mn-ea" w:hAnsi="Calibri" w:cs="+mn-cs"/>
          <w:i/>
          <w:color w:val="000000"/>
          <w:kern w:val="24"/>
          <w:sz w:val="24"/>
          <w:szCs w:val="24"/>
        </w:rPr>
        <w:t>Primary authority:  Hospital maternity units, healthcare systems, payors</w:t>
      </w:r>
      <w:r>
        <w:rPr>
          <w:rFonts w:ascii="Calibri" w:eastAsia="+mn-ea" w:hAnsi="Calibri" w:cs="+mn-cs"/>
          <w:i/>
          <w:color w:val="000000"/>
          <w:kern w:val="24"/>
          <w:sz w:val="24"/>
          <w:szCs w:val="24"/>
        </w:rPr>
        <w:t>, ECE programs</w:t>
      </w:r>
    </w:p>
    <w:p w14:paraId="55CD4FA6" w14:textId="77777777" w:rsidR="000761F3" w:rsidRDefault="000761F3" w:rsidP="00112C61">
      <w:pPr>
        <w:spacing w:after="0" w:line="240" w:lineRule="auto"/>
        <w:rPr>
          <w:rFonts w:ascii="Calibri" w:eastAsia="+mn-ea" w:hAnsi="Calibri" w:cs="+mn-cs"/>
          <w:color w:val="000000"/>
          <w:kern w:val="24"/>
        </w:rPr>
      </w:pPr>
    </w:p>
    <w:p w14:paraId="17B9780A" w14:textId="27745C45" w:rsidR="005E0CF6" w:rsidRPr="00112C61" w:rsidRDefault="0076682D" w:rsidP="00112C61">
      <w:pPr>
        <w:spacing w:after="0" w:line="240" w:lineRule="auto"/>
        <w:rPr>
          <w:rFonts w:ascii="Calibri" w:eastAsia="+mn-ea" w:hAnsi="Calibri" w:cs="+mn-cs"/>
          <w:color w:val="000000"/>
          <w:kern w:val="24"/>
        </w:rPr>
      </w:pPr>
      <w:r w:rsidRPr="00112C61">
        <w:rPr>
          <w:rFonts w:ascii="Calibri" w:eastAsia="+mn-ea" w:hAnsi="Calibri" w:cs="+mn-cs"/>
          <w:color w:val="000000"/>
          <w:kern w:val="24"/>
        </w:rPr>
        <w:t xml:space="preserve">Tracking sources: </w:t>
      </w:r>
    </w:p>
    <w:p w14:paraId="6B2E787E" w14:textId="77777777" w:rsidR="00223C31" w:rsidRPr="00223C31" w:rsidRDefault="00641C9E" w:rsidP="00223C31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28" w:history="1">
        <w:r w:rsidR="00223C31" w:rsidRPr="00223C31">
          <w:rPr>
            <w:rFonts w:ascii="Calibri" w:eastAsia="Times New Roman" w:hAnsi="Calibri" w:cs="Calibri"/>
            <w:color w:val="0563C1"/>
            <w:u w:val="single"/>
          </w:rPr>
          <w:t>https://www.ncsl.org/research/health/breastfeeding-state-laws.aspx</w:t>
        </w:r>
      </w:hyperlink>
    </w:p>
    <w:p w14:paraId="36024065" w14:textId="77777777" w:rsidR="00223C31" w:rsidRPr="00223C31" w:rsidRDefault="00641C9E" w:rsidP="00223C31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29" w:history="1">
        <w:r w:rsidR="00223C31" w:rsidRPr="00223C31">
          <w:rPr>
            <w:rFonts w:ascii="Calibri" w:eastAsia="Times New Roman" w:hAnsi="Calibri" w:cs="Calibri"/>
            <w:color w:val="0563C1"/>
            <w:u w:val="single"/>
          </w:rPr>
          <w:t>https://stateofchildhoodobesity.org/state-policy/policies/breastfeeding/</w:t>
        </w:r>
      </w:hyperlink>
    </w:p>
    <w:p w14:paraId="53B10DAE" w14:textId="042B45E0" w:rsidR="00E33182" w:rsidRDefault="00E33182" w:rsidP="00E33182">
      <w:pPr>
        <w:pStyle w:val="ListParagraph"/>
        <w:spacing w:after="0" w:line="240" w:lineRule="auto"/>
        <w:ind w:left="1080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14:paraId="0B24606B" w14:textId="77777777" w:rsidR="005E465D" w:rsidRPr="001A0E9D" w:rsidRDefault="005E465D" w:rsidP="00E33182">
      <w:pPr>
        <w:pStyle w:val="ListParagraph"/>
        <w:spacing w:after="0" w:line="240" w:lineRule="auto"/>
        <w:ind w:left="1080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14:paraId="30D1991A" w14:textId="3BE5678B" w:rsidR="001A0E9D" w:rsidRPr="00223C31" w:rsidRDefault="001A0E9D" w:rsidP="00223C31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  <w:r w:rsidRPr="00223C31">
        <w:rPr>
          <w:rFonts w:ascii="Calibri" w:eastAsia="+mn-ea" w:hAnsi="Calibri" w:cs="+mn-cs"/>
          <w:color w:val="000000"/>
          <w:kern w:val="24"/>
          <w:sz w:val="28"/>
          <w:szCs w:val="28"/>
        </w:rPr>
        <w:t>Implement procurement</w:t>
      </w:r>
      <w:r w:rsidR="00750A06" w:rsidRPr="00223C31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, </w:t>
      </w:r>
      <w:r w:rsidRPr="00223C31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contracting </w:t>
      </w:r>
      <w:r w:rsidR="00750A06" w:rsidRPr="00223C31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and retail </w:t>
      </w:r>
      <w:r w:rsidRPr="00223C31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policies that </w:t>
      </w:r>
      <w:r w:rsidR="00CB43DB" w:rsidRPr="00223C31">
        <w:rPr>
          <w:rFonts w:ascii="Calibri" w:eastAsia="+mn-ea" w:hAnsi="Calibri" w:cs="+mn-cs"/>
          <w:color w:val="000000"/>
          <w:kern w:val="24"/>
          <w:sz w:val="28"/>
          <w:szCs w:val="28"/>
        </w:rPr>
        <w:t>increase access to healthy</w:t>
      </w:r>
      <w:r w:rsidRPr="00223C31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foods</w:t>
      </w:r>
    </w:p>
    <w:p w14:paraId="437B08E5" w14:textId="62110937" w:rsidR="00E148A2" w:rsidRDefault="00E148A2" w:rsidP="00E148A2">
      <w:pPr>
        <w:pStyle w:val="ListParagraph"/>
        <w:spacing w:after="0" w:line="240" w:lineRule="auto"/>
        <w:ind w:left="360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14:paraId="30530DAD" w14:textId="77777777" w:rsidR="00983810" w:rsidRPr="00983810" w:rsidRDefault="00983810" w:rsidP="0098381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83810">
        <w:rPr>
          <w:rFonts w:eastAsia="Times New Roman" w:cstheme="minorHAnsi"/>
          <w:sz w:val="24"/>
          <w:szCs w:val="24"/>
        </w:rPr>
        <w:t>Policy Areas</w:t>
      </w:r>
    </w:p>
    <w:p w14:paraId="552C0117" w14:textId="1ED95AE0" w:rsidR="00260E6C" w:rsidRDefault="00135E21" w:rsidP="004E37F5">
      <w:pPr>
        <w:pStyle w:val="ListParagraph"/>
        <w:spacing w:after="0" w:line="240" w:lineRule="auto"/>
        <w:rPr>
          <w:color w:val="000000"/>
        </w:rPr>
      </w:pPr>
      <w:r>
        <w:rPr>
          <w:color w:val="000000"/>
        </w:rPr>
        <w:t>State food service guidelines; S</w:t>
      </w:r>
      <w:r w:rsidR="00E148A2" w:rsidRPr="003B1A27">
        <w:rPr>
          <w:color w:val="000000"/>
        </w:rPr>
        <w:t>tate agenc</w:t>
      </w:r>
      <w:r w:rsidR="00E148A2">
        <w:rPr>
          <w:color w:val="000000"/>
        </w:rPr>
        <w:t>y</w:t>
      </w:r>
      <w:r w:rsidR="00E148A2" w:rsidRPr="003B1A27">
        <w:rPr>
          <w:color w:val="000000"/>
        </w:rPr>
        <w:t xml:space="preserve"> food </w:t>
      </w:r>
      <w:r>
        <w:rPr>
          <w:color w:val="000000"/>
        </w:rPr>
        <w:t>policies for</w:t>
      </w:r>
      <w:r w:rsidR="00E148A2" w:rsidRPr="003B1A27">
        <w:rPr>
          <w:color w:val="000000"/>
        </w:rPr>
        <w:t xml:space="preserve"> events and meetings, vending machines, and cafeterias</w:t>
      </w:r>
      <w:r>
        <w:rPr>
          <w:color w:val="000000"/>
        </w:rPr>
        <w:t xml:space="preserve">; </w:t>
      </w:r>
      <w:r>
        <w:t>Incentives to attract healthier food retail outlets to underserved areas or to improve healthier food offerings in existing stores;</w:t>
      </w:r>
      <w:r w:rsidR="00260E6C">
        <w:rPr>
          <w:color w:val="000000"/>
        </w:rPr>
        <w:t xml:space="preserve"> </w:t>
      </w:r>
      <w:r w:rsidR="00111D62">
        <w:rPr>
          <w:color w:val="000000"/>
        </w:rPr>
        <w:t>adding high performance nutrition standards for ECE</w:t>
      </w:r>
    </w:p>
    <w:p w14:paraId="79A55166" w14:textId="77777777" w:rsidR="00260E6C" w:rsidRDefault="00260E6C" w:rsidP="004E37F5">
      <w:pPr>
        <w:pStyle w:val="ListParagraph"/>
        <w:spacing w:after="0" w:line="240" w:lineRule="auto"/>
        <w:rPr>
          <w:color w:val="000000"/>
        </w:rPr>
      </w:pPr>
    </w:p>
    <w:p w14:paraId="440D03C3" w14:textId="77777777" w:rsidR="000761F3" w:rsidRPr="005E465D" w:rsidRDefault="000761F3" w:rsidP="000761F3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+mn-ea" w:hAnsi="Calibri" w:cs="+mn-cs"/>
          <w:i/>
          <w:color w:val="000000"/>
          <w:kern w:val="24"/>
          <w:sz w:val="24"/>
          <w:szCs w:val="24"/>
        </w:rPr>
      </w:pPr>
      <w:r w:rsidRPr="005E465D">
        <w:rPr>
          <w:rFonts w:ascii="Calibri" w:eastAsia="+mn-ea" w:hAnsi="Calibri" w:cs="+mn-cs"/>
          <w:i/>
          <w:color w:val="000000"/>
          <w:kern w:val="24"/>
          <w:sz w:val="24"/>
          <w:szCs w:val="24"/>
        </w:rPr>
        <w:t>Primary authority</w:t>
      </w:r>
      <w:r w:rsidRPr="009021BD">
        <w:rPr>
          <w:rFonts w:ascii="Calibri" w:eastAsia="+mn-ea" w:hAnsi="Calibri" w:cs="+mn-cs"/>
          <w:color w:val="000000"/>
          <w:kern w:val="24"/>
          <w:sz w:val="24"/>
          <w:szCs w:val="24"/>
        </w:rPr>
        <w:t xml:space="preserve">:  </w:t>
      </w:r>
      <w:r w:rsidRPr="005E465D">
        <w:rPr>
          <w:rFonts w:ascii="Calibri" w:eastAsia="+mn-ea" w:hAnsi="Calibri" w:cs="+mn-cs"/>
          <w:i/>
          <w:color w:val="000000"/>
          <w:kern w:val="24"/>
          <w:sz w:val="24"/>
          <w:szCs w:val="24"/>
        </w:rPr>
        <w:t>State schools/public education Dept, State Corrections Dept, State /Economic Development Dept, local government, healthcare systems, private sector</w:t>
      </w:r>
    </w:p>
    <w:p w14:paraId="58CCCE23" w14:textId="77777777" w:rsidR="000761F3" w:rsidRDefault="000761F3" w:rsidP="00112C61">
      <w:pPr>
        <w:spacing w:after="0" w:line="240" w:lineRule="auto"/>
        <w:rPr>
          <w:color w:val="000000"/>
          <w:highlight w:val="yellow"/>
        </w:rPr>
      </w:pPr>
    </w:p>
    <w:p w14:paraId="429B5C85" w14:textId="6850BB90" w:rsidR="00E148A2" w:rsidRDefault="00260E6C" w:rsidP="00112C61">
      <w:pPr>
        <w:spacing w:after="0" w:line="240" w:lineRule="auto"/>
        <w:rPr>
          <w:color w:val="000000"/>
        </w:rPr>
      </w:pPr>
      <w:r w:rsidRPr="00634CAE">
        <w:rPr>
          <w:color w:val="000000"/>
        </w:rPr>
        <w:t>Tracking Sources</w:t>
      </w:r>
    </w:p>
    <w:p w14:paraId="6E84CCCF" w14:textId="77777777" w:rsidR="00223C31" w:rsidRPr="00223C31" w:rsidRDefault="00641C9E" w:rsidP="00223C31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30" w:history="1">
        <w:r w:rsidR="00223C31" w:rsidRPr="00223C31">
          <w:rPr>
            <w:rFonts w:ascii="Calibri" w:eastAsia="Times New Roman" w:hAnsi="Calibri" w:cs="Calibri"/>
            <w:color w:val="0563C1"/>
            <w:u w:val="single"/>
          </w:rPr>
          <w:t>https://www.healthyfoodaccess.org/take-action-now-policy-efforts-impacts</w:t>
        </w:r>
      </w:hyperlink>
    </w:p>
    <w:p w14:paraId="221AE6C4" w14:textId="77777777" w:rsidR="00451863" w:rsidRDefault="00451863" w:rsidP="00634CAE">
      <w:pPr>
        <w:spacing w:after="0" w:line="240" w:lineRule="auto"/>
        <w:ind w:firstLine="720"/>
        <w:rPr>
          <w:i/>
          <w:iCs/>
        </w:rPr>
      </w:pPr>
    </w:p>
    <w:p w14:paraId="7E838269" w14:textId="1F1058D6" w:rsidR="00EC39C6" w:rsidRPr="00451863" w:rsidRDefault="00641C9E" w:rsidP="00634CAE">
      <w:pPr>
        <w:spacing w:after="0" w:line="240" w:lineRule="auto"/>
        <w:ind w:firstLine="720"/>
        <w:rPr>
          <w:rStyle w:val="Hyperlink"/>
          <w:i/>
          <w:iCs/>
        </w:rPr>
      </w:pPr>
      <w:hyperlink r:id="rId31" w:history="1">
        <w:r w:rsidR="00451863" w:rsidRPr="007956FC">
          <w:rPr>
            <w:rStyle w:val="Hyperlink"/>
            <w:i/>
            <w:iCs/>
          </w:rPr>
          <w:t>https://cspinet.org/protecting-our-health/nutrition/healthier-public-places</w:t>
        </w:r>
      </w:hyperlink>
      <w:r w:rsidR="00EC39C6" w:rsidRPr="00451863">
        <w:rPr>
          <w:rStyle w:val="Hyperlink"/>
          <w:i/>
          <w:iCs/>
        </w:rPr>
        <w:t xml:space="preserve">  </w:t>
      </w:r>
    </w:p>
    <w:p w14:paraId="7CE1EC6D" w14:textId="0D45BE00" w:rsidR="00634CAE" w:rsidRPr="00451863" w:rsidRDefault="00641C9E" w:rsidP="00634CAE">
      <w:pPr>
        <w:spacing w:after="0" w:line="240" w:lineRule="auto"/>
        <w:ind w:firstLine="720"/>
        <w:rPr>
          <w:rStyle w:val="Hyperlink"/>
          <w:i/>
          <w:iCs/>
        </w:rPr>
      </w:pPr>
      <w:hyperlink r:id="rId32" w:history="1">
        <w:r w:rsidR="00EC39C6" w:rsidRPr="00451863">
          <w:rPr>
            <w:rStyle w:val="Hyperlink"/>
            <w:i/>
            <w:iCs/>
          </w:rPr>
          <w:t xml:space="preserve">Child Care Obesity Prevention Regulation Scores (COPR Scores)  </w:t>
        </w:r>
      </w:hyperlink>
    </w:p>
    <w:p w14:paraId="4796B548" w14:textId="77777777" w:rsidR="00223C31" w:rsidRPr="00451863" w:rsidRDefault="00223C31" w:rsidP="00634CAE">
      <w:pPr>
        <w:spacing w:after="0" w:line="240" w:lineRule="auto"/>
        <w:ind w:firstLine="720"/>
        <w:rPr>
          <w:rStyle w:val="Hyperlink"/>
          <w:i/>
          <w:iCs/>
        </w:rPr>
      </w:pPr>
    </w:p>
    <w:p w14:paraId="6EB42E52" w14:textId="05965F08" w:rsidR="00852676" w:rsidRDefault="00852676" w:rsidP="00223C31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Implement Nutrition Policies in Early Child Care facilities</w:t>
      </w:r>
    </w:p>
    <w:p w14:paraId="74C85EAA" w14:textId="2D43AFEB" w:rsidR="00852676" w:rsidRDefault="00852676" w:rsidP="00852676">
      <w:pPr>
        <w:pStyle w:val="ListParagraph"/>
        <w:spacing w:after="0" w:line="240" w:lineRule="auto"/>
        <w:ind w:left="360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14:paraId="64745C76" w14:textId="77777777" w:rsidR="00983810" w:rsidRPr="00983810" w:rsidRDefault="00983810" w:rsidP="0098381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83810">
        <w:rPr>
          <w:rFonts w:eastAsia="Times New Roman" w:cstheme="minorHAnsi"/>
          <w:sz w:val="24"/>
          <w:szCs w:val="24"/>
        </w:rPr>
        <w:t>Policy Areas</w:t>
      </w:r>
    </w:p>
    <w:p w14:paraId="65EDD4CB" w14:textId="7D4080E2" w:rsidR="007F0EA0" w:rsidRPr="00A42478" w:rsidRDefault="00852676" w:rsidP="007F0EA0">
      <w:pPr>
        <w:pStyle w:val="CommentText"/>
        <w:ind w:left="720"/>
      </w:pPr>
      <w:r w:rsidRPr="00852676">
        <w:rPr>
          <w:rFonts w:ascii="Calibri" w:eastAsia="+mn-ea" w:hAnsi="Calibri" w:cs="+mn-cs"/>
          <w:color w:val="000000"/>
          <w:kern w:val="24"/>
          <w:sz w:val="22"/>
          <w:szCs w:val="22"/>
        </w:rPr>
        <w:t>Low/</w:t>
      </w:r>
      <w:proofErr w:type="spellStart"/>
      <w:proofErr w:type="gramStart"/>
      <w:r w:rsidRPr="00852676">
        <w:rPr>
          <w:rFonts w:ascii="Calibri" w:eastAsia="+mn-ea" w:hAnsi="Calibri" w:cs="+mn-cs"/>
          <w:color w:val="000000"/>
          <w:kern w:val="24"/>
          <w:sz w:val="22"/>
          <w:szCs w:val="22"/>
        </w:rPr>
        <w:t>Non fat</w:t>
      </w:r>
      <w:proofErr w:type="spellEnd"/>
      <w:proofErr w:type="gramEnd"/>
      <w:r w:rsidRPr="00852676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milk, limit juice, provide water</w:t>
      </w:r>
      <w:r>
        <w:rPr>
          <w:rFonts w:ascii="Calibri" w:eastAsia="+mn-ea" w:hAnsi="Calibri" w:cs="+mn-cs"/>
          <w:color w:val="000000"/>
          <w:kern w:val="24"/>
        </w:rPr>
        <w:t xml:space="preserve">, avoid sugar.  See </w:t>
      </w:r>
      <w:hyperlink r:id="rId33" w:history="1">
        <w:r w:rsidR="007F0EA0" w:rsidRPr="00A42478">
          <w:rPr>
            <w:rStyle w:val="Hyperlink"/>
          </w:rPr>
          <w:t>https://nrckids.org/files/ASHW.2017_7.23.18.pdf</w:t>
        </w:r>
      </w:hyperlink>
      <w:r w:rsidR="007F0EA0" w:rsidRPr="00A42478">
        <w:t xml:space="preserve"> </w:t>
      </w:r>
    </w:p>
    <w:p w14:paraId="3C2BE9AD" w14:textId="77777777" w:rsidR="00451863" w:rsidRDefault="00451863" w:rsidP="00852676">
      <w:pPr>
        <w:pStyle w:val="ListParagraph"/>
        <w:spacing w:after="0" w:line="240" w:lineRule="auto"/>
        <w:ind w:left="360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14:paraId="3C7F1100" w14:textId="77777777" w:rsidR="00852676" w:rsidRPr="001B5D90" w:rsidRDefault="00852676" w:rsidP="00852676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+mn-ea" w:hAnsi="Calibri" w:cs="+mn-cs"/>
          <w:i/>
          <w:color w:val="000000"/>
          <w:kern w:val="24"/>
          <w:sz w:val="24"/>
          <w:szCs w:val="24"/>
        </w:rPr>
      </w:pPr>
      <w:r w:rsidRPr="001B5D90">
        <w:rPr>
          <w:rFonts w:ascii="Calibri" w:eastAsia="+mn-ea" w:hAnsi="Calibri" w:cs="+mn-cs"/>
          <w:i/>
          <w:color w:val="000000"/>
          <w:kern w:val="24"/>
          <w:sz w:val="24"/>
          <w:szCs w:val="24"/>
        </w:rPr>
        <w:t xml:space="preserve">Primary authority: </w:t>
      </w:r>
      <w:r>
        <w:rPr>
          <w:rFonts w:ascii="Calibri" w:eastAsia="+mn-ea" w:hAnsi="Calibri" w:cs="+mn-cs"/>
          <w:i/>
          <w:color w:val="000000"/>
          <w:kern w:val="24"/>
          <w:sz w:val="24"/>
          <w:szCs w:val="24"/>
        </w:rPr>
        <w:t>State regulator of c</w:t>
      </w:r>
      <w:r w:rsidRPr="001B5D90">
        <w:rPr>
          <w:rFonts w:ascii="Calibri" w:eastAsia="+mn-ea" w:hAnsi="Calibri" w:cs="+mn-cs"/>
          <w:i/>
          <w:color w:val="000000"/>
          <w:kern w:val="24"/>
          <w:sz w:val="24"/>
          <w:szCs w:val="24"/>
        </w:rPr>
        <w:t>hildcare facilities</w:t>
      </w:r>
    </w:p>
    <w:p w14:paraId="71BC0364" w14:textId="77777777" w:rsidR="00852676" w:rsidRDefault="00852676" w:rsidP="00852676">
      <w:pPr>
        <w:spacing w:after="0" w:line="240" w:lineRule="auto"/>
      </w:pPr>
    </w:p>
    <w:p w14:paraId="70449FB6" w14:textId="783BE817" w:rsidR="00852676" w:rsidRDefault="00852676" w:rsidP="00852676">
      <w:pPr>
        <w:spacing w:after="0" w:line="240" w:lineRule="auto"/>
      </w:pPr>
      <w:r>
        <w:t xml:space="preserve">Tracking source </w:t>
      </w:r>
    </w:p>
    <w:p w14:paraId="503BE889" w14:textId="77777777" w:rsidR="00451863" w:rsidRPr="00451863" w:rsidRDefault="00641C9E" w:rsidP="00451863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34" w:history="1">
        <w:r w:rsidR="00451863" w:rsidRPr="00451863">
          <w:rPr>
            <w:rFonts w:ascii="Calibri" w:eastAsia="Times New Roman" w:hAnsi="Calibri" w:cs="Calibri"/>
            <w:color w:val="0563C1"/>
            <w:u w:val="single"/>
          </w:rPr>
          <w:t>https://stateofchildhoodobesity.org/state-policy/policies/usdastandards/</w:t>
        </w:r>
      </w:hyperlink>
    </w:p>
    <w:p w14:paraId="6D60E4BE" w14:textId="77777777" w:rsidR="00451863" w:rsidRDefault="00451863" w:rsidP="00852676">
      <w:pPr>
        <w:pStyle w:val="ListParagraph"/>
        <w:spacing w:after="0" w:line="240" w:lineRule="auto"/>
        <w:ind w:left="360" w:firstLine="360"/>
      </w:pPr>
    </w:p>
    <w:p w14:paraId="6DC57E87" w14:textId="5B733263" w:rsidR="00852676" w:rsidRPr="00451863" w:rsidRDefault="00641C9E" w:rsidP="00852676">
      <w:pPr>
        <w:pStyle w:val="ListParagraph"/>
        <w:spacing w:after="0" w:line="240" w:lineRule="auto"/>
        <w:ind w:left="360" w:firstLine="360"/>
        <w:rPr>
          <w:rFonts w:ascii="Calibri" w:eastAsia="+mn-ea" w:hAnsi="Calibri" w:cs="+mn-cs"/>
          <w:i/>
          <w:iCs/>
          <w:color w:val="000000"/>
          <w:kern w:val="24"/>
          <w:sz w:val="28"/>
          <w:szCs w:val="28"/>
        </w:rPr>
      </w:pPr>
      <w:hyperlink r:id="rId35" w:history="1">
        <w:r w:rsidR="00852676" w:rsidRPr="00451863">
          <w:rPr>
            <w:rStyle w:val="Hyperlink"/>
            <w:i/>
            <w:iCs/>
          </w:rPr>
          <w:t xml:space="preserve">Child Care Obesity Prevention Regulation Scores (COPR Scores)  </w:t>
        </w:r>
      </w:hyperlink>
    </w:p>
    <w:p w14:paraId="3A369808" w14:textId="77777777" w:rsidR="00451863" w:rsidRPr="00451863" w:rsidRDefault="00641C9E" w:rsidP="00451863">
      <w:pPr>
        <w:pStyle w:val="NoSpacing"/>
        <w:ind w:left="720"/>
        <w:rPr>
          <w:i/>
          <w:iCs/>
        </w:rPr>
      </w:pPr>
      <w:hyperlink r:id="rId36" w:history="1">
        <w:r w:rsidR="00451863" w:rsidRPr="00451863">
          <w:rPr>
            <w:rStyle w:val="Hyperlink"/>
            <w:i/>
            <w:iCs/>
          </w:rPr>
          <w:t>https://nrckids.org/files/ASHW.2017.Supplement_7.23.18.pdf</w:t>
        </w:r>
      </w:hyperlink>
      <w:r w:rsidR="00451863" w:rsidRPr="00451863">
        <w:rPr>
          <w:i/>
          <w:iCs/>
        </w:rPr>
        <w:t xml:space="preserve">  </w:t>
      </w:r>
    </w:p>
    <w:p w14:paraId="69FF84DF" w14:textId="77777777" w:rsidR="00EC5FE0" w:rsidRPr="00852676" w:rsidRDefault="00EC5FE0" w:rsidP="00852676">
      <w:pPr>
        <w:pStyle w:val="ListParagraph"/>
        <w:spacing w:after="0" w:line="240" w:lineRule="auto"/>
        <w:ind w:left="360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14:paraId="25554E78" w14:textId="7DC0F642" w:rsidR="001A0E9D" w:rsidRPr="00675E7E" w:rsidRDefault="001A0E9D" w:rsidP="00223C31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  <w:r w:rsidRPr="00935338">
        <w:rPr>
          <w:sz w:val="28"/>
          <w:szCs w:val="28"/>
        </w:rPr>
        <w:t>Increase Access to, Utilization of, and Nutritional Quality of School Meals</w:t>
      </w:r>
      <w:r>
        <w:rPr>
          <w:sz w:val="28"/>
          <w:szCs w:val="28"/>
        </w:rPr>
        <w:t xml:space="preserve"> </w:t>
      </w:r>
    </w:p>
    <w:p w14:paraId="1AA6AD44" w14:textId="309A4304" w:rsidR="00675E7E" w:rsidRDefault="00675E7E" w:rsidP="00675E7E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14:paraId="367439DA" w14:textId="77777777" w:rsidR="00983810" w:rsidRPr="00983810" w:rsidRDefault="00983810" w:rsidP="0098381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83810">
        <w:rPr>
          <w:rFonts w:eastAsia="Times New Roman" w:cstheme="minorHAnsi"/>
          <w:sz w:val="24"/>
          <w:szCs w:val="24"/>
        </w:rPr>
        <w:t>Policy Areas</w:t>
      </w:r>
    </w:p>
    <w:p w14:paraId="75E20517" w14:textId="5F0BFD06" w:rsidR="007F0EA0" w:rsidRDefault="007F0EA0" w:rsidP="007F0EA0">
      <w:pPr>
        <w:pStyle w:val="ListParagraph"/>
        <w:spacing w:after="0" w:line="240" w:lineRule="auto"/>
        <w:ind w:left="360" w:firstLine="360"/>
        <w:rPr>
          <w:rStyle w:val="Hyperlink"/>
        </w:rPr>
      </w:pPr>
      <w:r>
        <w:t xml:space="preserve">See: </w:t>
      </w:r>
      <w:hyperlink r:id="rId37" w:history="1">
        <w:r w:rsidRPr="00E31CDD">
          <w:rPr>
            <w:rStyle w:val="Hyperlink"/>
          </w:rPr>
          <w:t>https://schoolnutrition.org/AboutSchoolMeals/SchoolNutritionStandards/</w:t>
        </w:r>
      </w:hyperlink>
    </w:p>
    <w:p w14:paraId="2909BE9B" w14:textId="77777777" w:rsidR="007F0EA0" w:rsidRDefault="007F0EA0" w:rsidP="00675E7E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14:paraId="04C807DD" w14:textId="08E25C77" w:rsidR="0076682D" w:rsidRDefault="0076682D" w:rsidP="004E37F5">
      <w:pPr>
        <w:pStyle w:val="ListParagraph"/>
        <w:spacing w:after="0" w:line="240" w:lineRule="auto"/>
        <w:ind w:left="360" w:firstLine="360"/>
        <w:rPr>
          <w:rStyle w:val="Hyperlink"/>
        </w:rPr>
      </w:pPr>
    </w:p>
    <w:p w14:paraId="3FBE1C83" w14:textId="77777777" w:rsidR="000761F3" w:rsidRPr="005E465D" w:rsidRDefault="000761F3" w:rsidP="000761F3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+mn-ea" w:hAnsi="Calibri" w:cs="+mn-cs"/>
          <w:i/>
          <w:color w:val="000000"/>
          <w:kern w:val="24"/>
          <w:sz w:val="28"/>
          <w:szCs w:val="28"/>
        </w:rPr>
      </w:pPr>
      <w:r w:rsidRPr="005E465D">
        <w:rPr>
          <w:rFonts w:ascii="Calibri" w:eastAsia="+mn-ea" w:hAnsi="Calibri" w:cs="+mn-cs"/>
          <w:i/>
          <w:color w:val="000000"/>
          <w:kern w:val="24"/>
          <w:sz w:val="24"/>
          <w:szCs w:val="24"/>
        </w:rPr>
        <w:t>Primary authority:</w:t>
      </w:r>
      <w:r w:rsidRPr="001A0E9D">
        <w:rPr>
          <w:rFonts w:ascii="Calibri" w:eastAsia="+mn-ea" w:hAnsi="Calibri" w:cs="+mn-cs"/>
          <w:color w:val="000000"/>
          <w:kern w:val="24"/>
          <w:sz w:val="24"/>
          <w:szCs w:val="24"/>
        </w:rPr>
        <w:t xml:space="preserve">  </w:t>
      </w:r>
      <w:r w:rsidRPr="005E465D">
        <w:rPr>
          <w:rFonts w:ascii="Calibri" w:eastAsia="+mn-ea" w:hAnsi="Calibri" w:cs="+mn-cs"/>
          <w:i/>
          <w:color w:val="000000"/>
          <w:kern w:val="24"/>
          <w:sz w:val="24"/>
          <w:szCs w:val="24"/>
        </w:rPr>
        <w:t>State Board of Ed.  State Education/Public Instruction Depts</w:t>
      </w:r>
    </w:p>
    <w:p w14:paraId="0E35C473" w14:textId="77777777" w:rsidR="000761F3" w:rsidRDefault="000761F3" w:rsidP="00112C61">
      <w:pPr>
        <w:spacing w:after="0" w:line="240" w:lineRule="auto"/>
        <w:rPr>
          <w:rFonts w:ascii="Calibri" w:eastAsia="+mn-ea" w:hAnsi="Calibri" w:cs="+mn-cs"/>
          <w:color w:val="000000"/>
          <w:kern w:val="24"/>
        </w:rPr>
      </w:pPr>
    </w:p>
    <w:p w14:paraId="2CACA3E8" w14:textId="2554A976" w:rsidR="005E0CF6" w:rsidRDefault="00112C61" w:rsidP="00112C61">
      <w:pPr>
        <w:spacing w:after="0" w:line="240" w:lineRule="auto"/>
      </w:pPr>
      <w:r>
        <w:rPr>
          <w:rFonts w:ascii="Calibri" w:eastAsia="+mn-ea" w:hAnsi="Calibri" w:cs="+mn-cs"/>
          <w:color w:val="000000"/>
          <w:kern w:val="24"/>
        </w:rPr>
        <w:t>T</w:t>
      </w:r>
      <w:r w:rsidR="0076682D" w:rsidRPr="00260E6C">
        <w:rPr>
          <w:rFonts w:ascii="Calibri" w:eastAsia="+mn-ea" w:hAnsi="Calibri" w:cs="+mn-cs"/>
          <w:color w:val="000000"/>
          <w:kern w:val="24"/>
          <w:highlight w:val="yellow"/>
        </w:rPr>
        <w:t>racking sources</w:t>
      </w:r>
      <w:r w:rsidR="0076682D">
        <w:rPr>
          <w:rFonts w:ascii="Calibri" w:eastAsia="+mn-ea" w:hAnsi="Calibri" w:cs="+mn-cs"/>
          <w:color w:val="000000"/>
          <w:kern w:val="24"/>
        </w:rPr>
        <w:t xml:space="preserve">: </w:t>
      </w:r>
      <w:r w:rsidR="0076682D">
        <w:t xml:space="preserve"> </w:t>
      </w:r>
    </w:p>
    <w:p w14:paraId="1200EBAD" w14:textId="77777777" w:rsidR="00451863" w:rsidRPr="00451863" w:rsidRDefault="00641C9E" w:rsidP="00451863">
      <w:pPr>
        <w:spacing w:after="0" w:line="240" w:lineRule="auto"/>
        <w:rPr>
          <w:rFonts w:ascii="Calibri" w:eastAsia="Times New Roman" w:hAnsi="Calibri" w:cs="Calibri"/>
          <w:u w:val="single"/>
        </w:rPr>
      </w:pPr>
      <w:hyperlink r:id="rId38" w:history="1">
        <w:r w:rsidR="00451863" w:rsidRPr="00451863">
          <w:rPr>
            <w:rFonts w:ascii="Calibri" w:eastAsia="Times New Roman" w:hAnsi="Calibri" w:cs="Calibri"/>
            <w:u w:val="single"/>
          </w:rPr>
          <w:t>https://schoolnutrition.org/uploadedFiles/Legislation_and_Policy/State_and_Local_Legislation_and_Regulations/SNA-2019-First-Quarter-State-Legislative-Report.pdf</w:t>
        </w:r>
      </w:hyperlink>
    </w:p>
    <w:p w14:paraId="62DF3BDD" w14:textId="77777777" w:rsidR="00451863" w:rsidRPr="00451863" w:rsidRDefault="00641C9E" w:rsidP="00451863">
      <w:pPr>
        <w:spacing w:after="0" w:line="240" w:lineRule="auto"/>
        <w:rPr>
          <w:rFonts w:ascii="Calibri" w:eastAsia="Times New Roman" w:hAnsi="Calibri" w:cs="Calibri"/>
          <w:u w:val="single"/>
        </w:rPr>
      </w:pPr>
      <w:hyperlink r:id="rId39" w:history="1">
        <w:r w:rsidR="00451863" w:rsidRPr="00451863">
          <w:rPr>
            <w:rFonts w:ascii="Calibri" w:eastAsia="Times New Roman" w:hAnsi="Calibri" w:cs="Calibri"/>
            <w:u w:val="single"/>
          </w:rPr>
          <w:t>https://schoolnutrition.org/uploadedFiles/Legislation_and_Policy/State_and_Local_Legislation_and_Regulations/SNA-2019-First-Quarter-State-Legislative-Report.pdf</w:t>
        </w:r>
      </w:hyperlink>
    </w:p>
    <w:p w14:paraId="3BF5D79A" w14:textId="3EEEDC52" w:rsidR="00451863" w:rsidRDefault="00451863" w:rsidP="00112C61">
      <w:pPr>
        <w:spacing w:after="0" w:line="240" w:lineRule="auto"/>
      </w:pPr>
    </w:p>
    <w:p w14:paraId="6C87049C" w14:textId="77777777" w:rsidR="00451863" w:rsidRDefault="00451863" w:rsidP="00112C61">
      <w:pPr>
        <w:spacing w:after="0" w:line="240" w:lineRule="auto"/>
      </w:pPr>
    </w:p>
    <w:p w14:paraId="47E988ED" w14:textId="77777777" w:rsidR="00451863" w:rsidRPr="008E5EF3" w:rsidRDefault="00641C9E" w:rsidP="00451863">
      <w:pPr>
        <w:spacing w:after="0" w:line="240" w:lineRule="auto"/>
        <w:rPr>
          <w:rFonts w:ascii="Calibri" w:eastAsia="Times New Roman" w:hAnsi="Calibri" w:cs="Calibri"/>
          <w:i/>
          <w:iCs/>
          <w:color w:val="0563C1"/>
          <w:u w:val="single"/>
        </w:rPr>
      </w:pPr>
      <w:hyperlink r:id="rId40" w:history="1">
        <w:r w:rsidR="00451863" w:rsidRPr="008E5EF3">
          <w:rPr>
            <w:rStyle w:val="Hyperlink"/>
            <w:i/>
            <w:iCs/>
          </w:rPr>
          <w:t>https://www.tfah.org/wp-content/uploads/2019/09/2019ObesityReportFINAL-1.pdf</w:t>
        </w:r>
      </w:hyperlink>
    </w:p>
    <w:p w14:paraId="4A51CB3E" w14:textId="77777777" w:rsidR="00451863" w:rsidRDefault="00451863" w:rsidP="00112C61">
      <w:pPr>
        <w:spacing w:after="0" w:line="240" w:lineRule="auto"/>
      </w:pPr>
    </w:p>
    <w:p w14:paraId="09487A0E" w14:textId="77777777" w:rsidR="00852676" w:rsidRDefault="00852676">
      <w:pPr>
        <w:rPr>
          <w:rFonts w:ascii="Calibri" w:eastAsia="+mn-ea" w:hAnsi="Calibri" w:cs="+mn-cs"/>
          <w:b/>
          <w:color w:val="000000"/>
          <w:kern w:val="24"/>
          <w:sz w:val="40"/>
          <w:szCs w:val="40"/>
        </w:rPr>
      </w:pPr>
      <w:r>
        <w:rPr>
          <w:rFonts w:ascii="Calibri" w:eastAsia="+mn-ea" w:hAnsi="Calibri" w:cs="+mn-cs"/>
          <w:b/>
          <w:color w:val="000000"/>
          <w:kern w:val="24"/>
          <w:sz w:val="40"/>
          <w:szCs w:val="40"/>
        </w:rPr>
        <w:br w:type="page"/>
      </w:r>
    </w:p>
    <w:p w14:paraId="62601C32" w14:textId="66092E77" w:rsidR="00816FFB" w:rsidRPr="00876499" w:rsidRDefault="00816FFB" w:rsidP="00816FFB">
      <w:pPr>
        <w:spacing w:after="0" w:line="240" w:lineRule="auto"/>
        <w:rPr>
          <w:rFonts w:ascii="Calibri" w:eastAsia="+mn-ea" w:hAnsi="Calibri" w:cs="+mn-cs"/>
          <w:b/>
          <w:color w:val="000000"/>
          <w:kern w:val="24"/>
          <w:sz w:val="40"/>
          <w:szCs w:val="40"/>
        </w:rPr>
      </w:pPr>
      <w:r w:rsidRPr="00876499">
        <w:rPr>
          <w:rFonts w:ascii="Calibri" w:eastAsia="+mn-ea" w:hAnsi="Calibri" w:cs="+mn-cs"/>
          <w:b/>
          <w:color w:val="000000"/>
          <w:kern w:val="24"/>
          <w:sz w:val="40"/>
          <w:szCs w:val="40"/>
        </w:rPr>
        <w:lastRenderedPageBreak/>
        <w:t>Risk Factor:  Lack of Physical Activity</w:t>
      </w:r>
    </w:p>
    <w:p w14:paraId="513209F7" w14:textId="07B52B0A" w:rsidR="001A0E9D" w:rsidRDefault="001A0E9D" w:rsidP="00816FFB">
      <w:pPr>
        <w:spacing w:after="0" w:line="240" w:lineRule="auto"/>
        <w:rPr>
          <w:rFonts w:ascii="Calibri" w:eastAsia="+mn-ea" w:hAnsi="Calibri" w:cs="+mn-cs"/>
          <w:b/>
          <w:color w:val="000000"/>
          <w:kern w:val="24"/>
          <w:sz w:val="28"/>
          <w:szCs w:val="28"/>
        </w:rPr>
      </w:pPr>
    </w:p>
    <w:p w14:paraId="6F953926" w14:textId="582459ED" w:rsidR="001A0E9D" w:rsidRPr="001A0E9D" w:rsidRDefault="001A0E9D" w:rsidP="001A0E9D">
      <w:pPr>
        <w:spacing w:after="0" w:line="240" w:lineRule="auto"/>
        <w:rPr>
          <w:rFonts w:ascii="Calibri" w:eastAsia="+mn-ea" w:hAnsi="Calibri" w:cs="+mn-cs"/>
          <w:color w:val="000000"/>
          <w:kern w:val="24"/>
          <w:sz w:val="28"/>
          <w:szCs w:val="28"/>
          <w:u w:val="single"/>
        </w:rPr>
      </w:pPr>
      <w:r w:rsidRPr="001A0E9D">
        <w:rPr>
          <w:rFonts w:ascii="Calibri" w:eastAsia="+mn-ea" w:hAnsi="Calibri" w:cs="+mn-cs"/>
          <w:color w:val="000000"/>
          <w:kern w:val="24"/>
          <w:sz w:val="28"/>
          <w:szCs w:val="28"/>
          <w:u w:val="single"/>
        </w:rPr>
        <w:t>S/THO has primary</w:t>
      </w:r>
      <w:r w:rsidR="00E33182" w:rsidRPr="00E33182">
        <w:rPr>
          <w:rFonts w:ascii="Calibri" w:eastAsia="+mn-ea" w:hAnsi="Calibri" w:cs="+mn-cs"/>
          <w:color w:val="000000"/>
          <w:kern w:val="24"/>
          <w:sz w:val="28"/>
          <w:szCs w:val="28"/>
          <w:u w:val="single"/>
        </w:rPr>
        <w:t xml:space="preserve"> </w:t>
      </w:r>
      <w:r w:rsidR="009556CE">
        <w:rPr>
          <w:rFonts w:ascii="Calibri" w:eastAsia="+mn-ea" w:hAnsi="Calibri" w:cs="+mn-cs"/>
          <w:color w:val="000000"/>
          <w:kern w:val="24"/>
          <w:sz w:val="28"/>
          <w:szCs w:val="28"/>
          <w:u w:val="single"/>
        </w:rPr>
        <w:t>authority</w:t>
      </w:r>
      <w:r w:rsidRPr="001A0E9D">
        <w:rPr>
          <w:rFonts w:ascii="Calibri" w:eastAsia="+mn-ea" w:hAnsi="Calibri" w:cs="+mn-cs"/>
          <w:color w:val="000000"/>
          <w:kern w:val="24"/>
          <w:sz w:val="28"/>
          <w:szCs w:val="28"/>
          <w:u w:val="single"/>
        </w:rPr>
        <w:t xml:space="preserve"> role</w:t>
      </w:r>
    </w:p>
    <w:p w14:paraId="4ABE5F5D" w14:textId="77777777" w:rsidR="001A0E9D" w:rsidRPr="001A0E9D" w:rsidRDefault="001A0E9D" w:rsidP="001A0E9D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1C26A280" w14:textId="3EB6159D" w:rsidR="00816FFB" w:rsidRPr="001A0E9D" w:rsidRDefault="00A3112C" w:rsidP="001A0E9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Increase </w:t>
      </w:r>
      <w:r w:rsidR="00117C85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support and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resources for </w:t>
      </w:r>
      <w:r w:rsidR="00816FFB" w:rsidRPr="001A0E9D">
        <w:rPr>
          <w:rFonts w:ascii="Calibri" w:eastAsia="+mn-ea" w:hAnsi="Calibri" w:cs="+mn-cs"/>
          <w:color w:val="000000"/>
          <w:kern w:val="24"/>
          <w:sz w:val="28"/>
          <w:szCs w:val="28"/>
        </w:rPr>
        <w:t>physical activity</w:t>
      </w:r>
      <w:r w:rsidR="000A7DC3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in community settings</w:t>
      </w:r>
      <w:r w:rsidR="00816FFB" w:rsidRPr="001A0E9D">
        <w:rPr>
          <w:rFonts w:ascii="Calibri" w:eastAsia="+mn-ea" w:hAnsi="Calibri" w:cs="+mn-cs"/>
          <w:color w:val="000000"/>
          <w:kern w:val="24"/>
          <w:sz w:val="28"/>
          <w:szCs w:val="28"/>
        </w:rPr>
        <w:tab/>
      </w:r>
    </w:p>
    <w:p w14:paraId="1226583A" w14:textId="77777777" w:rsidR="004E37F5" w:rsidRDefault="004E37F5" w:rsidP="007B2593">
      <w:pPr>
        <w:ind w:left="720"/>
        <w:rPr>
          <w:rFonts w:ascii="Calibri" w:eastAsia="+mn-ea" w:hAnsi="Calibri" w:cs="+mn-cs"/>
          <w:color w:val="000000"/>
          <w:kern w:val="24"/>
        </w:rPr>
      </w:pPr>
    </w:p>
    <w:p w14:paraId="1134D767" w14:textId="5515797E" w:rsidR="00816FFB" w:rsidRDefault="009B4131" w:rsidP="007B2593">
      <w:pPr>
        <w:ind w:left="720"/>
        <w:rPr>
          <w:rFonts w:ascii="Calibri" w:eastAsia="+mn-ea" w:hAnsi="Calibri" w:cs="+mn-cs"/>
          <w:color w:val="000000"/>
          <w:kern w:val="24"/>
        </w:rPr>
      </w:pPr>
      <w:r>
        <w:rPr>
          <w:rFonts w:ascii="Calibri" w:eastAsia="+mn-ea" w:hAnsi="Calibri" w:cs="+mn-cs"/>
          <w:color w:val="000000"/>
          <w:kern w:val="24"/>
        </w:rPr>
        <w:t xml:space="preserve">adoption and implementation of complete streets policy, changes to zoning policies or comprehensive or master plans, safe routes to schools and other destinations. </w:t>
      </w:r>
      <w:r w:rsidR="00500488" w:rsidRPr="004E37F5">
        <w:rPr>
          <w:rFonts w:ascii="Calibri" w:eastAsia="+mn-ea" w:hAnsi="Calibri" w:cs="+mn-cs"/>
          <w:color w:val="000000"/>
          <w:kern w:val="24"/>
        </w:rPr>
        <w:t>Promote or enable s</w:t>
      </w:r>
      <w:r w:rsidR="00816FFB" w:rsidRPr="004E37F5">
        <w:rPr>
          <w:rFonts w:ascii="Calibri" w:eastAsia="+mn-ea" w:hAnsi="Calibri" w:cs="+mn-cs"/>
          <w:color w:val="000000"/>
          <w:kern w:val="24"/>
        </w:rPr>
        <w:t xml:space="preserve">hared </w:t>
      </w:r>
      <w:r w:rsidR="00500488" w:rsidRPr="004E37F5">
        <w:rPr>
          <w:rFonts w:ascii="Calibri" w:eastAsia="+mn-ea" w:hAnsi="Calibri" w:cs="+mn-cs"/>
          <w:color w:val="000000"/>
          <w:kern w:val="24"/>
        </w:rPr>
        <w:t>u</w:t>
      </w:r>
      <w:r w:rsidR="00816FFB" w:rsidRPr="004E37F5">
        <w:rPr>
          <w:rFonts w:ascii="Calibri" w:eastAsia="+mn-ea" w:hAnsi="Calibri" w:cs="+mn-cs"/>
          <w:color w:val="000000"/>
          <w:kern w:val="24"/>
        </w:rPr>
        <w:t xml:space="preserve">se </w:t>
      </w:r>
      <w:r w:rsidR="000072D5" w:rsidRPr="004E37F5">
        <w:rPr>
          <w:rFonts w:ascii="Calibri" w:eastAsia="+mn-ea" w:hAnsi="Calibri" w:cs="+mn-cs"/>
          <w:color w:val="000000"/>
          <w:kern w:val="24"/>
        </w:rPr>
        <w:t>a</w:t>
      </w:r>
      <w:r w:rsidR="00816FFB" w:rsidRPr="004E37F5">
        <w:rPr>
          <w:rFonts w:ascii="Calibri" w:eastAsia="+mn-ea" w:hAnsi="Calibri" w:cs="+mn-cs"/>
          <w:color w:val="000000"/>
          <w:kern w:val="24"/>
        </w:rPr>
        <w:t>greements</w:t>
      </w:r>
      <w:r w:rsidR="00F66291">
        <w:rPr>
          <w:rFonts w:ascii="Calibri" w:eastAsia="+mn-ea" w:hAnsi="Calibri" w:cs="+mn-cs"/>
          <w:color w:val="000000"/>
          <w:kern w:val="24"/>
        </w:rPr>
        <w:t xml:space="preserve"> </w:t>
      </w:r>
      <w:r w:rsidR="00500488" w:rsidRPr="004E37F5">
        <w:rPr>
          <w:rFonts w:ascii="Calibri" w:eastAsia="+mn-ea" w:hAnsi="Calibri" w:cs="+mn-cs"/>
          <w:color w:val="000000"/>
          <w:kern w:val="24"/>
        </w:rPr>
        <w:t xml:space="preserve">in </w:t>
      </w:r>
      <w:r w:rsidR="00BF2008" w:rsidRPr="004E37F5">
        <w:rPr>
          <w:rFonts w:ascii="Calibri" w:eastAsia="+mn-ea" w:hAnsi="Calibri" w:cs="+mn-cs"/>
          <w:color w:val="000000"/>
          <w:kern w:val="24"/>
        </w:rPr>
        <w:t>state facilities</w:t>
      </w:r>
      <w:r>
        <w:rPr>
          <w:rFonts w:ascii="Calibri" w:eastAsia="+mn-ea" w:hAnsi="Calibri" w:cs="+mn-cs"/>
          <w:color w:val="000000"/>
          <w:kern w:val="24"/>
        </w:rPr>
        <w:t xml:space="preserve"> or across other public/private settings.</w:t>
      </w:r>
    </w:p>
    <w:p w14:paraId="75E79EB5" w14:textId="752F6B7D" w:rsidR="005E0CF6" w:rsidRDefault="005E0CF6" w:rsidP="00112C61">
      <w:pPr>
        <w:pStyle w:val="NoSpacing"/>
      </w:pPr>
      <w:r>
        <w:t>Tracking source:</w:t>
      </w:r>
    </w:p>
    <w:p w14:paraId="00772956" w14:textId="77777777" w:rsidR="005E0CF6" w:rsidRPr="0076682D" w:rsidRDefault="00641C9E" w:rsidP="005E0CF6">
      <w:pPr>
        <w:pStyle w:val="NoSpacing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hyperlink r:id="rId41" w:history="1">
        <w:r w:rsidR="005E0CF6" w:rsidRPr="00E31CDD">
          <w:rPr>
            <w:rStyle w:val="Hyperlink"/>
          </w:rPr>
          <w:t>https://www.tfah.org/wp-content/uploads/2018/09/TFAH-2018-ObesityReport-FINAL.pdf</w:t>
        </w:r>
      </w:hyperlink>
      <w:r w:rsidR="005E0CF6">
        <w:t xml:space="preserve"> </w:t>
      </w:r>
    </w:p>
    <w:p w14:paraId="33384829" w14:textId="77777777" w:rsidR="000D63E7" w:rsidRDefault="000D63E7" w:rsidP="007E30B9">
      <w:pPr>
        <w:spacing w:after="0" w:line="240" w:lineRule="auto"/>
        <w:rPr>
          <w:rFonts w:ascii="Calibri" w:eastAsia="+mn-ea" w:hAnsi="Calibri" w:cs="+mn-cs"/>
          <w:color w:val="000000"/>
          <w:kern w:val="24"/>
          <w:sz w:val="28"/>
          <w:szCs w:val="28"/>
          <w:u w:val="single"/>
        </w:rPr>
      </w:pPr>
    </w:p>
    <w:p w14:paraId="7D1C36DD" w14:textId="34C1A93A" w:rsidR="001A0E9D" w:rsidRPr="001A0E9D" w:rsidRDefault="001A0E9D" w:rsidP="001A0E9D">
      <w:pPr>
        <w:rPr>
          <w:rFonts w:eastAsia="Times New Roman" w:cstheme="minorHAnsi"/>
          <w:sz w:val="28"/>
          <w:szCs w:val="28"/>
          <w:u w:val="single"/>
        </w:rPr>
      </w:pPr>
      <w:r w:rsidRPr="001A0E9D">
        <w:rPr>
          <w:rFonts w:ascii="Calibri" w:eastAsia="+mn-ea" w:hAnsi="Calibri" w:cs="+mn-cs"/>
          <w:color w:val="000000"/>
          <w:kern w:val="24"/>
          <w:sz w:val="28"/>
          <w:szCs w:val="28"/>
          <w:u w:val="single"/>
        </w:rPr>
        <w:t>S/THO has</w:t>
      </w:r>
      <w:r>
        <w:rPr>
          <w:rFonts w:ascii="Calibri" w:eastAsia="+mn-ea" w:hAnsi="Calibri" w:cs="+mn-cs"/>
          <w:color w:val="000000"/>
          <w:kern w:val="24"/>
          <w:sz w:val="28"/>
          <w:szCs w:val="28"/>
          <w:u w:val="single"/>
        </w:rPr>
        <w:t xml:space="preserve"> significant </w:t>
      </w:r>
      <w:r w:rsidRPr="001A0E9D">
        <w:rPr>
          <w:rFonts w:ascii="Calibri" w:eastAsia="+mn-ea" w:hAnsi="Calibri" w:cs="+mn-cs"/>
          <w:color w:val="000000"/>
          <w:kern w:val="24"/>
          <w:sz w:val="28"/>
          <w:szCs w:val="28"/>
          <w:u w:val="single"/>
        </w:rPr>
        <w:t>influence</w:t>
      </w:r>
      <w:r w:rsidR="009556CE">
        <w:rPr>
          <w:rFonts w:ascii="Calibri" w:eastAsia="+mn-ea" w:hAnsi="Calibri" w:cs="+mn-cs"/>
          <w:color w:val="000000"/>
          <w:kern w:val="24"/>
          <w:sz w:val="28"/>
          <w:szCs w:val="28"/>
          <w:u w:val="single"/>
        </w:rPr>
        <w:t xml:space="preserve"> role</w:t>
      </w:r>
    </w:p>
    <w:p w14:paraId="226635EE" w14:textId="77777777" w:rsidR="005E465D" w:rsidRPr="005E465D" w:rsidRDefault="001A0E9D" w:rsidP="005E465D">
      <w:pPr>
        <w:numPr>
          <w:ilvl w:val="0"/>
          <w:numId w:val="32"/>
        </w:numPr>
        <w:shd w:val="clear" w:color="auto" w:fill="FFFFFF"/>
        <w:spacing w:before="180" w:after="180" w:line="240" w:lineRule="auto"/>
        <w:rPr>
          <w:rFonts w:ascii="Georgia" w:eastAsia="Times New Roman" w:hAnsi="Georgia" w:cs="Times New Roman"/>
          <w:color w:val="2B2B2B"/>
          <w:sz w:val="28"/>
          <w:szCs w:val="28"/>
        </w:rPr>
      </w:pPr>
      <w:r w:rsidRPr="00694876">
        <w:rPr>
          <w:rFonts w:ascii="Calibri" w:eastAsia="+mn-ea" w:hAnsi="Calibri" w:cs="+mn-cs"/>
          <w:color w:val="000000"/>
          <w:kern w:val="24"/>
          <w:sz w:val="28"/>
          <w:szCs w:val="28"/>
        </w:rPr>
        <w:t>Built environment policies to promote physical activity</w:t>
      </w:r>
      <w:r w:rsidR="00694876" w:rsidRPr="00694876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</w:t>
      </w:r>
    </w:p>
    <w:p w14:paraId="3A0B7AB0" w14:textId="337287B5" w:rsidR="00EA7DFB" w:rsidRDefault="00694876" w:rsidP="005E465D">
      <w:pPr>
        <w:shd w:val="clear" w:color="auto" w:fill="FFFFFF"/>
        <w:spacing w:before="180" w:after="180" w:line="240" w:lineRule="auto"/>
        <w:ind w:left="720"/>
        <w:rPr>
          <w:rFonts w:eastAsia="Times New Roman" w:cstheme="minorHAnsi"/>
          <w:color w:val="2B2B2B"/>
        </w:rPr>
      </w:pPr>
      <w:r w:rsidRPr="004E37F5">
        <w:rPr>
          <w:rFonts w:ascii="Calibri" w:eastAsia="+mn-ea" w:hAnsi="Calibri" w:cs="+mn-cs"/>
          <w:color w:val="000000"/>
          <w:kern w:val="24"/>
        </w:rPr>
        <w:t xml:space="preserve">sidewalk ordinances, protected bike lanes, improved crosswalks, </w:t>
      </w:r>
      <w:r w:rsidRPr="004E37F5">
        <w:rPr>
          <w:rFonts w:eastAsia="Times New Roman" w:cstheme="minorHAnsi"/>
          <w:color w:val="2B2B2B"/>
        </w:rPr>
        <w:t xml:space="preserve">Mixed land use environments to increase the diversity and proximity of local destinations and access </w:t>
      </w:r>
      <w:proofErr w:type="gramStart"/>
      <w:r w:rsidRPr="004E37F5">
        <w:rPr>
          <w:rFonts w:eastAsia="Times New Roman" w:cstheme="minorHAnsi"/>
          <w:color w:val="2B2B2B"/>
        </w:rPr>
        <w:t>to  parks</w:t>
      </w:r>
      <w:proofErr w:type="gramEnd"/>
      <w:r w:rsidRPr="004E37F5">
        <w:rPr>
          <w:rFonts w:eastAsia="Times New Roman" w:cstheme="minorHAnsi"/>
          <w:color w:val="2B2B2B"/>
        </w:rPr>
        <w:t>, and other recreational facilities</w:t>
      </w:r>
      <w:r w:rsidR="00260E6C">
        <w:rPr>
          <w:rFonts w:eastAsia="Times New Roman" w:cstheme="minorHAnsi"/>
          <w:color w:val="2B2B2B"/>
        </w:rPr>
        <w:t xml:space="preserve">.  </w:t>
      </w:r>
      <w:r w:rsidR="00EA7DFB">
        <w:t xml:space="preserve">See:  </w:t>
      </w:r>
      <w:hyperlink r:id="rId42" w:history="1">
        <w:r w:rsidR="00EA7DFB">
          <w:rPr>
            <w:rStyle w:val="Hyperlink"/>
          </w:rPr>
          <w:t>Implementing the Built Environment Recommendation to Increase Physical Activity</w:t>
        </w:r>
      </w:hyperlink>
    </w:p>
    <w:p w14:paraId="61B67BFE" w14:textId="74579C42" w:rsidR="001A0E9D" w:rsidRPr="005E465D" w:rsidRDefault="001A0E9D" w:rsidP="005E465D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+mn-ea" w:hAnsi="Calibri" w:cs="+mn-cs"/>
          <w:i/>
          <w:color w:val="000000"/>
          <w:kern w:val="24"/>
          <w:sz w:val="28"/>
          <w:szCs w:val="28"/>
        </w:rPr>
      </w:pPr>
      <w:r w:rsidRPr="005E465D">
        <w:rPr>
          <w:rFonts w:ascii="Calibri" w:eastAsia="+mn-ea" w:hAnsi="Calibri" w:cs="+mn-cs"/>
          <w:i/>
          <w:color w:val="000000"/>
          <w:kern w:val="24"/>
          <w:sz w:val="24"/>
          <w:szCs w:val="24"/>
        </w:rPr>
        <w:t>Primary authority:  State DOT, city and county governments, State Parks</w:t>
      </w:r>
    </w:p>
    <w:p w14:paraId="60128A08" w14:textId="43227E0D" w:rsidR="00E33182" w:rsidRDefault="00E33182" w:rsidP="00E33182">
      <w:pPr>
        <w:pStyle w:val="ListParagraph"/>
        <w:spacing w:after="0" w:line="240" w:lineRule="auto"/>
        <w:ind w:left="1080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14:paraId="573BC06E" w14:textId="77777777" w:rsidR="005234B6" w:rsidRPr="004E37F5" w:rsidRDefault="005234B6" w:rsidP="005234B6">
      <w:pPr>
        <w:shd w:val="clear" w:color="auto" w:fill="FFFFFF"/>
        <w:spacing w:before="180" w:after="180" w:line="240" w:lineRule="auto"/>
        <w:rPr>
          <w:rFonts w:ascii="Georgia" w:eastAsia="Times New Roman" w:hAnsi="Georgia" w:cs="Times New Roman"/>
          <w:color w:val="2B2B2B"/>
        </w:rPr>
      </w:pPr>
      <w:r w:rsidRPr="00260E6C">
        <w:rPr>
          <w:rFonts w:eastAsia="Times New Roman" w:cstheme="minorHAnsi"/>
          <w:color w:val="2B2B2B"/>
          <w:highlight w:val="yellow"/>
        </w:rPr>
        <w:t>Tracking Source</w:t>
      </w:r>
    </w:p>
    <w:p w14:paraId="0B5BAE56" w14:textId="77777777" w:rsidR="005234B6" w:rsidRDefault="005234B6" w:rsidP="00E33182">
      <w:pPr>
        <w:pStyle w:val="ListParagraph"/>
        <w:spacing w:after="0" w:line="240" w:lineRule="auto"/>
        <w:ind w:left="1080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14:paraId="30BFB822" w14:textId="6FCBA004" w:rsidR="001A0E9D" w:rsidRDefault="001A0E9D" w:rsidP="005C16D7">
      <w:pPr>
        <w:pStyle w:val="NoSpacing"/>
        <w:numPr>
          <w:ilvl w:val="0"/>
          <w:numId w:val="32"/>
        </w:numPr>
        <w:rPr>
          <w:sz w:val="28"/>
          <w:szCs w:val="28"/>
        </w:rPr>
      </w:pPr>
      <w:r w:rsidRPr="000136D0">
        <w:rPr>
          <w:sz w:val="28"/>
          <w:szCs w:val="28"/>
        </w:rPr>
        <w:t xml:space="preserve">Physical Education and </w:t>
      </w:r>
      <w:r w:rsidR="00260E6C">
        <w:rPr>
          <w:sz w:val="28"/>
          <w:szCs w:val="28"/>
        </w:rPr>
        <w:t xml:space="preserve">recess </w:t>
      </w:r>
      <w:r w:rsidRPr="000136D0">
        <w:rPr>
          <w:sz w:val="28"/>
          <w:szCs w:val="28"/>
        </w:rPr>
        <w:t xml:space="preserve">standards in schools </w:t>
      </w:r>
    </w:p>
    <w:p w14:paraId="28F4DA16" w14:textId="545F4B8B" w:rsidR="00675E7E" w:rsidRDefault="00675E7E" w:rsidP="00675E7E">
      <w:pPr>
        <w:pStyle w:val="NoSpacing"/>
        <w:rPr>
          <w:sz w:val="28"/>
          <w:szCs w:val="28"/>
        </w:rPr>
      </w:pPr>
    </w:p>
    <w:p w14:paraId="2D27780B" w14:textId="276A689D" w:rsidR="005E0CF6" w:rsidRDefault="005E0CF6" w:rsidP="00675E7E">
      <w:pPr>
        <w:pStyle w:val="NoSpacing"/>
        <w:ind w:firstLine="720"/>
      </w:pPr>
      <w:r>
        <w:t>Require at least 40 minutes of physical education, recess and general activity requirements</w:t>
      </w:r>
    </w:p>
    <w:p w14:paraId="66E1ED42" w14:textId="5634BEA1" w:rsidR="00675E7E" w:rsidRDefault="00675E7E" w:rsidP="00675E7E">
      <w:pPr>
        <w:pStyle w:val="NoSpacing"/>
        <w:ind w:firstLine="720"/>
        <w:rPr>
          <w:rStyle w:val="Hyperlink"/>
        </w:rPr>
      </w:pPr>
      <w:r>
        <w:t xml:space="preserve">See: </w:t>
      </w:r>
      <w:hyperlink r:id="rId43" w:history="1">
        <w:r w:rsidR="00F66291">
          <w:rPr>
            <w:rStyle w:val="Hyperlink"/>
          </w:rPr>
          <w:t>Comprehensive School Physical Activity Programs:  A Guide for Schools</w:t>
        </w:r>
      </w:hyperlink>
    </w:p>
    <w:p w14:paraId="75C558E2" w14:textId="2EEFC273" w:rsidR="005E0CF6" w:rsidRDefault="005E0CF6" w:rsidP="00675E7E">
      <w:pPr>
        <w:pStyle w:val="NoSpacing"/>
        <w:ind w:firstLine="720"/>
        <w:rPr>
          <w:rStyle w:val="Hyperlink"/>
        </w:rPr>
      </w:pPr>
    </w:p>
    <w:p w14:paraId="4607C9AB" w14:textId="2701AA73" w:rsidR="001A0E9D" w:rsidRPr="001B5D90" w:rsidRDefault="001A0E9D" w:rsidP="005E465D">
      <w:pPr>
        <w:pStyle w:val="NoSpacing"/>
        <w:numPr>
          <w:ilvl w:val="0"/>
          <w:numId w:val="31"/>
        </w:numPr>
        <w:rPr>
          <w:i/>
        </w:rPr>
      </w:pPr>
      <w:r w:rsidRPr="005E465D">
        <w:rPr>
          <w:i/>
          <w:sz w:val="24"/>
          <w:szCs w:val="24"/>
        </w:rPr>
        <w:t>Primary authority:  State Board of Ed.  State Education/public instruction Depts</w:t>
      </w:r>
    </w:p>
    <w:p w14:paraId="05F4B767" w14:textId="010C99F2" w:rsidR="001B5D90" w:rsidRDefault="001B5D90" w:rsidP="001B5D90">
      <w:pPr>
        <w:pStyle w:val="NoSpacing"/>
        <w:ind w:left="360"/>
        <w:rPr>
          <w:i/>
        </w:rPr>
      </w:pPr>
    </w:p>
    <w:p w14:paraId="059CBEB2" w14:textId="77777777" w:rsidR="005234B6" w:rsidRDefault="005234B6" w:rsidP="005234B6">
      <w:pPr>
        <w:spacing w:after="0" w:line="240" w:lineRule="auto"/>
      </w:pPr>
      <w:r>
        <w:t>Tracking source</w:t>
      </w:r>
    </w:p>
    <w:p w14:paraId="694C7858" w14:textId="77777777" w:rsidR="005234B6" w:rsidRPr="0076682D" w:rsidRDefault="00641C9E" w:rsidP="005234B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hyperlink r:id="rId44" w:history="1">
        <w:r w:rsidR="005234B6" w:rsidRPr="00E31CDD">
          <w:rPr>
            <w:rStyle w:val="Hyperlink"/>
          </w:rPr>
          <w:t>https://www.tfah.org/wp-content/uploads/2018/09/TFAH-2018-ObesityReport-FINAL.pdf</w:t>
        </w:r>
      </w:hyperlink>
      <w:r w:rsidR="005234B6">
        <w:t xml:space="preserve"> </w:t>
      </w:r>
    </w:p>
    <w:p w14:paraId="5B7A8066" w14:textId="77777777" w:rsidR="005234B6" w:rsidRPr="009524E6" w:rsidRDefault="005234B6" w:rsidP="001B5D90">
      <w:pPr>
        <w:pStyle w:val="NoSpacing"/>
        <w:ind w:left="360"/>
        <w:rPr>
          <w:i/>
        </w:rPr>
      </w:pPr>
    </w:p>
    <w:p w14:paraId="60F0D63D" w14:textId="495F5106" w:rsidR="009524E6" w:rsidRDefault="009524E6" w:rsidP="009524E6">
      <w:pPr>
        <w:pStyle w:val="NoSpacing"/>
        <w:rPr>
          <w:i/>
          <w:sz w:val="24"/>
          <w:szCs w:val="24"/>
        </w:rPr>
      </w:pPr>
    </w:p>
    <w:p w14:paraId="68B42F57" w14:textId="6389067A" w:rsidR="00453E0D" w:rsidRDefault="00453E0D" w:rsidP="009524E6">
      <w:pPr>
        <w:pStyle w:val="NoSpacing"/>
        <w:rPr>
          <w:i/>
          <w:sz w:val="24"/>
          <w:szCs w:val="24"/>
        </w:rPr>
      </w:pPr>
    </w:p>
    <w:p w14:paraId="1ACA696A" w14:textId="623ABAFB" w:rsidR="00453E0D" w:rsidRDefault="00453E0D" w:rsidP="009524E6">
      <w:pPr>
        <w:pStyle w:val="NoSpacing"/>
        <w:rPr>
          <w:i/>
          <w:sz w:val="24"/>
          <w:szCs w:val="24"/>
        </w:rPr>
      </w:pPr>
    </w:p>
    <w:p w14:paraId="02242739" w14:textId="400168BC" w:rsidR="00453E0D" w:rsidRDefault="00453E0D" w:rsidP="009524E6">
      <w:pPr>
        <w:pStyle w:val="NoSpacing"/>
        <w:rPr>
          <w:i/>
          <w:sz w:val="24"/>
          <w:szCs w:val="24"/>
        </w:rPr>
      </w:pPr>
    </w:p>
    <w:p w14:paraId="111BC287" w14:textId="77777777" w:rsidR="00453E0D" w:rsidRDefault="00453E0D" w:rsidP="009524E6">
      <w:pPr>
        <w:pStyle w:val="NoSpacing"/>
        <w:rPr>
          <w:i/>
          <w:sz w:val="24"/>
          <w:szCs w:val="24"/>
        </w:rPr>
      </w:pPr>
    </w:p>
    <w:p w14:paraId="329E9C39" w14:textId="4A6CB34B" w:rsidR="009524E6" w:rsidRDefault="009524E6" w:rsidP="009524E6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  <w:r w:rsidRPr="009524E6">
        <w:rPr>
          <w:rFonts w:ascii="Calibri" w:eastAsia="+mn-ea" w:hAnsi="Calibri" w:cs="+mn-cs"/>
          <w:color w:val="000000"/>
          <w:kern w:val="24"/>
          <w:sz w:val="28"/>
          <w:szCs w:val="28"/>
        </w:rPr>
        <w:lastRenderedPageBreak/>
        <w:t>Implement policies to</w:t>
      </w:r>
      <w:r w:rsidR="0018732B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increase physical activity and</w:t>
      </w:r>
      <w:r w:rsidRPr="009524E6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reduce screen time in </w:t>
      </w:r>
      <w:r w:rsidR="004D7CF2">
        <w:rPr>
          <w:rFonts w:ascii="Calibri" w:eastAsia="+mn-ea" w:hAnsi="Calibri" w:cs="+mn-cs"/>
          <w:color w:val="000000"/>
          <w:kern w:val="24"/>
          <w:sz w:val="28"/>
          <w:szCs w:val="28"/>
        </w:rPr>
        <w:t>Early Child Education (</w:t>
      </w:r>
      <w:r w:rsidR="0018732B">
        <w:rPr>
          <w:rFonts w:ascii="Calibri" w:eastAsia="+mn-ea" w:hAnsi="Calibri" w:cs="+mn-cs"/>
          <w:color w:val="000000"/>
          <w:kern w:val="24"/>
          <w:sz w:val="28"/>
          <w:szCs w:val="28"/>
        </w:rPr>
        <w:t>ECE</w:t>
      </w:r>
      <w:r w:rsidR="004D7CF2">
        <w:rPr>
          <w:rFonts w:ascii="Calibri" w:eastAsia="+mn-ea" w:hAnsi="Calibri" w:cs="+mn-cs"/>
          <w:color w:val="000000"/>
          <w:kern w:val="24"/>
          <w:sz w:val="28"/>
          <w:szCs w:val="28"/>
        </w:rPr>
        <w:t>)</w:t>
      </w:r>
      <w:r w:rsidR="0018732B" w:rsidRPr="009524E6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</w:t>
      </w:r>
      <w:r w:rsidRPr="009524E6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settings </w:t>
      </w:r>
    </w:p>
    <w:p w14:paraId="5D91D9D5" w14:textId="53317BAF" w:rsidR="001B5D90" w:rsidRPr="00183413" w:rsidRDefault="00E21D1C" w:rsidP="001B5D90">
      <w:pPr>
        <w:shd w:val="clear" w:color="auto" w:fill="FFFFFF"/>
        <w:spacing w:before="100" w:beforeAutospacing="1" w:after="225" w:line="240" w:lineRule="auto"/>
        <w:ind w:left="720"/>
        <w:rPr>
          <w:rFonts w:cstheme="minorHAnsi"/>
        </w:rPr>
      </w:pPr>
      <w:r>
        <w:t>Provide and promote physical activity and the remove potential barriers to physical activity participation</w:t>
      </w:r>
      <w:r w:rsidR="00183413">
        <w:t>.</w:t>
      </w:r>
      <w:r>
        <w:t xml:space="preserve">  </w:t>
      </w:r>
      <w:r w:rsidR="001B5D90" w:rsidRPr="00183413">
        <w:rPr>
          <w:rFonts w:cstheme="minorHAnsi"/>
        </w:rPr>
        <w:t xml:space="preserve">No screen media (television, cell phone, or digital </w:t>
      </w:r>
      <w:proofErr w:type="gramStart"/>
      <w:r w:rsidR="001B5D90" w:rsidRPr="00183413">
        <w:rPr>
          <w:rFonts w:cstheme="minorHAnsi"/>
        </w:rPr>
        <w:t>media)  for</w:t>
      </w:r>
      <w:proofErr w:type="gramEnd"/>
      <w:r w:rsidR="001B5D90" w:rsidRPr="00183413">
        <w:rPr>
          <w:rFonts w:cstheme="minorHAnsi"/>
        </w:rPr>
        <w:t xml:space="preserve"> children under the age of 2,  no more than 30 minutes per week for children age 2 and older</w:t>
      </w:r>
      <w:r w:rsidR="00260E6C" w:rsidRPr="00183413">
        <w:rPr>
          <w:rFonts w:cstheme="minorHAnsi"/>
        </w:rPr>
        <w:t>.</w:t>
      </w:r>
    </w:p>
    <w:p w14:paraId="55F89CD4" w14:textId="77777777" w:rsidR="005234B6" w:rsidRPr="001B5D90" w:rsidRDefault="005234B6" w:rsidP="005234B6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+mn-ea" w:hAnsi="Calibri" w:cs="+mn-cs"/>
          <w:i/>
          <w:color w:val="000000"/>
          <w:kern w:val="24"/>
          <w:sz w:val="24"/>
          <w:szCs w:val="24"/>
        </w:rPr>
      </w:pPr>
      <w:r w:rsidRPr="001B5D90">
        <w:rPr>
          <w:rFonts w:ascii="Calibri" w:eastAsia="+mn-ea" w:hAnsi="Calibri" w:cs="+mn-cs"/>
          <w:i/>
          <w:color w:val="000000"/>
          <w:kern w:val="24"/>
          <w:sz w:val="24"/>
          <w:szCs w:val="24"/>
        </w:rPr>
        <w:t xml:space="preserve">Primary authority: </w:t>
      </w:r>
      <w:r>
        <w:rPr>
          <w:rFonts w:ascii="Calibri" w:eastAsia="+mn-ea" w:hAnsi="Calibri" w:cs="+mn-cs"/>
          <w:i/>
          <w:color w:val="000000"/>
          <w:kern w:val="24"/>
          <w:sz w:val="24"/>
          <w:szCs w:val="24"/>
        </w:rPr>
        <w:t>State regulator of c</w:t>
      </w:r>
      <w:r w:rsidRPr="001B5D90">
        <w:rPr>
          <w:rFonts w:ascii="Calibri" w:eastAsia="+mn-ea" w:hAnsi="Calibri" w:cs="+mn-cs"/>
          <w:i/>
          <w:color w:val="000000"/>
          <w:kern w:val="24"/>
          <w:sz w:val="24"/>
          <w:szCs w:val="24"/>
        </w:rPr>
        <w:t>hildcare facilities</w:t>
      </w:r>
    </w:p>
    <w:p w14:paraId="15937B94" w14:textId="77777777" w:rsidR="005234B6" w:rsidRDefault="005234B6" w:rsidP="00112C61">
      <w:pPr>
        <w:spacing w:after="0" w:line="240" w:lineRule="auto"/>
      </w:pPr>
    </w:p>
    <w:p w14:paraId="7B01397E" w14:textId="7FEBD691" w:rsidR="00260E6C" w:rsidRDefault="00260E6C" w:rsidP="00112C61">
      <w:pPr>
        <w:spacing w:after="0" w:line="240" w:lineRule="auto"/>
      </w:pPr>
      <w:r>
        <w:t>Tracking source</w:t>
      </w:r>
    </w:p>
    <w:p w14:paraId="54F4DC2D" w14:textId="2DFEB585" w:rsidR="00260E6C" w:rsidRDefault="00641C9E" w:rsidP="00260E6C">
      <w:pPr>
        <w:spacing w:after="0" w:line="240" w:lineRule="auto"/>
        <w:ind w:left="720"/>
      </w:pPr>
      <w:hyperlink r:id="rId45" w:history="1">
        <w:r w:rsidR="00260E6C" w:rsidRPr="00E31CDD">
          <w:rPr>
            <w:rStyle w:val="Hyperlink"/>
          </w:rPr>
          <w:t>https://www.tfah.org/wp-content/uploads/2018/09/TFAH-2018-ObesityReport-FINAL.pdf</w:t>
        </w:r>
      </w:hyperlink>
      <w:r w:rsidR="00260E6C">
        <w:t xml:space="preserve"> </w:t>
      </w:r>
    </w:p>
    <w:p w14:paraId="07DA2D74" w14:textId="77777777" w:rsidR="00EC39C6" w:rsidRDefault="00641C9E" w:rsidP="00852676">
      <w:pPr>
        <w:pStyle w:val="NoSpacing"/>
        <w:ind w:left="720"/>
      </w:pPr>
      <w:hyperlink r:id="rId46" w:history="1">
        <w:r w:rsidR="00CC7693">
          <w:rPr>
            <w:rStyle w:val="Hyperlink"/>
          </w:rPr>
          <w:t>https://nrckids.org/files/ASHW.2017.Supplement_7.23.18.pdf</w:t>
        </w:r>
      </w:hyperlink>
      <w:r w:rsidR="00EC39C6">
        <w:t xml:space="preserve">  </w:t>
      </w:r>
    </w:p>
    <w:p w14:paraId="120495D6" w14:textId="5C6A0F74" w:rsidR="00260E6C" w:rsidRPr="001B5D90" w:rsidRDefault="00641C9E" w:rsidP="00852676">
      <w:pPr>
        <w:pStyle w:val="NoSpacing"/>
        <w:ind w:left="720"/>
        <w:rPr>
          <w:rFonts w:cstheme="minorHAnsi"/>
          <w:color w:val="595859"/>
        </w:rPr>
      </w:pPr>
      <w:hyperlink r:id="rId47" w:history="1">
        <w:r w:rsidR="00EC39C6">
          <w:rPr>
            <w:rStyle w:val="Hyperlink"/>
          </w:rPr>
          <w:t xml:space="preserve">Child Care Obesity Prevention Regulation Scores (COPR Scores)  </w:t>
        </w:r>
      </w:hyperlink>
    </w:p>
    <w:p w14:paraId="45593B35" w14:textId="77777777" w:rsidR="00816FFB" w:rsidRPr="001B5D90" w:rsidRDefault="00816FFB" w:rsidP="001B5D90">
      <w:pPr>
        <w:pStyle w:val="NoSpacing"/>
        <w:ind w:left="360"/>
        <w:rPr>
          <w:sz w:val="28"/>
          <w:szCs w:val="28"/>
        </w:rPr>
      </w:pPr>
    </w:p>
    <w:p w14:paraId="20AAA691" w14:textId="77777777" w:rsidR="005E465D" w:rsidRDefault="005E465D">
      <w:pPr>
        <w:rPr>
          <w:rFonts w:ascii="Calibri" w:eastAsia="+mn-ea" w:hAnsi="Calibri" w:cs="+mn-cs"/>
          <w:b/>
          <w:color w:val="000000"/>
          <w:kern w:val="24"/>
          <w:sz w:val="28"/>
          <w:szCs w:val="28"/>
        </w:rPr>
      </w:pPr>
      <w:r>
        <w:rPr>
          <w:rFonts w:ascii="Calibri" w:eastAsia="+mn-ea" w:hAnsi="Calibri" w:cs="+mn-cs"/>
          <w:b/>
          <w:color w:val="000000"/>
          <w:kern w:val="24"/>
          <w:sz w:val="28"/>
          <w:szCs w:val="28"/>
        </w:rPr>
        <w:br w:type="page"/>
      </w:r>
    </w:p>
    <w:p w14:paraId="61F6E3BF" w14:textId="35E155F0" w:rsidR="00816FFB" w:rsidRPr="00876499" w:rsidRDefault="00816FFB" w:rsidP="00816FFB">
      <w:pPr>
        <w:rPr>
          <w:rFonts w:ascii="Calibri" w:eastAsia="+mn-ea" w:hAnsi="Calibri" w:cs="+mn-cs"/>
          <w:b/>
          <w:color w:val="000000"/>
          <w:kern w:val="24"/>
          <w:sz w:val="40"/>
          <w:szCs w:val="40"/>
        </w:rPr>
      </w:pPr>
      <w:r w:rsidRPr="00876499">
        <w:rPr>
          <w:rFonts w:ascii="Calibri" w:eastAsia="+mn-ea" w:hAnsi="Calibri" w:cs="+mn-cs"/>
          <w:b/>
          <w:color w:val="000000"/>
          <w:kern w:val="24"/>
          <w:sz w:val="40"/>
          <w:szCs w:val="40"/>
        </w:rPr>
        <w:lastRenderedPageBreak/>
        <w:t>Chronic Disease Control</w:t>
      </w:r>
    </w:p>
    <w:p w14:paraId="31AEB5E6" w14:textId="1DAF51C1" w:rsidR="001A0E9D" w:rsidRPr="001A0E9D" w:rsidRDefault="001A0E9D" w:rsidP="001A0E9D">
      <w:pPr>
        <w:spacing w:after="0" w:line="240" w:lineRule="auto"/>
        <w:rPr>
          <w:rFonts w:ascii="Calibri" w:eastAsia="+mn-ea" w:hAnsi="Calibri" w:cs="+mn-cs"/>
          <w:color w:val="000000"/>
          <w:kern w:val="24"/>
          <w:sz w:val="28"/>
          <w:szCs w:val="28"/>
          <w:u w:val="single"/>
        </w:rPr>
      </w:pPr>
      <w:r w:rsidRPr="001A0E9D">
        <w:rPr>
          <w:rFonts w:ascii="Calibri" w:eastAsia="+mn-ea" w:hAnsi="Calibri" w:cs="+mn-cs"/>
          <w:color w:val="000000"/>
          <w:kern w:val="24"/>
          <w:sz w:val="28"/>
          <w:szCs w:val="28"/>
          <w:u w:val="single"/>
        </w:rPr>
        <w:t xml:space="preserve">S/THO has primary </w:t>
      </w:r>
      <w:r w:rsidR="009556CE">
        <w:rPr>
          <w:rFonts w:ascii="Calibri" w:eastAsia="+mn-ea" w:hAnsi="Calibri" w:cs="+mn-cs"/>
          <w:color w:val="000000"/>
          <w:kern w:val="24"/>
          <w:sz w:val="28"/>
          <w:szCs w:val="28"/>
          <w:u w:val="single"/>
        </w:rPr>
        <w:t>authority</w:t>
      </w:r>
      <w:r w:rsidR="00E33182">
        <w:rPr>
          <w:rFonts w:ascii="Calibri" w:eastAsia="+mn-ea" w:hAnsi="Calibri" w:cs="+mn-cs"/>
          <w:color w:val="000000"/>
          <w:kern w:val="24"/>
          <w:sz w:val="28"/>
          <w:szCs w:val="28"/>
          <w:u w:val="single"/>
        </w:rPr>
        <w:t xml:space="preserve"> </w:t>
      </w:r>
      <w:r w:rsidRPr="001A0E9D">
        <w:rPr>
          <w:rFonts w:ascii="Calibri" w:eastAsia="+mn-ea" w:hAnsi="Calibri" w:cs="+mn-cs"/>
          <w:color w:val="000000"/>
          <w:kern w:val="24"/>
          <w:sz w:val="28"/>
          <w:szCs w:val="28"/>
          <w:u w:val="single"/>
        </w:rPr>
        <w:t>role</w:t>
      </w:r>
    </w:p>
    <w:p w14:paraId="1684F8C5" w14:textId="77777777" w:rsidR="001A0E9D" w:rsidRPr="001A0E9D" w:rsidRDefault="001A0E9D" w:rsidP="001A0E9D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578BF29F" w14:textId="2FC624C8" w:rsidR="009C1E86" w:rsidRDefault="002D7CC0" w:rsidP="00E33182">
      <w:pPr>
        <w:pStyle w:val="NoSpacing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0D63E7" w:rsidRPr="009C1E86">
        <w:rPr>
          <w:sz w:val="28"/>
          <w:szCs w:val="28"/>
        </w:rPr>
        <w:t xml:space="preserve">olicies </w:t>
      </w:r>
      <w:r>
        <w:rPr>
          <w:sz w:val="28"/>
          <w:szCs w:val="28"/>
        </w:rPr>
        <w:t>t</w:t>
      </w:r>
      <w:r w:rsidR="009C1E86" w:rsidRPr="009C1E86">
        <w:rPr>
          <w:sz w:val="28"/>
          <w:szCs w:val="28"/>
        </w:rPr>
        <w:t xml:space="preserve">o establish </w:t>
      </w:r>
      <w:r w:rsidR="00BD6265">
        <w:rPr>
          <w:sz w:val="28"/>
          <w:szCs w:val="28"/>
        </w:rPr>
        <w:t xml:space="preserve">and strengthen the role of </w:t>
      </w:r>
      <w:r w:rsidR="000D63E7" w:rsidRPr="009C1E86">
        <w:rPr>
          <w:sz w:val="28"/>
          <w:szCs w:val="28"/>
        </w:rPr>
        <w:t>C</w:t>
      </w:r>
      <w:r w:rsidR="007E30B9">
        <w:rPr>
          <w:sz w:val="28"/>
          <w:szCs w:val="28"/>
        </w:rPr>
        <w:t xml:space="preserve">ommunity Health Workers </w:t>
      </w:r>
      <w:r w:rsidR="009C1E86" w:rsidRPr="009C1E86">
        <w:rPr>
          <w:sz w:val="28"/>
          <w:szCs w:val="28"/>
        </w:rPr>
        <w:t>in the public health workforce</w:t>
      </w:r>
    </w:p>
    <w:p w14:paraId="443F5189" w14:textId="77777777" w:rsidR="00E33182" w:rsidRDefault="00E33182" w:rsidP="00E33182">
      <w:pPr>
        <w:pStyle w:val="NoSpacing"/>
        <w:rPr>
          <w:sz w:val="28"/>
          <w:szCs w:val="28"/>
        </w:rPr>
      </w:pPr>
    </w:p>
    <w:p w14:paraId="7220C988" w14:textId="01D36F74" w:rsidR="00BA267E" w:rsidRPr="0059617E" w:rsidRDefault="007E30B9" w:rsidP="00E33182">
      <w:pPr>
        <w:pStyle w:val="NoSpacing"/>
        <w:ind w:left="720"/>
      </w:pPr>
      <w:r>
        <w:rPr>
          <w:sz w:val="24"/>
          <w:szCs w:val="24"/>
        </w:rPr>
        <w:t xml:space="preserve">Job </w:t>
      </w:r>
      <w:r w:rsidR="00816FFB" w:rsidRPr="009C1E86">
        <w:rPr>
          <w:sz w:val="24"/>
          <w:szCs w:val="24"/>
        </w:rPr>
        <w:t xml:space="preserve">categories, </w:t>
      </w:r>
      <w:r w:rsidR="00E1260B">
        <w:rPr>
          <w:sz w:val="24"/>
          <w:szCs w:val="24"/>
        </w:rPr>
        <w:t xml:space="preserve">training standards, </w:t>
      </w:r>
      <w:r>
        <w:rPr>
          <w:sz w:val="24"/>
          <w:szCs w:val="24"/>
        </w:rPr>
        <w:t xml:space="preserve">salary scales and supervision </w:t>
      </w:r>
      <w:r w:rsidR="00E1260B">
        <w:rPr>
          <w:sz w:val="24"/>
          <w:szCs w:val="24"/>
        </w:rPr>
        <w:t>requirements</w:t>
      </w:r>
      <w:r>
        <w:rPr>
          <w:sz w:val="24"/>
          <w:szCs w:val="24"/>
        </w:rPr>
        <w:t xml:space="preserve">; </w:t>
      </w:r>
      <w:r w:rsidR="00816FFB" w:rsidRPr="009C1E86">
        <w:rPr>
          <w:sz w:val="24"/>
          <w:szCs w:val="24"/>
        </w:rPr>
        <w:t>scope of practice regulations</w:t>
      </w:r>
      <w:r w:rsidR="0051766C">
        <w:rPr>
          <w:sz w:val="24"/>
          <w:szCs w:val="24"/>
        </w:rPr>
        <w:t xml:space="preserve">; </w:t>
      </w:r>
      <w:r w:rsidR="009449FE">
        <w:rPr>
          <w:sz w:val="24"/>
          <w:szCs w:val="24"/>
        </w:rPr>
        <w:t xml:space="preserve">core </w:t>
      </w:r>
      <w:r w:rsidR="00816FFB" w:rsidRPr="009C1E86">
        <w:rPr>
          <w:sz w:val="24"/>
          <w:szCs w:val="24"/>
        </w:rPr>
        <w:t>competency standards</w:t>
      </w:r>
      <w:r w:rsidR="0051766C">
        <w:rPr>
          <w:sz w:val="24"/>
          <w:szCs w:val="24"/>
        </w:rPr>
        <w:t xml:space="preserve"> and certification processes; and Medicaid payment of CHW services</w:t>
      </w:r>
    </w:p>
    <w:p w14:paraId="30F0E43C" w14:textId="77777777" w:rsidR="0059617E" w:rsidRDefault="0059617E" w:rsidP="001F2F32">
      <w:pPr>
        <w:pStyle w:val="NoSpacing"/>
        <w:rPr>
          <w:sz w:val="28"/>
          <w:szCs w:val="24"/>
        </w:rPr>
      </w:pPr>
    </w:p>
    <w:p w14:paraId="15AD8133" w14:textId="0829E725" w:rsidR="00876499" w:rsidRPr="00AF1825" w:rsidRDefault="005C7E75" w:rsidP="005C7E75">
      <w:pPr>
        <w:pStyle w:val="ListParagraph"/>
        <w:numPr>
          <w:ilvl w:val="0"/>
          <w:numId w:val="25"/>
        </w:numPr>
        <w:rPr>
          <w:rFonts w:ascii="Calibri" w:eastAsia="+mn-ea" w:hAnsi="Calibri" w:cs="+mn-cs"/>
          <w:color w:val="000000"/>
          <w:kern w:val="24"/>
          <w:sz w:val="28"/>
          <w:szCs w:val="28"/>
          <w:u w:val="single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Prohibit tanning bed use among Minors under the age of 18</w:t>
      </w:r>
    </w:p>
    <w:p w14:paraId="4A951CCE" w14:textId="2155F2C9" w:rsidR="00AF1825" w:rsidRDefault="00AF1825" w:rsidP="00AF1825">
      <w:pPr>
        <w:rPr>
          <w:rFonts w:ascii="Calibri" w:eastAsia="+mn-ea" w:hAnsi="Calibri" w:cs="+mn-cs"/>
          <w:color w:val="000000"/>
          <w:kern w:val="24"/>
        </w:rPr>
      </w:pPr>
      <w:r>
        <w:rPr>
          <w:rFonts w:ascii="Calibri" w:eastAsia="+mn-ea" w:hAnsi="Calibri" w:cs="+mn-cs"/>
          <w:color w:val="000000"/>
          <w:kern w:val="24"/>
        </w:rPr>
        <w:t>Tracking Source</w:t>
      </w:r>
    </w:p>
    <w:p w14:paraId="794FC46F" w14:textId="66563105" w:rsidR="00AF1825" w:rsidRPr="00AF1825" w:rsidRDefault="00641C9E" w:rsidP="00AF1825">
      <w:pPr>
        <w:rPr>
          <w:rFonts w:ascii="Calibri" w:eastAsia="+mn-ea" w:hAnsi="Calibri" w:cs="+mn-cs"/>
          <w:color w:val="000000"/>
          <w:kern w:val="24"/>
        </w:rPr>
      </w:pPr>
      <w:hyperlink r:id="rId48" w:history="1">
        <w:r w:rsidR="00AF1825">
          <w:rPr>
            <w:rStyle w:val="Hyperlink"/>
          </w:rPr>
          <w:t>https://www.aimatmelanoma.org/global-advocacy-and-engagement/melanoma-legislation/tanning-legislation-2019/</w:t>
        </w:r>
      </w:hyperlink>
    </w:p>
    <w:p w14:paraId="1CB48EEB" w14:textId="77777777" w:rsidR="005C7E75" w:rsidRPr="005C7E75" w:rsidRDefault="005C7E75" w:rsidP="005C7E75">
      <w:pPr>
        <w:rPr>
          <w:rFonts w:ascii="Calibri" w:eastAsia="+mn-ea" w:hAnsi="Calibri" w:cs="+mn-cs"/>
          <w:color w:val="000000"/>
          <w:kern w:val="24"/>
          <w:sz w:val="28"/>
          <w:szCs w:val="28"/>
          <w:u w:val="single"/>
        </w:rPr>
      </w:pPr>
    </w:p>
    <w:p w14:paraId="3E71B90B" w14:textId="021FB69E" w:rsidR="001A0E9D" w:rsidRPr="001A0E9D" w:rsidRDefault="001A0E9D" w:rsidP="001A0E9D">
      <w:pPr>
        <w:rPr>
          <w:rFonts w:eastAsia="Times New Roman" w:cstheme="minorHAnsi"/>
          <w:sz w:val="28"/>
          <w:szCs w:val="28"/>
          <w:u w:val="single"/>
        </w:rPr>
      </w:pPr>
      <w:r w:rsidRPr="001A0E9D">
        <w:rPr>
          <w:rFonts w:ascii="Calibri" w:eastAsia="+mn-ea" w:hAnsi="Calibri" w:cs="+mn-cs"/>
          <w:color w:val="000000"/>
          <w:kern w:val="24"/>
          <w:sz w:val="28"/>
          <w:szCs w:val="28"/>
          <w:u w:val="single"/>
        </w:rPr>
        <w:t>S/THO has</w:t>
      </w:r>
      <w:r>
        <w:rPr>
          <w:rFonts w:ascii="Calibri" w:eastAsia="+mn-ea" w:hAnsi="Calibri" w:cs="+mn-cs"/>
          <w:color w:val="000000"/>
          <w:kern w:val="24"/>
          <w:sz w:val="28"/>
          <w:szCs w:val="28"/>
          <w:u w:val="single"/>
        </w:rPr>
        <w:t xml:space="preserve"> significant </w:t>
      </w:r>
      <w:r w:rsidRPr="001A0E9D">
        <w:rPr>
          <w:rFonts w:ascii="Calibri" w:eastAsia="+mn-ea" w:hAnsi="Calibri" w:cs="+mn-cs"/>
          <w:color w:val="000000"/>
          <w:kern w:val="24"/>
          <w:sz w:val="28"/>
          <w:szCs w:val="28"/>
          <w:u w:val="single"/>
        </w:rPr>
        <w:t>influence</w:t>
      </w:r>
      <w:r w:rsidR="009556CE">
        <w:rPr>
          <w:rFonts w:ascii="Calibri" w:eastAsia="+mn-ea" w:hAnsi="Calibri" w:cs="+mn-cs"/>
          <w:color w:val="000000"/>
          <w:kern w:val="24"/>
          <w:sz w:val="28"/>
          <w:szCs w:val="28"/>
          <w:u w:val="single"/>
        </w:rPr>
        <w:t xml:space="preserve"> role</w:t>
      </w:r>
    </w:p>
    <w:p w14:paraId="4C30045E" w14:textId="77777777" w:rsidR="008D112E" w:rsidRDefault="00A24EE3" w:rsidP="00E33182">
      <w:pPr>
        <w:pStyle w:val="ListParagraph"/>
        <w:numPr>
          <w:ilvl w:val="0"/>
          <w:numId w:val="26"/>
        </w:numPr>
        <w:rPr>
          <w:rFonts w:ascii="Calibri" w:eastAsia="+mn-ea" w:hAnsi="Calibri" w:cs="+mn-cs"/>
          <w:color w:val="000000"/>
          <w:kern w:val="24"/>
          <w:sz w:val="28"/>
          <w:szCs w:val="28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Policies that i</w:t>
      </w:r>
      <w:r w:rsidR="00CD7EA0" w:rsidRPr="00CD7EA0">
        <w:rPr>
          <w:rFonts w:ascii="Calibri" w:eastAsia="+mn-ea" w:hAnsi="Calibri" w:cs="+mn-cs"/>
          <w:color w:val="000000"/>
          <w:kern w:val="24"/>
          <w:sz w:val="28"/>
          <w:szCs w:val="28"/>
        </w:rPr>
        <w:t>ncrease access to the Diabetes Prevention Program for people with or at risk for Diabetes</w:t>
      </w:r>
      <w:r w:rsidR="009C1CF7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</w:t>
      </w:r>
    </w:p>
    <w:p w14:paraId="5567CA07" w14:textId="1C7DFE90" w:rsidR="00387E26" w:rsidRPr="008D112E" w:rsidRDefault="00CC2D30" w:rsidP="008D112E">
      <w:pPr>
        <w:ind w:left="720"/>
        <w:rPr>
          <w:rFonts w:ascii="Calibri" w:eastAsia="+mn-ea" w:hAnsi="Calibri" w:cs="+mn-cs"/>
          <w:color w:val="000000"/>
          <w:kern w:val="24"/>
          <w:sz w:val="24"/>
          <w:szCs w:val="24"/>
        </w:rPr>
      </w:pPr>
      <w:r>
        <w:rPr>
          <w:rFonts w:ascii="Calibri" w:eastAsia="+mn-ea" w:hAnsi="Calibri" w:cs="+mn-cs"/>
          <w:color w:val="000000"/>
          <w:kern w:val="24"/>
          <w:sz w:val="24"/>
          <w:szCs w:val="24"/>
        </w:rPr>
        <w:t>R</w:t>
      </w:r>
      <w:r w:rsidR="003B2609" w:rsidRPr="008D112E">
        <w:rPr>
          <w:rFonts w:ascii="Calibri" w:eastAsia="+mn-ea" w:hAnsi="Calibri" w:cs="+mn-cs"/>
          <w:color w:val="000000"/>
          <w:kern w:val="24"/>
          <w:sz w:val="24"/>
          <w:szCs w:val="24"/>
        </w:rPr>
        <w:t xml:space="preserve">eimbursement for </w:t>
      </w:r>
      <w:r w:rsidR="008D112E" w:rsidRPr="008D112E">
        <w:rPr>
          <w:rFonts w:ascii="Calibri" w:eastAsia="+mn-ea" w:hAnsi="Calibri" w:cs="+mn-cs"/>
          <w:color w:val="000000"/>
          <w:kern w:val="24"/>
          <w:sz w:val="24"/>
          <w:szCs w:val="24"/>
        </w:rPr>
        <w:t>DPP</w:t>
      </w:r>
      <w:r w:rsidR="003B2609" w:rsidRPr="008D112E">
        <w:rPr>
          <w:rFonts w:ascii="Calibri" w:eastAsia="+mn-ea" w:hAnsi="Calibri" w:cs="+mn-cs"/>
          <w:color w:val="000000"/>
          <w:kern w:val="24"/>
          <w:sz w:val="24"/>
          <w:szCs w:val="24"/>
        </w:rPr>
        <w:t xml:space="preserve"> services in state Medicaid and other insurance programs</w:t>
      </w:r>
    </w:p>
    <w:p w14:paraId="36DE18E2" w14:textId="48314E92" w:rsidR="00387E26" w:rsidRPr="008D112E" w:rsidRDefault="00387E26" w:rsidP="008D112E">
      <w:pPr>
        <w:pStyle w:val="ListParagraph"/>
        <w:numPr>
          <w:ilvl w:val="0"/>
          <w:numId w:val="31"/>
        </w:numPr>
        <w:rPr>
          <w:rFonts w:ascii="Calibri" w:eastAsia="+mn-ea" w:hAnsi="Calibri" w:cs="+mn-cs"/>
          <w:i/>
          <w:color w:val="000000"/>
          <w:kern w:val="24"/>
          <w:sz w:val="24"/>
          <w:szCs w:val="24"/>
        </w:rPr>
      </w:pPr>
      <w:r w:rsidRPr="008D112E">
        <w:rPr>
          <w:rFonts w:ascii="Calibri" w:eastAsia="+mn-ea" w:hAnsi="Calibri" w:cs="+mn-cs"/>
          <w:i/>
          <w:color w:val="000000"/>
          <w:kern w:val="24"/>
          <w:sz w:val="24"/>
          <w:szCs w:val="24"/>
        </w:rPr>
        <w:t>Primary authority:  Health Insurance</w:t>
      </w:r>
      <w:r w:rsidR="000072D5" w:rsidRPr="008D112E">
        <w:rPr>
          <w:rFonts w:ascii="Calibri" w:eastAsia="+mn-ea" w:hAnsi="Calibri" w:cs="+mn-cs"/>
          <w:i/>
          <w:color w:val="000000"/>
          <w:kern w:val="24"/>
          <w:sz w:val="24"/>
          <w:szCs w:val="24"/>
        </w:rPr>
        <w:t>/Payors</w:t>
      </w:r>
      <w:r w:rsidRPr="008D112E">
        <w:rPr>
          <w:rFonts w:ascii="Calibri" w:eastAsia="+mn-ea" w:hAnsi="Calibri" w:cs="+mn-cs"/>
          <w:i/>
          <w:color w:val="000000"/>
          <w:kern w:val="24"/>
          <w:sz w:val="24"/>
          <w:szCs w:val="24"/>
        </w:rPr>
        <w:t>, Health care systems</w:t>
      </w:r>
    </w:p>
    <w:p w14:paraId="66726C2C" w14:textId="0D1BFA33" w:rsidR="00387E26" w:rsidRDefault="00387E26" w:rsidP="00387E26">
      <w:pPr>
        <w:pStyle w:val="ListParagraph"/>
        <w:ind w:left="1080" w:firstLine="360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14:paraId="055A2224" w14:textId="77777777" w:rsidR="008D112E" w:rsidRPr="00387E26" w:rsidRDefault="008D112E" w:rsidP="00387E26">
      <w:pPr>
        <w:pStyle w:val="ListParagraph"/>
        <w:ind w:left="1080" w:firstLine="360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14:paraId="25AE7894" w14:textId="38E320B3" w:rsidR="00816FFB" w:rsidRPr="00876499" w:rsidRDefault="00222E6F" w:rsidP="00E33182">
      <w:pPr>
        <w:pStyle w:val="ListParagraph"/>
        <w:numPr>
          <w:ilvl w:val="0"/>
          <w:numId w:val="26"/>
        </w:numPr>
        <w:rPr>
          <w:rFonts w:ascii="Calibri" w:eastAsia="+mn-ea" w:hAnsi="Calibri" w:cs="+mn-cs"/>
          <w:color w:val="000000"/>
          <w:kern w:val="24"/>
          <w:sz w:val="28"/>
          <w:szCs w:val="28"/>
        </w:rPr>
      </w:pPr>
      <w:r w:rsidRPr="00222E6F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Policies that </w:t>
      </w:r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improve </w:t>
      </w:r>
      <w:r w:rsidR="002D7CC0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prescription of and </w:t>
      </w:r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adherence to anti-hypertensive and lipid-lowering prescription medications</w:t>
      </w:r>
    </w:p>
    <w:p w14:paraId="6C764A37" w14:textId="6967D075" w:rsidR="00876499" w:rsidRPr="00876499" w:rsidRDefault="002D568F" w:rsidP="00876499">
      <w:pPr>
        <w:ind w:left="720"/>
        <w:rPr>
          <w:rFonts w:ascii="Calibri" w:eastAsia="+mn-ea" w:hAnsi="Calibri" w:cs="+mn-cs"/>
          <w:color w:val="000000"/>
          <w:kern w:val="24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Reduce/eliminate copays, increase pharmacy support, provide</w:t>
      </w:r>
      <w:r w:rsidR="00876499" w:rsidRPr="00876499">
        <w:rPr>
          <w:rFonts w:cstheme="minorHAnsi"/>
          <w:color w:val="000000"/>
          <w:sz w:val="24"/>
          <w:szCs w:val="24"/>
          <w:shd w:val="clear" w:color="auto" w:fill="FFFFFF"/>
        </w:rPr>
        <w:t xml:space="preserve"> clinical support services for self-measured blood pressure monitoring </w:t>
      </w:r>
      <w:r w:rsidR="00876499" w:rsidRPr="00876499">
        <w:rPr>
          <w:rFonts w:ascii="Calibri" w:eastAsia="+mn-ea" w:hAnsi="Calibri" w:cs="+mn-cs"/>
          <w:color w:val="000000"/>
          <w:kern w:val="24"/>
          <w:sz w:val="24"/>
          <w:szCs w:val="24"/>
        </w:rPr>
        <w:t>in state Medicaid and other insurance programs</w:t>
      </w:r>
    </w:p>
    <w:p w14:paraId="3B812D4A" w14:textId="5EEE4F0B" w:rsidR="00387E26" w:rsidRPr="008D112E" w:rsidRDefault="00387E26" w:rsidP="008D112E">
      <w:pPr>
        <w:pStyle w:val="ListParagraph"/>
        <w:numPr>
          <w:ilvl w:val="0"/>
          <w:numId w:val="31"/>
        </w:numPr>
        <w:rPr>
          <w:rFonts w:ascii="Calibri" w:eastAsia="+mn-ea" w:hAnsi="Calibri" w:cs="+mn-cs"/>
          <w:i/>
          <w:color w:val="000000"/>
          <w:kern w:val="24"/>
          <w:sz w:val="28"/>
          <w:szCs w:val="28"/>
        </w:rPr>
      </w:pPr>
      <w:r w:rsidRPr="008D112E">
        <w:rPr>
          <w:rFonts w:ascii="Calibri" w:eastAsia="+mn-ea" w:hAnsi="Calibri" w:cs="+mn-cs"/>
          <w:i/>
          <w:color w:val="000000"/>
          <w:kern w:val="24"/>
          <w:sz w:val="24"/>
          <w:szCs w:val="24"/>
        </w:rPr>
        <w:t>Primary authority:  Health Insurance</w:t>
      </w:r>
      <w:r w:rsidR="000072D5" w:rsidRPr="008D112E">
        <w:rPr>
          <w:rFonts w:ascii="Calibri" w:eastAsia="+mn-ea" w:hAnsi="Calibri" w:cs="+mn-cs"/>
          <w:i/>
          <w:color w:val="000000"/>
          <w:kern w:val="24"/>
          <w:sz w:val="24"/>
          <w:szCs w:val="24"/>
        </w:rPr>
        <w:t>/Payors</w:t>
      </w:r>
      <w:r w:rsidRPr="008D112E">
        <w:rPr>
          <w:rFonts w:ascii="Calibri" w:eastAsia="+mn-ea" w:hAnsi="Calibri" w:cs="+mn-cs"/>
          <w:i/>
          <w:color w:val="000000"/>
          <w:kern w:val="24"/>
          <w:sz w:val="24"/>
          <w:szCs w:val="24"/>
        </w:rPr>
        <w:t>, Health care systems</w:t>
      </w:r>
      <w:r w:rsidR="000072D5" w:rsidRPr="008D112E">
        <w:rPr>
          <w:rFonts w:ascii="Calibri" w:eastAsia="+mn-ea" w:hAnsi="Calibri" w:cs="+mn-cs"/>
          <w:i/>
          <w:color w:val="000000"/>
          <w:kern w:val="24"/>
          <w:sz w:val="24"/>
          <w:szCs w:val="24"/>
        </w:rPr>
        <w:t>, Health care providers</w:t>
      </w:r>
    </w:p>
    <w:p w14:paraId="6D38D769" w14:textId="154FE4DA" w:rsidR="00387E26" w:rsidRDefault="00387E26" w:rsidP="00387E26">
      <w:pPr>
        <w:pStyle w:val="ListParagraph"/>
        <w:ind w:left="360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14:paraId="2CA166A3" w14:textId="7102716F" w:rsidR="00876499" w:rsidRDefault="00876499" w:rsidP="00387E26">
      <w:pPr>
        <w:pStyle w:val="ListParagraph"/>
        <w:shd w:val="clear" w:color="auto" w:fill="FFFFFF"/>
        <w:ind w:left="360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14:paraId="05C6989A" w14:textId="2ED9075D" w:rsidR="00453E0D" w:rsidRDefault="00453E0D" w:rsidP="00387E26">
      <w:pPr>
        <w:pStyle w:val="ListParagraph"/>
        <w:shd w:val="clear" w:color="auto" w:fill="FFFFFF"/>
        <w:ind w:left="360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14:paraId="56FC5632" w14:textId="77777777" w:rsidR="00453E0D" w:rsidRPr="0047005A" w:rsidRDefault="00453E0D" w:rsidP="00387E26">
      <w:pPr>
        <w:pStyle w:val="ListParagraph"/>
        <w:shd w:val="clear" w:color="auto" w:fill="FFFFFF"/>
        <w:ind w:left="360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14:paraId="21F78B4F" w14:textId="77777777" w:rsidR="002D7CC0" w:rsidRDefault="002D7CC0" w:rsidP="002D7CC0">
      <w:pPr>
        <w:pStyle w:val="ListParagraph"/>
        <w:shd w:val="clear" w:color="auto" w:fill="FFFFFF"/>
        <w:ind w:left="360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14:paraId="16304585" w14:textId="16F3CC76" w:rsidR="002D7CC0" w:rsidRDefault="002D7CC0" w:rsidP="00E33182">
      <w:pPr>
        <w:pStyle w:val="ListParagraph"/>
        <w:numPr>
          <w:ilvl w:val="0"/>
          <w:numId w:val="26"/>
        </w:numPr>
        <w:shd w:val="clear" w:color="auto" w:fill="FFFFFF"/>
        <w:rPr>
          <w:rFonts w:ascii="Calibri" w:eastAsia="+mn-ea" w:hAnsi="Calibri" w:cs="+mn-cs"/>
          <w:color w:val="000000"/>
          <w:kern w:val="24"/>
          <w:sz w:val="28"/>
          <w:szCs w:val="28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Policies that support self-measured blood pressure Interventions</w:t>
      </w:r>
    </w:p>
    <w:p w14:paraId="5AE2FD67" w14:textId="5F4B7FE7" w:rsidR="002D7CC0" w:rsidRPr="002D7CC0" w:rsidRDefault="002D7CC0" w:rsidP="002D7CC0">
      <w:pPr>
        <w:autoSpaceDE w:val="0"/>
        <w:autoSpaceDN w:val="0"/>
        <w:adjustRightInd w:val="0"/>
        <w:spacing w:after="0" w:line="240" w:lineRule="auto"/>
        <w:ind w:left="720"/>
        <w:rPr>
          <w:rFonts w:ascii="CIDFont+F4" w:hAnsi="CIDFont+F4" w:cs="CIDFont+F4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 xml:space="preserve">Medicaid and other </w:t>
      </w:r>
      <w:r w:rsidRPr="002D7CC0">
        <w:rPr>
          <w:rFonts w:ascii="CIDFont+F4" w:hAnsi="CIDFont+F4" w:cs="CIDFont+F4"/>
          <w:sz w:val="24"/>
          <w:szCs w:val="24"/>
        </w:rPr>
        <w:t>insurance policies to reimburse for SMBP, including the equipment,</w:t>
      </w:r>
    </w:p>
    <w:p w14:paraId="13A095C3" w14:textId="6E769EE0" w:rsidR="002D7CC0" w:rsidRDefault="002D7CC0" w:rsidP="002D7CC0">
      <w:pPr>
        <w:shd w:val="clear" w:color="auto" w:fill="FFFFFF"/>
        <w:ind w:left="720"/>
        <w:rPr>
          <w:rFonts w:ascii="CIDFont+F4" w:hAnsi="CIDFont+F4" w:cs="CIDFont+F4"/>
          <w:sz w:val="24"/>
          <w:szCs w:val="24"/>
        </w:rPr>
      </w:pPr>
      <w:r w:rsidRPr="002D7CC0">
        <w:rPr>
          <w:rFonts w:ascii="CIDFont+F4" w:hAnsi="CIDFont+F4" w:cs="CIDFont+F4"/>
          <w:sz w:val="24"/>
          <w:szCs w:val="24"/>
        </w:rPr>
        <w:t>clinical support, and training needed</w:t>
      </w:r>
    </w:p>
    <w:p w14:paraId="333079E4" w14:textId="77777777" w:rsidR="002D7CC0" w:rsidRPr="008D112E" w:rsidRDefault="002D7CC0" w:rsidP="002D7CC0">
      <w:pPr>
        <w:pStyle w:val="ListParagraph"/>
        <w:numPr>
          <w:ilvl w:val="0"/>
          <w:numId w:val="31"/>
        </w:numPr>
        <w:rPr>
          <w:rFonts w:ascii="Calibri" w:eastAsia="+mn-ea" w:hAnsi="Calibri" w:cs="+mn-cs"/>
          <w:i/>
          <w:color w:val="000000"/>
          <w:kern w:val="24"/>
          <w:sz w:val="24"/>
          <w:szCs w:val="24"/>
        </w:rPr>
      </w:pPr>
      <w:r w:rsidRPr="008D112E">
        <w:rPr>
          <w:rFonts w:ascii="Calibri" w:eastAsia="+mn-ea" w:hAnsi="Calibri" w:cs="+mn-cs"/>
          <w:i/>
          <w:color w:val="000000"/>
          <w:kern w:val="24"/>
          <w:sz w:val="24"/>
          <w:szCs w:val="24"/>
        </w:rPr>
        <w:t>Primary authority:  Health Insurance/Payors, Health care systems, Health care providers</w:t>
      </w:r>
    </w:p>
    <w:p w14:paraId="57B9EF09" w14:textId="0B28B18F" w:rsidR="002D7CC0" w:rsidRPr="002D7CC0" w:rsidRDefault="002D7CC0" w:rsidP="002D7CC0">
      <w:pPr>
        <w:pStyle w:val="ListParagraph"/>
        <w:shd w:val="clear" w:color="auto" w:fill="FFFFFF"/>
        <w:ind w:left="360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14:paraId="1603146A" w14:textId="7C6A5448" w:rsidR="0047005A" w:rsidRPr="002D568F" w:rsidRDefault="005B7219" w:rsidP="00E33182">
      <w:pPr>
        <w:pStyle w:val="ListParagraph"/>
        <w:numPr>
          <w:ilvl w:val="0"/>
          <w:numId w:val="26"/>
        </w:numPr>
        <w:shd w:val="clear" w:color="auto" w:fill="FFFFFF"/>
        <w:rPr>
          <w:rFonts w:ascii="Calibri" w:eastAsia="+mn-ea" w:hAnsi="Calibri" w:cs="+mn-cs"/>
          <w:color w:val="000000"/>
          <w:kern w:val="24"/>
          <w:sz w:val="28"/>
          <w:szCs w:val="28"/>
        </w:rPr>
      </w:pPr>
      <w:r>
        <w:rPr>
          <w:sz w:val="28"/>
          <w:szCs w:val="28"/>
        </w:rPr>
        <w:t xml:space="preserve">Policies </w:t>
      </w:r>
      <w:r w:rsidR="0047005A" w:rsidRPr="005B7219">
        <w:rPr>
          <w:sz w:val="28"/>
          <w:szCs w:val="28"/>
        </w:rPr>
        <w:t xml:space="preserve">that incentivize the </w:t>
      </w:r>
      <w:r w:rsidR="00AE5315">
        <w:rPr>
          <w:sz w:val="28"/>
          <w:szCs w:val="28"/>
        </w:rPr>
        <w:t xml:space="preserve">early </w:t>
      </w:r>
      <w:r w:rsidR="0047005A" w:rsidRPr="005B7219">
        <w:rPr>
          <w:sz w:val="28"/>
          <w:szCs w:val="28"/>
        </w:rPr>
        <w:t xml:space="preserve">detection and diagnosis of </w:t>
      </w:r>
      <w:r>
        <w:rPr>
          <w:sz w:val="28"/>
          <w:szCs w:val="28"/>
        </w:rPr>
        <w:t>cognitive impairment and dementia</w:t>
      </w:r>
      <w:r w:rsidR="00694876">
        <w:rPr>
          <w:sz w:val="28"/>
          <w:szCs w:val="28"/>
        </w:rPr>
        <w:t xml:space="preserve"> in healthcare settings</w:t>
      </w:r>
      <w:r w:rsidR="0047005A">
        <w:t>.</w:t>
      </w:r>
    </w:p>
    <w:p w14:paraId="4D67370F" w14:textId="2904CACF" w:rsidR="004E37F5" w:rsidRPr="00FB3FC8" w:rsidRDefault="004E37F5" w:rsidP="00FB3FC8">
      <w:pPr>
        <w:pStyle w:val="CommentText"/>
        <w:ind w:left="720"/>
        <w:rPr>
          <w:rFonts w:ascii="Calibri" w:eastAsia="+mn-ea" w:hAnsi="Calibri" w:cs="+mn-cs"/>
          <w:i/>
          <w:color w:val="000000"/>
          <w:kern w:val="24"/>
          <w:sz w:val="24"/>
          <w:szCs w:val="24"/>
        </w:rPr>
      </w:pPr>
      <w:r w:rsidRPr="00FB3FC8">
        <w:rPr>
          <w:rFonts w:cstheme="minorHAnsi"/>
          <w:sz w:val="24"/>
          <w:szCs w:val="24"/>
        </w:rPr>
        <w:t>Quality improvement standards that support routine screening and testing and promote medication management of dementia</w:t>
      </w:r>
    </w:p>
    <w:p w14:paraId="4EACCD38" w14:textId="68F50381" w:rsidR="00387E26" w:rsidRPr="008D112E" w:rsidRDefault="00387E26" w:rsidP="008D112E">
      <w:pPr>
        <w:pStyle w:val="ListParagraph"/>
        <w:numPr>
          <w:ilvl w:val="0"/>
          <w:numId w:val="31"/>
        </w:numPr>
        <w:rPr>
          <w:rFonts w:ascii="Calibri" w:eastAsia="+mn-ea" w:hAnsi="Calibri" w:cs="+mn-cs"/>
          <w:i/>
          <w:color w:val="000000"/>
          <w:kern w:val="24"/>
          <w:sz w:val="24"/>
          <w:szCs w:val="24"/>
        </w:rPr>
      </w:pPr>
      <w:r w:rsidRPr="008D112E">
        <w:rPr>
          <w:rFonts w:ascii="Calibri" w:eastAsia="+mn-ea" w:hAnsi="Calibri" w:cs="+mn-cs"/>
          <w:i/>
          <w:color w:val="000000"/>
          <w:kern w:val="24"/>
          <w:sz w:val="24"/>
          <w:szCs w:val="24"/>
        </w:rPr>
        <w:t>Primary authority:  Health Insurance</w:t>
      </w:r>
      <w:r w:rsidR="000072D5" w:rsidRPr="008D112E">
        <w:rPr>
          <w:rFonts w:ascii="Calibri" w:eastAsia="+mn-ea" w:hAnsi="Calibri" w:cs="+mn-cs"/>
          <w:i/>
          <w:color w:val="000000"/>
          <w:kern w:val="24"/>
          <w:sz w:val="24"/>
          <w:szCs w:val="24"/>
        </w:rPr>
        <w:t>/Payors</w:t>
      </w:r>
      <w:r w:rsidRPr="008D112E">
        <w:rPr>
          <w:rFonts w:ascii="Calibri" w:eastAsia="+mn-ea" w:hAnsi="Calibri" w:cs="+mn-cs"/>
          <w:i/>
          <w:color w:val="000000"/>
          <w:kern w:val="24"/>
          <w:sz w:val="24"/>
          <w:szCs w:val="24"/>
        </w:rPr>
        <w:t>, Health care systems</w:t>
      </w:r>
      <w:r w:rsidR="000072D5" w:rsidRPr="008D112E">
        <w:rPr>
          <w:rFonts w:ascii="Calibri" w:eastAsia="+mn-ea" w:hAnsi="Calibri" w:cs="+mn-cs"/>
          <w:i/>
          <w:color w:val="000000"/>
          <w:kern w:val="24"/>
          <w:sz w:val="24"/>
          <w:szCs w:val="24"/>
        </w:rPr>
        <w:t>, Health care providers</w:t>
      </w:r>
    </w:p>
    <w:p w14:paraId="70CAADDF" w14:textId="2A7D3A7A" w:rsidR="001A0E9D" w:rsidRDefault="001A0E9D" w:rsidP="00FD11E0">
      <w:pPr>
        <w:pStyle w:val="ListParagraph"/>
        <w:ind w:left="360" w:firstLine="360"/>
        <w:rPr>
          <w:rFonts w:ascii="Calibri" w:eastAsia="+mn-ea" w:hAnsi="Calibri" w:cs="+mn-cs"/>
          <w:color w:val="000000"/>
          <w:kern w:val="24"/>
          <w:sz w:val="24"/>
          <w:szCs w:val="24"/>
        </w:rPr>
      </w:pPr>
    </w:p>
    <w:p w14:paraId="4B1143F1" w14:textId="77777777" w:rsidR="00876499" w:rsidRDefault="008764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61D99873" w14:textId="11342336" w:rsidR="00A24EE3" w:rsidRPr="00A24EE3" w:rsidRDefault="00A24EE3">
      <w:pPr>
        <w:rPr>
          <w:b/>
          <w:sz w:val="28"/>
          <w:szCs w:val="28"/>
          <w:u w:val="single"/>
        </w:rPr>
      </w:pPr>
      <w:r w:rsidRPr="00A24EE3">
        <w:rPr>
          <w:b/>
          <w:sz w:val="28"/>
          <w:szCs w:val="28"/>
          <w:u w:val="single"/>
        </w:rPr>
        <w:lastRenderedPageBreak/>
        <w:t>Sources</w:t>
      </w:r>
    </w:p>
    <w:p w14:paraId="73BA5E06" w14:textId="10B7386B" w:rsidR="00A24EE3" w:rsidRPr="009021BD" w:rsidRDefault="00A24EE3" w:rsidP="00974F23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9021BD">
        <w:rPr>
          <w:sz w:val="24"/>
          <w:szCs w:val="24"/>
        </w:rPr>
        <w:t>Guide to Community Preventive Services</w:t>
      </w:r>
    </w:p>
    <w:p w14:paraId="5FFC129F" w14:textId="3DF467A3" w:rsidR="00974F23" w:rsidRDefault="00974F23" w:rsidP="00974F23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9021BD">
        <w:rPr>
          <w:sz w:val="24"/>
          <w:szCs w:val="24"/>
        </w:rPr>
        <w:t>Guide to Clinical Preventive Services</w:t>
      </w:r>
    </w:p>
    <w:p w14:paraId="6438B2F3" w14:textId="2B2D7F6C" w:rsidR="009B5E1D" w:rsidRPr="009021BD" w:rsidRDefault="009B5E1D" w:rsidP="00974F23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Cochrane Collaborative evidence-based summaries</w:t>
      </w:r>
    </w:p>
    <w:p w14:paraId="4FB5FBBF" w14:textId="77777777" w:rsidR="00A24EE3" w:rsidRPr="009021BD" w:rsidRDefault="00A24EE3" w:rsidP="00974F23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9021BD">
        <w:rPr>
          <w:sz w:val="24"/>
          <w:szCs w:val="24"/>
        </w:rPr>
        <w:t>CDC 6-18 initiative</w:t>
      </w:r>
    </w:p>
    <w:p w14:paraId="1387BA10" w14:textId="77777777" w:rsidR="00A24EE3" w:rsidRPr="009021BD" w:rsidRDefault="00A24EE3" w:rsidP="00974F23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9021BD">
        <w:rPr>
          <w:sz w:val="24"/>
          <w:szCs w:val="24"/>
        </w:rPr>
        <w:t>CDC Hi-5 initiative</w:t>
      </w:r>
    </w:p>
    <w:p w14:paraId="58F9ABF6" w14:textId="4256995F" w:rsidR="00B43261" w:rsidRDefault="00B43261" w:rsidP="00974F23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9021BD">
        <w:rPr>
          <w:sz w:val="24"/>
          <w:szCs w:val="24"/>
        </w:rPr>
        <w:t>CDC winnable battles initiative</w:t>
      </w:r>
    </w:p>
    <w:p w14:paraId="0F469EEA" w14:textId="1A33E86E" w:rsidR="009B5E1D" w:rsidRPr="009021BD" w:rsidRDefault="009B5E1D" w:rsidP="00974F23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CDC Chronic Disease Indicators</w:t>
      </w:r>
    </w:p>
    <w:p w14:paraId="7D46E663" w14:textId="5B6AF673" w:rsidR="007B2593" w:rsidRPr="009021BD" w:rsidRDefault="007B2593" w:rsidP="00974F23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9021BD">
        <w:rPr>
          <w:sz w:val="24"/>
          <w:szCs w:val="24"/>
        </w:rPr>
        <w:t>WHO N</w:t>
      </w:r>
      <w:r w:rsidR="00974F23" w:rsidRPr="009021BD">
        <w:rPr>
          <w:sz w:val="24"/>
          <w:szCs w:val="24"/>
        </w:rPr>
        <w:t>on-</w:t>
      </w:r>
      <w:r w:rsidRPr="009021BD">
        <w:rPr>
          <w:sz w:val="24"/>
          <w:szCs w:val="24"/>
        </w:rPr>
        <w:t>C</w:t>
      </w:r>
      <w:r w:rsidR="00974F23" w:rsidRPr="009021BD">
        <w:rPr>
          <w:sz w:val="24"/>
          <w:szCs w:val="24"/>
        </w:rPr>
        <w:t xml:space="preserve">ommunicable </w:t>
      </w:r>
      <w:r w:rsidRPr="009021BD">
        <w:rPr>
          <w:sz w:val="24"/>
          <w:szCs w:val="24"/>
        </w:rPr>
        <w:t>D</w:t>
      </w:r>
      <w:r w:rsidR="00974F23" w:rsidRPr="009021BD">
        <w:rPr>
          <w:sz w:val="24"/>
          <w:szCs w:val="24"/>
        </w:rPr>
        <w:t>isease</w:t>
      </w:r>
      <w:r w:rsidRPr="009021BD">
        <w:rPr>
          <w:sz w:val="24"/>
          <w:szCs w:val="24"/>
        </w:rPr>
        <w:t xml:space="preserve"> recommendations (Best Buys)</w:t>
      </w:r>
    </w:p>
    <w:p w14:paraId="2BEA72C6" w14:textId="76A6D460" w:rsidR="00974F23" w:rsidRDefault="00974F23" w:rsidP="00974F23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9021BD">
        <w:rPr>
          <w:sz w:val="24"/>
          <w:szCs w:val="24"/>
        </w:rPr>
        <w:t>University of Wisconsin County Health Rankings standards</w:t>
      </w:r>
    </w:p>
    <w:p w14:paraId="792E4D30" w14:textId="409F7AC4" w:rsidR="009556CE" w:rsidRPr="009021BD" w:rsidRDefault="009556CE" w:rsidP="00974F23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Healthy People 2030 Core Objectives</w:t>
      </w:r>
    </w:p>
    <w:p w14:paraId="67BAD432" w14:textId="4795CACC" w:rsidR="00974F23" w:rsidRDefault="00974F23" w:rsidP="00974F23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9021BD">
        <w:rPr>
          <w:sz w:val="24"/>
          <w:szCs w:val="24"/>
        </w:rPr>
        <w:t>TFAH-Promoting Health and Cost Control in States (PHACCS)</w:t>
      </w:r>
    </w:p>
    <w:p w14:paraId="621E25AF" w14:textId="77777777" w:rsidR="004531BC" w:rsidRPr="004531BC" w:rsidRDefault="004531BC" w:rsidP="004531BC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4531BC">
        <w:rPr>
          <w:sz w:val="24"/>
          <w:szCs w:val="24"/>
        </w:rPr>
        <w:t xml:space="preserve">TFAH The State of Obesity Report </w:t>
      </w:r>
    </w:p>
    <w:p w14:paraId="240164FE" w14:textId="3022B131" w:rsidR="00A24EE3" w:rsidRPr="009021BD" w:rsidRDefault="00A24EE3" w:rsidP="00974F23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9021BD">
        <w:rPr>
          <w:sz w:val="24"/>
          <w:szCs w:val="24"/>
        </w:rPr>
        <w:t xml:space="preserve">American Lung Association </w:t>
      </w:r>
      <w:r w:rsidR="009B5E1D">
        <w:rPr>
          <w:sz w:val="24"/>
          <w:szCs w:val="24"/>
        </w:rPr>
        <w:t xml:space="preserve">tobacco control </w:t>
      </w:r>
      <w:r w:rsidRPr="009021BD">
        <w:rPr>
          <w:sz w:val="24"/>
          <w:szCs w:val="24"/>
        </w:rPr>
        <w:t>guidelines</w:t>
      </w:r>
    </w:p>
    <w:p w14:paraId="72013E2C" w14:textId="77777777" w:rsidR="00A24EE3" w:rsidRPr="009021BD" w:rsidRDefault="00A24EE3" w:rsidP="00974F23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9021BD">
        <w:rPr>
          <w:sz w:val="24"/>
          <w:szCs w:val="24"/>
        </w:rPr>
        <w:t>Harvard Choices Program</w:t>
      </w:r>
    </w:p>
    <w:p w14:paraId="34BB0E74" w14:textId="77777777" w:rsidR="00A83ACA" w:rsidRPr="009021BD" w:rsidRDefault="00A83ACA" w:rsidP="00974F23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9021BD">
        <w:rPr>
          <w:sz w:val="24"/>
          <w:szCs w:val="24"/>
        </w:rPr>
        <w:t>Healthy Brain Initiative Road Map</w:t>
      </w:r>
    </w:p>
    <w:p w14:paraId="07264459" w14:textId="1763DA73" w:rsidR="00A24EE3" w:rsidRDefault="003F0E5B" w:rsidP="00974F23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9021BD">
        <w:rPr>
          <w:sz w:val="24"/>
          <w:szCs w:val="24"/>
        </w:rPr>
        <w:t xml:space="preserve">CEO </w:t>
      </w:r>
      <w:r w:rsidR="00633113" w:rsidRPr="009021BD">
        <w:rPr>
          <w:sz w:val="24"/>
          <w:szCs w:val="24"/>
        </w:rPr>
        <w:t xml:space="preserve">Cancer </w:t>
      </w:r>
      <w:r w:rsidRPr="009021BD">
        <w:rPr>
          <w:sz w:val="24"/>
          <w:szCs w:val="24"/>
        </w:rPr>
        <w:t>Gold Standard</w:t>
      </w:r>
      <w:r w:rsidR="00633113" w:rsidRPr="009021BD">
        <w:rPr>
          <w:sz w:val="24"/>
          <w:szCs w:val="24"/>
        </w:rPr>
        <w:t xml:space="preserve"> for workplace wellness</w:t>
      </w:r>
      <w:r w:rsidRPr="009021BD">
        <w:rPr>
          <w:sz w:val="24"/>
          <w:szCs w:val="24"/>
        </w:rPr>
        <w:t xml:space="preserve"> </w:t>
      </w:r>
    </w:p>
    <w:p w14:paraId="6CC01DA7" w14:textId="289BA983" w:rsidR="00A76FAF" w:rsidRPr="009021BD" w:rsidRDefault="00A76FAF" w:rsidP="00CC2D30">
      <w:pPr>
        <w:pStyle w:val="ListParagraph"/>
        <w:ind w:left="360"/>
        <w:rPr>
          <w:sz w:val="24"/>
          <w:szCs w:val="24"/>
        </w:rPr>
      </w:pPr>
    </w:p>
    <w:sectPr w:rsidR="00A76FAF" w:rsidRPr="009021BD">
      <w:footerReference w:type="default" r:id="rId4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CB50C" w14:textId="77777777" w:rsidR="00641C9E" w:rsidRDefault="00641C9E" w:rsidP="00A75DE9">
      <w:pPr>
        <w:spacing w:after="0" w:line="240" w:lineRule="auto"/>
      </w:pPr>
      <w:r>
        <w:separator/>
      </w:r>
    </w:p>
  </w:endnote>
  <w:endnote w:type="continuationSeparator" w:id="0">
    <w:p w14:paraId="1E49CA62" w14:textId="77777777" w:rsidR="00641C9E" w:rsidRDefault="00641C9E" w:rsidP="00A7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85029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3C2D66" w14:textId="1F809D2D" w:rsidR="00E925A2" w:rsidRDefault="00E925A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A2FD1F" w14:textId="77777777" w:rsidR="00E925A2" w:rsidRDefault="00E92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E9B3E" w14:textId="77777777" w:rsidR="00641C9E" w:rsidRDefault="00641C9E" w:rsidP="00A75DE9">
      <w:pPr>
        <w:spacing w:after="0" w:line="240" w:lineRule="auto"/>
      </w:pPr>
      <w:r>
        <w:separator/>
      </w:r>
    </w:p>
  </w:footnote>
  <w:footnote w:type="continuationSeparator" w:id="0">
    <w:p w14:paraId="5425F797" w14:textId="77777777" w:rsidR="00641C9E" w:rsidRDefault="00641C9E" w:rsidP="00A75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12C5"/>
    <w:multiLevelType w:val="hybridMultilevel"/>
    <w:tmpl w:val="7C925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4D8F"/>
    <w:multiLevelType w:val="hybridMultilevel"/>
    <w:tmpl w:val="CC66E1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EF2790"/>
    <w:multiLevelType w:val="hybridMultilevel"/>
    <w:tmpl w:val="17A0C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7F6487"/>
    <w:multiLevelType w:val="hybridMultilevel"/>
    <w:tmpl w:val="F6EEB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4616BD"/>
    <w:multiLevelType w:val="hybridMultilevel"/>
    <w:tmpl w:val="2A0ED3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F07B45"/>
    <w:multiLevelType w:val="hybridMultilevel"/>
    <w:tmpl w:val="1CA426E6"/>
    <w:lvl w:ilvl="0" w:tplc="24983D82">
      <w:start w:val="1"/>
      <w:numFmt w:val="decimal"/>
      <w:lvlText w:val="%1.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72FCC"/>
    <w:multiLevelType w:val="hybridMultilevel"/>
    <w:tmpl w:val="4C7A6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10255F"/>
    <w:multiLevelType w:val="hybridMultilevel"/>
    <w:tmpl w:val="0AD608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0842D1"/>
    <w:multiLevelType w:val="hybridMultilevel"/>
    <w:tmpl w:val="67A0BB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E72FE8"/>
    <w:multiLevelType w:val="hybridMultilevel"/>
    <w:tmpl w:val="8C1EF1B2"/>
    <w:lvl w:ilvl="0" w:tplc="48FC4FD8">
      <w:start w:val="2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03F03"/>
    <w:multiLevelType w:val="hybridMultilevel"/>
    <w:tmpl w:val="474243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FB3D82"/>
    <w:multiLevelType w:val="hybridMultilevel"/>
    <w:tmpl w:val="604CAF7A"/>
    <w:lvl w:ilvl="0" w:tplc="CF58EDD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1A277E"/>
    <w:multiLevelType w:val="hybridMultilevel"/>
    <w:tmpl w:val="FDB472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5748EC"/>
    <w:multiLevelType w:val="hybridMultilevel"/>
    <w:tmpl w:val="24AE95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D518E7"/>
    <w:multiLevelType w:val="multilevel"/>
    <w:tmpl w:val="33C0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325062"/>
    <w:multiLevelType w:val="hybridMultilevel"/>
    <w:tmpl w:val="276EE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755A8"/>
    <w:multiLevelType w:val="hybridMultilevel"/>
    <w:tmpl w:val="A87418BC"/>
    <w:lvl w:ilvl="0" w:tplc="69B84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889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AE9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8D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CE7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B40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5EA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2CE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CED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C1939C4"/>
    <w:multiLevelType w:val="hybridMultilevel"/>
    <w:tmpl w:val="67A0BB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FC27AD"/>
    <w:multiLevelType w:val="hybridMultilevel"/>
    <w:tmpl w:val="BF768C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123AC"/>
    <w:multiLevelType w:val="hybridMultilevel"/>
    <w:tmpl w:val="8CF62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451EA0"/>
    <w:multiLevelType w:val="hybridMultilevel"/>
    <w:tmpl w:val="2F949D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015E2A"/>
    <w:multiLevelType w:val="hybridMultilevel"/>
    <w:tmpl w:val="3DE4A3DA"/>
    <w:lvl w:ilvl="0" w:tplc="A512415C">
      <w:start w:val="1"/>
      <w:numFmt w:val="decimal"/>
      <w:lvlText w:val="%1)"/>
      <w:lvlJc w:val="left"/>
      <w:pPr>
        <w:ind w:left="360" w:hanging="360"/>
      </w:pPr>
      <w:rPr>
        <w:rFonts w:ascii="Calibri" w:eastAsia="+mn-ea" w:hAnsi="Calibri" w:cs="+mn-c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304EF5"/>
    <w:multiLevelType w:val="hybridMultilevel"/>
    <w:tmpl w:val="8BEEB0F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661F88"/>
    <w:multiLevelType w:val="multilevel"/>
    <w:tmpl w:val="9EEC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2631E3"/>
    <w:multiLevelType w:val="hybridMultilevel"/>
    <w:tmpl w:val="11F41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9554F"/>
    <w:multiLevelType w:val="hybridMultilevel"/>
    <w:tmpl w:val="095A34D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DA305C"/>
    <w:multiLevelType w:val="hybridMultilevel"/>
    <w:tmpl w:val="6C8E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0364C"/>
    <w:multiLevelType w:val="hybridMultilevel"/>
    <w:tmpl w:val="9D70463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72651A"/>
    <w:multiLevelType w:val="hybridMultilevel"/>
    <w:tmpl w:val="C2B40826"/>
    <w:lvl w:ilvl="0" w:tplc="2B888708">
      <w:start w:val="1"/>
      <w:numFmt w:val="decimal"/>
      <w:lvlText w:val="%1.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57147"/>
    <w:multiLevelType w:val="hybridMultilevel"/>
    <w:tmpl w:val="FD52CC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A37394"/>
    <w:multiLevelType w:val="hybridMultilevel"/>
    <w:tmpl w:val="A13AD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8C401C"/>
    <w:multiLevelType w:val="hybridMultilevel"/>
    <w:tmpl w:val="6F6A9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3356A"/>
    <w:multiLevelType w:val="hybridMultilevel"/>
    <w:tmpl w:val="D27A2A2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396583"/>
    <w:multiLevelType w:val="hybridMultilevel"/>
    <w:tmpl w:val="5B3470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B92FD1"/>
    <w:multiLevelType w:val="hybridMultilevel"/>
    <w:tmpl w:val="39666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33"/>
  </w:num>
  <w:num w:numId="4">
    <w:abstractNumId w:val="26"/>
  </w:num>
  <w:num w:numId="5">
    <w:abstractNumId w:val="2"/>
  </w:num>
  <w:num w:numId="6">
    <w:abstractNumId w:val="15"/>
  </w:num>
  <w:num w:numId="7">
    <w:abstractNumId w:val="22"/>
  </w:num>
  <w:num w:numId="8">
    <w:abstractNumId w:val="32"/>
  </w:num>
  <w:num w:numId="9">
    <w:abstractNumId w:val="25"/>
  </w:num>
  <w:num w:numId="10">
    <w:abstractNumId w:val="27"/>
  </w:num>
  <w:num w:numId="11">
    <w:abstractNumId w:val="4"/>
  </w:num>
  <w:num w:numId="12">
    <w:abstractNumId w:val="28"/>
  </w:num>
  <w:num w:numId="13">
    <w:abstractNumId w:val="24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1"/>
  </w:num>
  <w:num w:numId="17">
    <w:abstractNumId w:val="12"/>
  </w:num>
  <w:num w:numId="18">
    <w:abstractNumId w:val="5"/>
  </w:num>
  <w:num w:numId="19">
    <w:abstractNumId w:val="31"/>
  </w:num>
  <w:num w:numId="20">
    <w:abstractNumId w:val="10"/>
  </w:num>
  <w:num w:numId="21">
    <w:abstractNumId w:val="17"/>
  </w:num>
  <w:num w:numId="22">
    <w:abstractNumId w:val="8"/>
  </w:num>
  <w:num w:numId="23">
    <w:abstractNumId w:val="0"/>
  </w:num>
  <w:num w:numId="24">
    <w:abstractNumId w:val="19"/>
  </w:num>
  <w:num w:numId="25">
    <w:abstractNumId w:val="20"/>
  </w:num>
  <w:num w:numId="26">
    <w:abstractNumId w:val="7"/>
  </w:num>
  <w:num w:numId="27">
    <w:abstractNumId w:val="30"/>
  </w:num>
  <w:num w:numId="28">
    <w:abstractNumId w:val="6"/>
  </w:num>
  <w:num w:numId="29">
    <w:abstractNumId w:val="23"/>
  </w:num>
  <w:num w:numId="30">
    <w:abstractNumId w:val="34"/>
  </w:num>
  <w:num w:numId="31">
    <w:abstractNumId w:val="3"/>
  </w:num>
  <w:num w:numId="32">
    <w:abstractNumId w:val="13"/>
  </w:num>
  <w:num w:numId="33">
    <w:abstractNumId w:val="14"/>
  </w:num>
  <w:num w:numId="34">
    <w:abstractNumId w:val="16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FFB"/>
    <w:rsid w:val="000072D5"/>
    <w:rsid w:val="000136D0"/>
    <w:rsid w:val="00027EDB"/>
    <w:rsid w:val="000761F3"/>
    <w:rsid w:val="00094D66"/>
    <w:rsid w:val="000A7DC3"/>
    <w:rsid w:val="000D63E7"/>
    <w:rsid w:val="000F2BFD"/>
    <w:rsid w:val="001077DE"/>
    <w:rsid w:val="00111D62"/>
    <w:rsid w:val="00112C61"/>
    <w:rsid w:val="00117C85"/>
    <w:rsid w:val="001219C6"/>
    <w:rsid w:val="001357D9"/>
    <w:rsid w:val="00135E21"/>
    <w:rsid w:val="00183413"/>
    <w:rsid w:val="0018732B"/>
    <w:rsid w:val="0019658E"/>
    <w:rsid w:val="0019721E"/>
    <w:rsid w:val="001A0E9D"/>
    <w:rsid w:val="001B5D90"/>
    <w:rsid w:val="001C4718"/>
    <w:rsid w:val="001D2692"/>
    <w:rsid w:val="001F2F32"/>
    <w:rsid w:val="00204E39"/>
    <w:rsid w:val="00221103"/>
    <w:rsid w:val="00222E6F"/>
    <w:rsid w:val="00223C31"/>
    <w:rsid w:val="0024583C"/>
    <w:rsid w:val="00260E6C"/>
    <w:rsid w:val="002610EF"/>
    <w:rsid w:val="00271DD7"/>
    <w:rsid w:val="00274338"/>
    <w:rsid w:val="00284DE6"/>
    <w:rsid w:val="002C11D7"/>
    <w:rsid w:val="002D568F"/>
    <w:rsid w:val="002D7CC0"/>
    <w:rsid w:val="002E33F3"/>
    <w:rsid w:val="002E5B32"/>
    <w:rsid w:val="00320CCD"/>
    <w:rsid w:val="00332326"/>
    <w:rsid w:val="00387E26"/>
    <w:rsid w:val="003A075C"/>
    <w:rsid w:val="003B2609"/>
    <w:rsid w:val="003B74A6"/>
    <w:rsid w:val="003C129C"/>
    <w:rsid w:val="003C7E1D"/>
    <w:rsid w:val="003F0E5B"/>
    <w:rsid w:val="003F46DB"/>
    <w:rsid w:val="00413BD5"/>
    <w:rsid w:val="00414725"/>
    <w:rsid w:val="00451863"/>
    <w:rsid w:val="00452F02"/>
    <w:rsid w:val="004531BC"/>
    <w:rsid w:val="00453E0D"/>
    <w:rsid w:val="0047005A"/>
    <w:rsid w:val="00484752"/>
    <w:rsid w:val="004A7E27"/>
    <w:rsid w:val="004D7CF2"/>
    <w:rsid w:val="004E37F5"/>
    <w:rsid w:val="00500488"/>
    <w:rsid w:val="0051766C"/>
    <w:rsid w:val="005234B6"/>
    <w:rsid w:val="00551409"/>
    <w:rsid w:val="00554BCF"/>
    <w:rsid w:val="00572A4C"/>
    <w:rsid w:val="00574A3F"/>
    <w:rsid w:val="00591C98"/>
    <w:rsid w:val="0059617E"/>
    <w:rsid w:val="005B3939"/>
    <w:rsid w:val="005B7219"/>
    <w:rsid w:val="005C16D7"/>
    <w:rsid w:val="005C7E75"/>
    <w:rsid w:val="005E0CF6"/>
    <w:rsid w:val="005E465D"/>
    <w:rsid w:val="00600F92"/>
    <w:rsid w:val="006161DC"/>
    <w:rsid w:val="00633113"/>
    <w:rsid w:val="00634CAE"/>
    <w:rsid w:val="00641C9E"/>
    <w:rsid w:val="00675E7E"/>
    <w:rsid w:val="00694876"/>
    <w:rsid w:val="006B26A4"/>
    <w:rsid w:val="006C03FA"/>
    <w:rsid w:val="006C7988"/>
    <w:rsid w:val="006D404C"/>
    <w:rsid w:val="006F0243"/>
    <w:rsid w:val="006F0D3F"/>
    <w:rsid w:val="007014D3"/>
    <w:rsid w:val="00705593"/>
    <w:rsid w:val="00750A06"/>
    <w:rsid w:val="00752464"/>
    <w:rsid w:val="00763E57"/>
    <w:rsid w:val="0076682D"/>
    <w:rsid w:val="007741AE"/>
    <w:rsid w:val="00784D5A"/>
    <w:rsid w:val="007B2593"/>
    <w:rsid w:val="007E12DC"/>
    <w:rsid w:val="007E30B9"/>
    <w:rsid w:val="007F0EA0"/>
    <w:rsid w:val="00803BEF"/>
    <w:rsid w:val="008048FE"/>
    <w:rsid w:val="00816FFB"/>
    <w:rsid w:val="00845D87"/>
    <w:rsid w:val="00852676"/>
    <w:rsid w:val="00876499"/>
    <w:rsid w:val="0088738A"/>
    <w:rsid w:val="008A2050"/>
    <w:rsid w:val="008B6F1B"/>
    <w:rsid w:val="008C0764"/>
    <w:rsid w:val="008D112E"/>
    <w:rsid w:val="008E5EF3"/>
    <w:rsid w:val="009021BD"/>
    <w:rsid w:val="00933816"/>
    <w:rsid w:val="00935338"/>
    <w:rsid w:val="009449FE"/>
    <w:rsid w:val="009457D2"/>
    <w:rsid w:val="009524E6"/>
    <w:rsid w:val="009539AF"/>
    <w:rsid w:val="009556CE"/>
    <w:rsid w:val="00960EA9"/>
    <w:rsid w:val="009714A1"/>
    <w:rsid w:val="00974F23"/>
    <w:rsid w:val="00983810"/>
    <w:rsid w:val="009A0B6E"/>
    <w:rsid w:val="009B3D26"/>
    <w:rsid w:val="009B4131"/>
    <w:rsid w:val="009B5E1D"/>
    <w:rsid w:val="009C1CF7"/>
    <w:rsid w:val="009C1E86"/>
    <w:rsid w:val="009C2F60"/>
    <w:rsid w:val="00A24EE3"/>
    <w:rsid w:val="00A3112C"/>
    <w:rsid w:val="00A41E35"/>
    <w:rsid w:val="00A42478"/>
    <w:rsid w:val="00A75DE9"/>
    <w:rsid w:val="00A76FAF"/>
    <w:rsid w:val="00A83ACA"/>
    <w:rsid w:val="00AB4464"/>
    <w:rsid w:val="00AE5315"/>
    <w:rsid w:val="00AF1825"/>
    <w:rsid w:val="00B43261"/>
    <w:rsid w:val="00B47296"/>
    <w:rsid w:val="00B81CAB"/>
    <w:rsid w:val="00B844F8"/>
    <w:rsid w:val="00BA267E"/>
    <w:rsid w:val="00BA4C5A"/>
    <w:rsid w:val="00BB657B"/>
    <w:rsid w:val="00BC45FF"/>
    <w:rsid w:val="00BD4CBD"/>
    <w:rsid w:val="00BD6265"/>
    <w:rsid w:val="00BE2207"/>
    <w:rsid w:val="00BF2008"/>
    <w:rsid w:val="00C0488F"/>
    <w:rsid w:val="00C27D9C"/>
    <w:rsid w:val="00C66BF1"/>
    <w:rsid w:val="00C8197E"/>
    <w:rsid w:val="00C878F4"/>
    <w:rsid w:val="00CA2AE2"/>
    <w:rsid w:val="00CB43DB"/>
    <w:rsid w:val="00CC0076"/>
    <w:rsid w:val="00CC2D30"/>
    <w:rsid w:val="00CC7693"/>
    <w:rsid w:val="00CD7EA0"/>
    <w:rsid w:val="00CE62DE"/>
    <w:rsid w:val="00D159AA"/>
    <w:rsid w:val="00D2325B"/>
    <w:rsid w:val="00D36FAD"/>
    <w:rsid w:val="00D75346"/>
    <w:rsid w:val="00E1260B"/>
    <w:rsid w:val="00E148A2"/>
    <w:rsid w:val="00E21D1C"/>
    <w:rsid w:val="00E30A4D"/>
    <w:rsid w:val="00E33182"/>
    <w:rsid w:val="00E44AB2"/>
    <w:rsid w:val="00E709B2"/>
    <w:rsid w:val="00E765DC"/>
    <w:rsid w:val="00E925A2"/>
    <w:rsid w:val="00EA1838"/>
    <w:rsid w:val="00EA73A3"/>
    <w:rsid w:val="00EA7DFB"/>
    <w:rsid w:val="00EC39C6"/>
    <w:rsid w:val="00EC5FE0"/>
    <w:rsid w:val="00ED7FBF"/>
    <w:rsid w:val="00EE6AB5"/>
    <w:rsid w:val="00EF754E"/>
    <w:rsid w:val="00F03BAC"/>
    <w:rsid w:val="00F265EB"/>
    <w:rsid w:val="00F6462E"/>
    <w:rsid w:val="00F66291"/>
    <w:rsid w:val="00F90CD3"/>
    <w:rsid w:val="00FB3FC8"/>
    <w:rsid w:val="00FC65EF"/>
    <w:rsid w:val="00FD11E0"/>
    <w:rsid w:val="00FF3ACF"/>
    <w:rsid w:val="00F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7BC13"/>
  <w15:chartTrackingRefBased/>
  <w15:docId w15:val="{96231F69-7B16-4389-B5B9-04C201F0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FFB"/>
  </w:style>
  <w:style w:type="paragraph" w:styleId="Heading1">
    <w:name w:val="heading 1"/>
    <w:basedOn w:val="Normal"/>
    <w:link w:val="Heading1Char"/>
    <w:uiPriority w:val="9"/>
    <w:qFormat/>
    <w:rsid w:val="00222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F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E27"/>
    <w:rPr>
      <w:color w:val="0000FF"/>
      <w:u w:val="single"/>
    </w:rPr>
  </w:style>
  <w:style w:type="paragraph" w:styleId="NoSpacing">
    <w:name w:val="No Spacing"/>
    <w:uiPriority w:val="1"/>
    <w:qFormat/>
    <w:rsid w:val="009C1E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22E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9A0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0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0B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B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B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5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DE9"/>
  </w:style>
  <w:style w:type="paragraph" w:styleId="Footer">
    <w:name w:val="footer"/>
    <w:basedOn w:val="Normal"/>
    <w:link w:val="FooterChar"/>
    <w:uiPriority w:val="99"/>
    <w:unhideWhenUsed/>
    <w:rsid w:val="00A75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DE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5E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5D9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5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ung.org/research/sotc/state-grades" TargetMode="External"/><Relationship Id="rId18" Type="http://schemas.openxmlformats.org/officeDocument/2006/relationships/hyperlink" Target="https://www.tobaccofreekids.org/assets/factsheets/0398.pdf" TargetMode="External"/><Relationship Id="rId26" Type="http://schemas.openxmlformats.org/officeDocument/2006/relationships/hyperlink" Target="http://www.healthyfoodamerica.org/compare_tax_policies" TargetMode="External"/><Relationship Id="rId39" Type="http://schemas.openxmlformats.org/officeDocument/2006/relationships/hyperlink" Target="https://schoolnutrition.org/uploadedFiles/Legislation_and_Policy/State_and_Local_Legislation_and_Regulations/SNA-2019-First-Quarter-State-Legislative-Report.pdf" TargetMode="External"/><Relationship Id="rId21" Type="http://schemas.openxmlformats.org/officeDocument/2006/relationships/hyperlink" Target="https://no-smoke.org/smokefree-threats/preemption/" TargetMode="External"/><Relationship Id="rId34" Type="http://schemas.openxmlformats.org/officeDocument/2006/relationships/hyperlink" Target="https://stateofchildhoodobesity.org/state-policy/policies/usdastandards/" TargetMode="External"/><Relationship Id="rId42" Type="http://schemas.openxmlformats.org/officeDocument/2006/relationships/hyperlink" Target="https://www.cdc.gov/physicalactivity/community-strategies/beactive/index.html" TargetMode="External"/><Relationship Id="rId47" Type="http://schemas.openxmlformats.org/officeDocument/2006/relationships/hyperlink" Target="https://nrckids.org/files/ASHW.2017_7.23.18.pdf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no-smoke.org/wp-content/uploads/pdf/ecigslaws.pdf" TargetMode="External"/><Relationship Id="rId29" Type="http://schemas.openxmlformats.org/officeDocument/2006/relationships/hyperlink" Target="https://stateofchildhoodobesity.org/state-policy/policies/breastfeeding/" TargetMode="External"/><Relationship Id="rId11" Type="http://schemas.openxmlformats.org/officeDocument/2006/relationships/hyperlink" Target="https://www.ncsl.org/research/fiscal-policy/electronic-cigarette-taxation.aspx" TargetMode="External"/><Relationship Id="rId24" Type="http://schemas.openxmlformats.org/officeDocument/2006/relationships/hyperlink" Target="https://www.cdc.gov/mmwr/volumes/69/wr/mm6906a2.htm" TargetMode="External"/><Relationship Id="rId32" Type="http://schemas.openxmlformats.org/officeDocument/2006/relationships/hyperlink" Target="https://nrckids.org/files/ASHW.2017_7.23.18.pdf" TargetMode="External"/><Relationship Id="rId37" Type="http://schemas.openxmlformats.org/officeDocument/2006/relationships/hyperlink" Target="https://schoolnutrition.org/AboutSchoolMeals/SchoolNutritionStandards/" TargetMode="External"/><Relationship Id="rId40" Type="http://schemas.openxmlformats.org/officeDocument/2006/relationships/hyperlink" Target="https://www.tfah.org/wp-content/uploads/2019/09/2019ObesityReportFINAL-1.pdf" TargetMode="External"/><Relationship Id="rId45" Type="http://schemas.openxmlformats.org/officeDocument/2006/relationships/hyperlink" Target="https://www.tfah.org/wp-content/uploads/2018/09/TFAH-2018-ObesityReport-FINAL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-smoke.org/wp-content/uploads/pdf/100smokefreecasinos.pdf" TargetMode="External"/><Relationship Id="rId23" Type="http://schemas.openxmlformats.org/officeDocument/2006/relationships/hyperlink" Target="https://www.lung.org/research/sotc/state-grades" TargetMode="External"/><Relationship Id="rId28" Type="http://schemas.openxmlformats.org/officeDocument/2006/relationships/hyperlink" Target="https://www.ncsl.org/research/health/breastfeeding-state-laws.aspx" TargetMode="External"/><Relationship Id="rId36" Type="http://schemas.openxmlformats.org/officeDocument/2006/relationships/hyperlink" Target="https://nrckids.org/files/ASHW.2017.Supplement_7.23.18.pdf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publichealthlawcenter.org/sites/default/files/States-with-Laws-Taxing-ECigarettes-March152020.pdf" TargetMode="External"/><Relationship Id="rId19" Type="http://schemas.openxmlformats.org/officeDocument/2006/relationships/hyperlink" Target="https://www.lung.org/our-initiatives/tobacco/reports-resources/sotc/state-grades/highlights.html" TargetMode="External"/><Relationship Id="rId31" Type="http://schemas.openxmlformats.org/officeDocument/2006/relationships/hyperlink" Target="https://cspinet.org/protecting-our-health/nutrition/healthier-public-places" TargetMode="External"/><Relationship Id="rId44" Type="http://schemas.openxmlformats.org/officeDocument/2006/relationships/hyperlink" Target="https://www.tfah.org/wp-content/uploads/2018/09/TFAH-2018-ObesityReport-F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baccofreekids.org/assets/factsheets/0097.pdf" TargetMode="External"/><Relationship Id="rId14" Type="http://schemas.openxmlformats.org/officeDocument/2006/relationships/hyperlink" Target="https://no-smoke.org/wp-content/uploads/pdf/WRBLawsMap.pdf" TargetMode="External"/><Relationship Id="rId22" Type="http://schemas.openxmlformats.org/officeDocument/2006/relationships/hyperlink" Target="https://www.lung.org/our-initiatives/tobacco/reports-resources/sotc/state-grades/highlights.html" TargetMode="External"/><Relationship Id="rId27" Type="http://schemas.openxmlformats.org/officeDocument/2006/relationships/hyperlink" Target="https://www.tfah.org/wp-content/uploads/2019/09/2019ObesityReportFINAL-1.pdf" TargetMode="External"/><Relationship Id="rId30" Type="http://schemas.openxmlformats.org/officeDocument/2006/relationships/hyperlink" Target="https://www.healthyfoodaccess.org/take-action-now-policy-efforts-impacts" TargetMode="External"/><Relationship Id="rId35" Type="http://schemas.openxmlformats.org/officeDocument/2006/relationships/hyperlink" Target="https://nrckids.org/files/ASHW.2017_7.23.18.pdf" TargetMode="External"/><Relationship Id="rId43" Type="http://schemas.openxmlformats.org/officeDocument/2006/relationships/hyperlink" Target="https://www.cdc.gov/healthyschools/physicalactivity/pdf/13_242620-A_CSPAP_SchoolPhysActivityPrograms_Final_508_12192013.pdf" TargetMode="External"/><Relationship Id="rId48" Type="http://schemas.openxmlformats.org/officeDocument/2006/relationships/hyperlink" Target="https://www.aimatmelanoma.org/global-advocacy-and-engagement/melanoma-legislation/tanning-legislation-2019/" TargetMode="External"/><Relationship Id="rId8" Type="http://schemas.openxmlformats.org/officeDocument/2006/relationships/hyperlink" Target="https://www.lung.org/research/sotc/state-grades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no-smoke.org/smokefree-lists-maps-october-2019-update/" TargetMode="External"/><Relationship Id="rId17" Type="http://schemas.openxmlformats.org/officeDocument/2006/relationships/hyperlink" Target="https://no-smoke.org/wp-content/uploads/pdf/flavored-tobacco-product-sales.pdf" TargetMode="External"/><Relationship Id="rId25" Type="http://schemas.openxmlformats.org/officeDocument/2006/relationships/hyperlink" Target="https://www.lung.org/our-initiatives/tobacco/reports-resources/sotc/state-grades/state-rankings/access-to-cessation-services.html" TargetMode="External"/><Relationship Id="rId33" Type="http://schemas.openxmlformats.org/officeDocument/2006/relationships/hyperlink" Target="https://nrckids.org/files/ASHW.2017_7.23.18.pdf" TargetMode="External"/><Relationship Id="rId38" Type="http://schemas.openxmlformats.org/officeDocument/2006/relationships/hyperlink" Target="https://schoolnutrition.org/uploadedFiles/Legislation_and_Policy/State_and_Local_Legislation_and_Regulations/SNA-2019-First-Quarter-State-Legislative-Report.pdf" TargetMode="External"/><Relationship Id="rId46" Type="http://schemas.openxmlformats.org/officeDocument/2006/relationships/hyperlink" Target="https://nrckids.org/files/ASHW.2017.Supplement_7.23.18.pdf" TargetMode="External"/><Relationship Id="rId20" Type="http://schemas.openxmlformats.org/officeDocument/2006/relationships/hyperlink" Target="https://nccd.cdc.gov/STATESystem/rdPage.aspx?rdReport=OSH_STATE.Highlights&amp;rdRequestForwarding=Form" TargetMode="External"/><Relationship Id="rId41" Type="http://schemas.openxmlformats.org/officeDocument/2006/relationships/hyperlink" Target="https://www.tfah.org/wp-content/uploads/2018/09/TFAH-2018-ObesityReport-FINAL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292AD-1340-46BB-9B01-92B2EE5C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Plescia</dc:creator>
  <cp:keywords/>
  <dc:description/>
  <cp:lastModifiedBy>Jonathan Wolfe</cp:lastModifiedBy>
  <cp:revision>2</cp:revision>
  <cp:lastPrinted>2019-09-19T20:27:00Z</cp:lastPrinted>
  <dcterms:created xsi:type="dcterms:W3CDTF">2020-06-15T02:59:00Z</dcterms:created>
  <dcterms:modified xsi:type="dcterms:W3CDTF">2020-06-15T02:59:00Z</dcterms:modified>
</cp:coreProperties>
</file>