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86" w:rsidRPr="00F37210" w:rsidRDefault="00207C10" w:rsidP="00C75986">
      <w:pPr>
        <w:adjustRightInd w:val="0"/>
        <w:snapToGrid w:val="0"/>
        <w:spacing w:line="24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Supplementary B. Quality assessment</w:t>
      </w:r>
    </w:p>
    <w:tbl>
      <w:tblPr>
        <w:tblStyle w:val="TableGrid"/>
        <w:tblpPr w:leftFromText="180" w:rightFromText="180" w:vertAnchor="text" w:horzAnchor="margin" w:tblpXSpec="center" w:tblpY="331"/>
        <w:tblW w:w="13058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1642"/>
        <w:gridCol w:w="2051"/>
        <w:gridCol w:w="1241"/>
        <w:gridCol w:w="1319"/>
        <w:gridCol w:w="1352"/>
        <w:gridCol w:w="1687"/>
      </w:tblGrid>
      <w:tr w:rsidR="008339FD" w:rsidRPr="007D0A52" w:rsidTr="00CE1E64">
        <w:tc>
          <w:tcPr>
            <w:tcW w:w="3766" w:type="dxa"/>
            <w:hideMark/>
          </w:tcPr>
          <w:p w:rsidR="008339FD" w:rsidRPr="007D0A52" w:rsidRDefault="008339FD" w:rsidP="00E0600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0A52">
              <w:rPr>
                <w:rFonts w:ascii="Times New Roman" w:hAnsi="Times New Roman" w:cs="Times New Roman"/>
                <w:sz w:val="20"/>
                <w:szCs w:val="20"/>
              </w:rPr>
              <w:t>Case-control study</w:t>
            </w:r>
          </w:p>
        </w:tc>
        <w:tc>
          <w:tcPr>
            <w:tcW w:w="0" w:type="auto"/>
            <w:hideMark/>
          </w:tcPr>
          <w:p w:rsidR="008339FD" w:rsidRPr="007D0A52" w:rsidRDefault="008339FD" w:rsidP="00E0600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0A52">
              <w:rPr>
                <w:rFonts w:ascii="Times New Roman" w:hAnsi="Times New Roman" w:cs="Times New Roman"/>
                <w:sz w:val="20"/>
                <w:szCs w:val="20"/>
              </w:rPr>
              <w:t>Is the case defined adequately?</w:t>
            </w:r>
          </w:p>
        </w:tc>
        <w:tc>
          <w:tcPr>
            <w:tcW w:w="0" w:type="auto"/>
            <w:hideMark/>
          </w:tcPr>
          <w:p w:rsidR="008339FD" w:rsidRPr="007D0A52" w:rsidRDefault="008339FD" w:rsidP="00E0600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0A52">
              <w:rPr>
                <w:rFonts w:ascii="Times New Roman" w:hAnsi="Times New Roman" w:cs="Times New Roman"/>
                <w:sz w:val="20"/>
                <w:szCs w:val="20"/>
              </w:rPr>
              <w:t>Representativeness of the cases</w:t>
            </w:r>
          </w:p>
        </w:tc>
        <w:tc>
          <w:tcPr>
            <w:tcW w:w="0" w:type="auto"/>
            <w:hideMark/>
          </w:tcPr>
          <w:p w:rsidR="008339FD" w:rsidRPr="007D0A52" w:rsidRDefault="008339FD" w:rsidP="00E0600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0A52">
              <w:rPr>
                <w:rFonts w:ascii="Times New Roman" w:hAnsi="Times New Roman" w:cs="Times New Roman"/>
                <w:sz w:val="20"/>
                <w:szCs w:val="20"/>
              </w:rPr>
              <w:t>Selection of controls</w:t>
            </w:r>
          </w:p>
        </w:tc>
        <w:tc>
          <w:tcPr>
            <w:tcW w:w="0" w:type="auto"/>
            <w:hideMark/>
          </w:tcPr>
          <w:p w:rsidR="008339FD" w:rsidRPr="007D0A52" w:rsidRDefault="008339FD" w:rsidP="00E0600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0A52">
              <w:rPr>
                <w:rFonts w:ascii="Times New Roman" w:hAnsi="Times New Roman" w:cs="Times New Roman"/>
                <w:sz w:val="20"/>
                <w:szCs w:val="20"/>
              </w:rPr>
              <w:t>Definition of controls</w:t>
            </w:r>
          </w:p>
        </w:tc>
        <w:tc>
          <w:tcPr>
            <w:tcW w:w="0" w:type="auto"/>
            <w:hideMark/>
          </w:tcPr>
          <w:p w:rsidR="008339FD" w:rsidRPr="007D0A52" w:rsidRDefault="008339FD" w:rsidP="00E0600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Statistical adjustment</w:t>
            </w:r>
          </w:p>
        </w:tc>
        <w:tc>
          <w:tcPr>
            <w:tcW w:w="0" w:type="auto"/>
            <w:hideMark/>
          </w:tcPr>
          <w:p w:rsidR="008339FD" w:rsidRPr="007D0A52" w:rsidRDefault="008339FD" w:rsidP="00E0600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0A52">
              <w:rPr>
                <w:rFonts w:ascii="Times New Roman" w:hAnsi="Times New Roman" w:cs="Times New Roman"/>
                <w:sz w:val="20"/>
                <w:szCs w:val="20"/>
              </w:rPr>
              <w:t>Ascertainment of exposure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Brondum et al. 1999</w:t>
            </w:r>
            <w:r w:rsidR="005732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[22]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Castro-Jimenez et al. 2011 [23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Chang et al. 2006 [24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Farioli et al. 2014 [25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Ji et al. 1997 [26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John et al. 1990 [6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Lee et al. 2008 [7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MacArthur et al. 2008 [27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Menegaux et al. 2007 [28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Metayer et al. 2013 [29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Milne et al. 2012 [30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Orsi et al. 2015</w:t>
            </w:r>
            <w:r w:rsidR="005732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[34]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Pang et al. 2003 [31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Rudant et al. 2008 [8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Shu et al. 1996 [9</w:t>
            </w:r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Sorahan et </w:t>
            </w:r>
            <w:r w:rsidR="0057329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al. 1995 [32</w:t>
            </w:r>
            <w:r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13" w:rsidRPr="007D0A52" w:rsidTr="00CE1E64">
        <w:tc>
          <w:tcPr>
            <w:tcW w:w="3766" w:type="dxa"/>
            <w:vAlign w:val="center"/>
          </w:tcPr>
          <w:p w:rsidR="00901E13" w:rsidRPr="00F37210" w:rsidRDefault="00573298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Sorahan et al. 2001 [33</w:t>
            </w:r>
            <w:bookmarkStart w:id="0" w:name="_GoBack"/>
            <w:bookmarkEnd w:id="0"/>
            <w:r w:rsidR="00901E13" w:rsidRPr="00F372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  <w:tc>
          <w:tcPr>
            <w:tcW w:w="0" w:type="auto"/>
          </w:tcPr>
          <w:p w:rsidR="00901E13" w:rsidRPr="007D0A52" w:rsidRDefault="00901E13" w:rsidP="00901E1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916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☆</w:t>
            </w:r>
          </w:p>
        </w:tc>
      </w:tr>
    </w:tbl>
    <w:p w:rsidR="001175A1" w:rsidRDefault="001175A1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92" w:rsidRPr="0005594B" w:rsidRDefault="00641292" w:rsidP="0005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916C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☆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indicated good quality</w:t>
      </w:r>
    </w:p>
    <w:sectPr w:rsidR="00641292" w:rsidRPr="0005594B" w:rsidSect="00C51E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7"/>
    <w:rsid w:val="00007393"/>
    <w:rsid w:val="0005594B"/>
    <w:rsid w:val="000A1B55"/>
    <w:rsid w:val="000A2433"/>
    <w:rsid w:val="000D7D6D"/>
    <w:rsid w:val="001175A1"/>
    <w:rsid w:val="0018340B"/>
    <w:rsid w:val="00207C10"/>
    <w:rsid w:val="00217106"/>
    <w:rsid w:val="00305D6B"/>
    <w:rsid w:val="003268C4"/>
    <w:rsid w:val="003611A1"/>
    <w:rsid w:val="00370C6E"/>
    <w:rsid w:val="004425FB"/>
    <w:rsid w:val="00461953"/>
    <w:rsid w:val="004B7D8D"/>
    <w:rsid w:val="004C1738"/>
    <w:rsid w:val="004D034C"/>
    <w:rsid w:val="004F1294"/>
    <w:rsid w:val="004F71C5"/>
    <w:rsid w:val="00540BF9"/>
    <w:rsid w:val="00573298"/>
    <w:rsid w:val="00641292"/>
    <w:rsid w:val="006E3A77"/>
    <w:rsid w:val="007026C6"/>
    <w:rsid w:val="007966B0"/>
    <w:rsid w:val="00820D5C"/>
    <w:rsid w:val="008339FD"/>
    <w:rsid w:val="008749B9"/>
    <w:rsid w:val="00877817"/>
    <w:rsid w:val="00901E13"/>
    <w:rsid w:val="009302D6"/>
    <w:rsid w:val="00930FCF"/>
    <w:rsid w:val="00A01BBC"/>
    <w:rsid w:val="00A6779B"/>
    <w:rsid w:val="00A735F5"/>
    <w:rsid w:val="00B377B4"/>
    <w:rsid w:val="00B61AEB"/>
    <w:rsid w:val="00BA191F"/>
    <w:rsid w:val="00BF3748"/>
    <w:rsid w:val="00C15455"/>
    <w:rsid w:val="00C17080"/>
    <w:rsid w:val="00C51EE3"/>
    <w:rsid w:val="00C556F1"/>
    <w:rsid w:val="00C75986"/>
    <w:rsid w:val="00CA7CAF"/>
    <w:rsid w:val="00CD0404"/>
    <w:rsid w:val="00CE1E64"/>
    <w:rsid w:val="00D33649"/>
    <w:rsid w:val="00D76985"/>
    <w:rsid w:val="00D916CF"/>
    <w:rsid w:val="00D91B65"/>
    <w:rsid w:val="00DF0BD5"/>
    <w:rsid w:val="00DF45AB"/>
    <w:rsid w:val="00E61601"/>
    <w:rsid w:val="00EA4C87"/>
    <w:rsid w:val="00EF1A18"/>
    <w:rsid w:val="00F37210"/>
    <w:rsid w:val="00F5715F"/>
    <w:rsid w:val="00FB412C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D04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D04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2016-05-06T03:22:00Z</dcterms:created>
  <dcterms:modified xsi:type="dcterms:W3CDTF">2016-05-21T23:49:00Z</dcterms:modified>
</cp:coreProperties>
</file>