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D4" w:rsidRPr="00FC04B3" w:rsidRDefault="00270B63" w:rsidP="00DA4194">
      <w:pPr>
        <w:rPr>
          <w:rFonts w:asciiTheme="minorHAnsi" w:hAnsiTheme="minorHAnsi"/>
          <w:sz w:val="18"/>
          <w:szCs w:val="18"/>
        </w:rPr>
      </w:pPr>
      <w:proofErr w:type="spellStart"/>
      <w:proofErr w:type="gramStart"/>
      <w:r>
        <w:rPr>
          <w:rFonts w:asciiTheme="minorHAnsi" w:hAnsiTheme="minorHAnsi"/>
          <w:sz w:val="18"/>
          <w:szCs w:val="18"/>
        </w:rPr>
        <w:t>Suplemental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Digdital</w:t>
      </w:r>
      <w:proofErr w:type="spellEnd"/>
      <w:r>
        <w:rPr>
          <w:rFonts w:asciiTheme="minorHAnsi" w:hAnsiTheme="minorHAnsi"/>
          <w:sz w:val="18"/>
          <w:szCs w:val="18"/>
        </w:rPr>
        <w:t xml:space="preserve"> Content </w:t>
      </w:r>
      <w:bookmarkStart w:id="0" w:name="_GoBack"/>
      <w:bookmarkEnd w:id="0"/>
      <w:r>
        <w:rPr>
          <w:rFonts w:asciiTheme="minorHAnsi" w:hAnsiTheme="minorHAnsi"/>
          <w:sz w:val="18"/>
          <w:szCs w:val="18"/>
        </w:rPr>
        <w:t>Table1.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="008112D4" w:rsidRPr="00FC04B3">
        <w:rPr>
          <w:rFonts w:asciiTheme="minorHAnsi" w:hAnsiTheme="minorHAnsi"/>
          <w:sz w:val="18"/>
          <w:szCs w:val="18"/>
        </w:rPr>
        <w:t>Drug Dosage and Schedules for ALL</w:t>
      </w:r>
      <w:r w:rsidR="001251A1">
        <w:rPr>
          <w:rFonts w:asciiTheme="minorHAnsi" w:hAnsiTheme="minorHAnsi"/>
          <w:sz w:val="18"/>
          <w:szCs w:val="18"/>
        </w:rPr>
        <w:t>941/</w:t>
      </w:r>
      <w:r w:rsidR="008112D4" w:rsidRPr="00FC04B3">
        <w:rPr>
          <w:rFonts w:asciiTheme="minorHAnsi" w:hAnsiTheme="minorHAnsi"/>
          <w:sz w:val="18"/>
          <w:szCs w:val="18"/>
        </w:rPr>
        <w:t>2000 Protocols</w:t>
      </w:r>
    </w:p>
    <w:tbl>
      <w:tblPr>
        <w:tblStyle w:val="TableGrid"/>
        <w:tblW w:w="0" w:type="auto"/>
        <w:tblLook w:val="04A0"/>
      </w:tblPr>
      <w:tblGrid>
        <w:gridCol w:w="2146"/>
        <w:gridCol w:w="1780"/>
        <w:gridCol w:w="1343"/>
        <w:gridCol w:w="1493"/>
        <w:gridCol w:w="1417"/>
      </w:tblGrid>
      <w:tr w:rsidR="008112D4" w:rsidRPr="00FC04B3" w:rsidTr="007469D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Regimen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Daily dose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Administration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Days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Induction phase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Ind-1 (VPLA)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2 mg/m2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1, 8, 15, 22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Prednisolone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60 mg/m3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1–28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2,000 U/m2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8–26 (3/w)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Doxorubicin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25 mg/m3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2302BD" w:rsidRPr="00FC04B3" w:rsidTr="007469DC">
        <w:trPr>
          <w:trHeight w:val="4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2BD" w:rsidRPr="00FC04B3" w:rsidRDefault="002302BD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Ind-2 (VPLA_) Same as in 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Int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-I except for 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Dox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(25 mg/mg2 Å~3 at days 1, 18, 15)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Ind-3 (VPLA’ +EC)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22, 29, 36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300 mg/m2</w:t>
            </w:r>
            <w:r w:rsidR="00750698" w:rsidRPr="00FC04B3">
              <w:rPr>
                <w:rFonts w:asciiTheme="minorHAnsi" w:hAnsiTheme="minorHAnsi"/>
                <w:sz w:val="18"/>
                <w:szCs w:val="18"/>
              </w:rPr>
              <w:t>×</w:t>
            </w:r>
            <w:r w:rsidR="00DA4194" w:rsidRPr="00FC04B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22, 29, 36</w:t>
            </w: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Intensification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8112D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112D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lnt-1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Pirarubicin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12D4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Prednisolone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6-Mercaptopurine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250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Cyclophosphamide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400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50 mg/m2×2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15–18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6-Mercaptopurine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125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15–19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500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IV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2,000 U/m2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30, 31</w:t>
            </w:r>
          </w:p>
        </w:tc>
      </w:tr>
      <w:tr w:rsidR="001251A1" w:rsidRPr="00FC04B3" w:rsidTr="007469DC">
        <w:trPr>
          <w:trHeight w:val="4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1A1" w:rsidRPr="00FC04B3" w:rsidRDefault="001251A1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Int-2 Same as in Int-1 except for LASP (6,000 U/m2, weekly for 12 weeks)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lnt-3 (Int-2+EC)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100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IV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43–45</w:t>
            </w:r>
          </w:p>
        </w:tc>
      </w:tr>
      <w:tr w:rsidR="0075069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75069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 g/m2×2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50698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43–47</w:t>
            </w:r>
          </w:p>
        </w:tc>
      </w:tr>
      <w:tr w:rsidR="00DA419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CNS prophylaxis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TIT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Hydorocortisone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50 mg/m2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FC04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419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Reinduction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DA4194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4194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 Rc-1 (VPLA’’)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4194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1, 8, 15, 22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Prednisolone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1–28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2,000 U/m2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1, 8, 15, 22, 29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Pirarubicin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25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8, 15, 22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Rc-2 (VPLA’’ +EC)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22, 29, 36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300 mg/m2×2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22, 29, 36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04B3">
              <w:rPr>
                <w:rFonts w:asciiTheme="minorHAnsi" w:hAnsiTheme="minorHAnsi"/>
                <w:sz w:val="18"/>
                <w:szCs w:val="18"/>
              </w:rPr>
              <w:t>Rc-3 (VPL+EC +M)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Etoposide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8, 22, 36</w:t>
            </w:r>
          </w:p>
        </w:tc>
      </w:tr>
      <w:tr w:rsidR="00FC04B3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FC04B3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300 mg/m2×2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C04B3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8, 22, 36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Mitoxantrone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50, 57, 64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Maintenance phase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04B3">
              <w:rPr>
                <w:rFonts w:asciiTheme="minorHAnsi" w:hAnsiTheme="minorHAnsi"/>
                <w:sz w:val="18"/>
                <w:szCs w:val="18"/>
              </w:rPr>
              <w:t>M-l (VPMA-CCM-ML)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Pirarubicin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Prednisolone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6-Morcaptopurine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250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Cyclophosphamide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400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Cytarabine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50 mg/m2×2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15–18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6-Mcrcaptopurine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125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15–19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225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50454E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50454E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2,000 U/m2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0454E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180DF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0DF8">
              <w:rPr>
                <w:rFonts w:asciiTheme="minorHAnsi" w:hAnsiTheme="minorHAnsi"/>
                <w:sz w:val="18"/>
                <w:szCs w:val="18"/>
              </w:rPr>
              <w:t>M-2 (VPM-ML)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Vincristine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180DF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Prednisolone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120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180DF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6-Mercaptopurine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250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1–5</w:t>
            </w:r>
          </w:p>
        </w:tc>
      </w:tr>
      <w:tr w:rsidR="00180DF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Methotrexate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225 mg/m2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180D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180DF8" w:rsidRPr="00FC04B3" w:rsidTr="007469DC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L-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Asparaginase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Pr="00FC04B3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>2,000 U/m2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80DF8" w:rsidRDefault="00180DF8" w:rsidP="00DA419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1251A1" w:rsidRPr="00FC04B3" w:rsidTr="007469DC">
        <w:trPr>
          <w:trHeight w:val="40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</w:tcPr>
          <w:p w:rsidR="001251A1" w:rsidRDefault="001251A1" w:rsidP="00DA4194">
            <w:pPr>
              <w:rPr>
                <w:rFonts w:asciiTheme="minorHAnsi" w:hAnsiTheme="minorHAnsi"/>
                <w:sz w:val="18"/>
                <w:szCs w:val="18"/>
              </w:rPr>
            </w:pPr>
            <w:r w:rsidRPr="00FC04B3">
              <w:rPr>
                <w:rFonts w:asciiTheme="minorHAnsi" w:hAnsiTheme="minorHAnsi"/>
                <w:sz w:val="18"/>
                <w:szCs w:val="18"/>
              </w:rPr>
              <w:t xml:space="preserve">M-3 (VPMA-ML) Same as in M-2 except for </w:t>
            </w:r>
            <w:proofErr w:type="spellStart"/>
            <w:r w:rsidRPr="00FC04B3">
              <w:rPr>
                <w:rFonts w:asciiTheme="minorHAnsi" w:hAnsiTheme="minorHAnsi"/>
                <w:sz w:val="18"/>
                <w:szCs w:val="18"/>
              </w:rPr>
              <w:t>pirarubicin</w:t>
            </w:r>
            <w:proofErr w:type="spellEnd"/>
            <w:r w:rsidRPr="00FC04B3">
              <w:rPr>
                <w:rFonts w:asciiTheme="minorHAnsi" w:hAnsiTheme="minorHAnsi"/>
                <w:sz w:val="18"/>
                <w:szCs w:val="18"/>
              </w:rPr>
              <w:t xml:space="preserve"> (20 mg/m2 at day 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1251A1" w:rsidRDefault="001251A1" w:rsidP="00125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A5BF4" w:rsidRDefault="008112D4" w:rsidP="00DA4194">
      <w:pPr>
        <w:rPr>
          <w:rFonts w:asciiTheme="minorHAnsi" w:hAnsiTheme="minorHAnsi"/>
          <w:sz w:val="18"/>
          <w:szCs w:val="18"/>
        </w:rPr>
      </w:pPr>
      <w:proofErr w:type="gramStart"/>
      <w:r w:rsidRPr="00FC04B3">
        <w:rPr>
          <w:rFonts w:asciiTheme="minorHAnsi" w:hAnsiTheme="minorHAnsi"/>
          <w:sz w:val="18"/>
          <w:szCs w:val="18"/>
        </w:rPr>
        <w:t xml:space="preserve">IV, intravenous; IT, </w:t>
      </w:r>
      <w:proofErr w:type="spellStart"/>
      <w:r w:rsidRPr="00FC04B3">
        <w:rPr>
          <w:rFonts w:asciiTheme="minorHAnsi" w:hAnsiTheme="minorHAnsi"/>
          <w:sz w:val="18"/>
          <w:szCs w:val="18"/>
        </w:rPr>
        <w:t>intrathecal</w:t>
      </w:r>
      <w:proofErr w:type="spellEnd"/>
      <w:r w:rsidRPr="00FC04B3">
        <w:rPr>
          <w:rFonts w:asciiTheme="minorHAnsi" w:hAnsiTheme="minorHAnsi"/>
          <w:sz w:val="18"/>
          <w:szCs w:val="18"/>
        </w:rPr>
        <w:t>.</w:t>
      </w:r>
      <w:proofErr w:type="gramEnd"/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Pr="00B40DAC" w:rsidRDefault="00824F6A" w:rsidP="00824F6A">
      <w:pPr>
        <w:spacing w:line="480" w:lineRule="auto"/>
        <w:rPr>
          <w:color w:val="000000" w:themeColor="text1"/>
          <w:sz w:val="22"/>
          <w:szCs w:val="22"/>
        </w:rPr>
      </w:pPr>
      <w:proofErr w:type="gramStart"/>
      <w:r w:rsidRPr="00B40DAC">
        <w:rPr>
          <w:color w:val="000000" w:themeColor="text1"/>
          <w:sz w:val="22"/>
          <w:szCs w:val="22"/>
        </w:rPr>
        <w:t>Supplemental Digital Content 1 (Table 1.)</w:t>
      </w:r>
      <w:proofErr w:type="gramEnd"/>
    </w:p>
    <w:p w:rsidR="00824F6A" w:rsidRDefault="00824F6A" w:rsidP="00824F6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122785">
        <w:rPr>
          <w:sz w:val="22"/>
          <w:szCs w:val="22"/>
        </w:rPr>
        <w:t>reatment</w:t>
      </w:r>
      <w:r>
        <w:rPr>
          <w:sz w:val="22"/>
          <w:szCs w:val="22"/>
        </w:rPr>
        <w:t xml:space="preserve"> of ALL941/2000</w:t>
      </w:r>
      <w:r w:rsidRPr="00122785">
        <w:rPr>
          <w:sz w:val="22"/>
          <w:szCs w:val="22"/>
        </w:rPr>
        <w:t xml:space="preserve"> </w:t>
      </w:r>
      <w:r>
        <w:rPr>
          <w:sz w:val="22"/>
          <w:szCs w:val="22"/>
        </w:rPr>
        <w:t>comprised</w:t>
      </w:r>
      <w:r w:rsidRPr="00122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four phases: </w:t>
      </w:r>
      <w:r w:rsidRPr="00122785">
        <w:rPr>
          <w:sz w:val="22"/>
          <w:szCs w:val="22"/>
        </w:rPr>
        <w:t>induction</w:t>
      </w:r>
      <w:r>
        <w:rPr>
          <w:sz w:val="22"/>
          <w:szCs w:val="22"/>
        </w:rPr>
        <w:t xml:space="preserve">, </w:t>
      </w:r>
      <w:r w:rsidRPr="00122785">
        <w:rPr>
          <w:sz w:val="22"/>
          <w:szCs w:val="22"/>
        </w:rPr>
        <w:t>intensification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reinduction</w:t>
      </w:r>
      <w:proofErr w:type="spellEnd"/>
      <w:r>
        <w:rPr>
          <w:sz w:val="22"/>
          <w:szCs w:val="22"/>
        </w:rPr>
        <w:t xml:space="preserve">, </w:t>
      </w:r>
      <w:r w:rsidRPr="00122785">
        <w:rPr>
          <w:sz w:val="22"/>
          <w:szCs w:val="22"/>
        </w:rPr>
        <w:t xml:space="preserve">and maintenance. Induction therapy </w:t>
      </w:r>
      <w:r>
        <w:rPr>
          <w:sz w:val="22"/>
          <w:szCs w:val="22"/>
        </w:rPr>
        <w:t>in</w:t>
      </w:r>
      <w:r w:rsidRPr="00122785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SR and HR groups </w:t>
      </w:r>
      <w:r>
        <w:rPr>
          <w:sz w:val="22"/>
          <w:szCs w:val="22"/>
        </w:rPr>
        <w:t xml:space="preserve">included </w:t>
      </w:r>
      <w:proofErr w:type="spellStart"/>
      <w:r>
        <w:rPr>
          <w:sz w:val="22"/>
          <w:szCs w:val="22"/>
        </w:rPr>
        <w:t>vincristine</w:t>
      </w:r>
      <w:proofErr w:type="spellEnd"/>
      <w:r>
        <w:rPr>
          <w:sz w:val="22"/>
          <w:szCs w:val="22"/>
        </w:rPr>
        <w:t>, PSL</w:t>
      </w:r>
      <w:r w:rsidRPr="00122785">
        <w:rPr>
          <w:sz w:val="22"/>
          <w:szCs w:val="22"/>
        </w:rPr>
        <w:t>, L-</w:t>
      </w:r>
      <w:proofErr w:type="spellStart"/>
      <w:r w:rsidRPr="00122785">
        <w:rPr>
          <w:sz w:val="22"/>
          <w:szCs w:val="22"/>
        </w:rPr>
        <w:t>asparaginase</w:t>
      </w:r>
      <w:proofErr w:type="spellEnd"/>
      <w:r w:rsidRPr="00122785">
        <w:rPr>
          <w:sz w:val="22"/>
          <w:szCs w:val="22"/>
        </w:rPr>
        <w:t xml:space="preserve"> (LASP</w:t>
      </w:r>
      <w:r>
        <w:rPr>
          <w:sz w:val="22"/>
          <w:szCs w:val="22"/>
        </w:rPr>
        <w:t>;</w:t>
      </w:r>
      <w:r w:rsidRPr="00122785">
        <w:rPr>
          <w:sz w:val="22"/>
          <w:szCs w:val="22"/>
        </w:rPr>
        <w:t xml:space="preserve"> </w:t>
      </w:r>
      <w:r w:rsidRPr="006116E3">
        <w:rPr>
          <w:sz w:val="22"/>
          <w:szCs w:val="22"/>
        </w:rPr>
        <w:t xml:space="preserve">Kyowa Hakko Kirin, Tokyo, </w:t>
      </w:r>
      <w:r w:rsidRPr="00122785">
        <w:rPr>
          <w:sz w:val="22"/>
          <w:szCs w:val="22"/>
        </w:rPr>
        <w:t xml:space="preserve">Japan), and DOX. </w:t>
      </w:r>
      <w:proofErr w:type="spellStart"/>
      <w:r w:rsidRPr="00122785">
        <w:rPr>
          <w:sz w:val="22"/>
          <w:szCs w:val="22"/>
        </w:rPr>
        <w:t>Etoposide</w:t>
      </w:r>
      <w:proofErr w:type="spellEnd"/>
      <w:r w:rsidRPr="00122785">
        <w:rPr>
          <w:sz w:val="22"/>
          <w:szCs w:val="22"/>
        </w:rPr>
        <w:t xml:space="preserve"> and </w:t>
      </w:r>
      <w:proofErr w:type="spellStart"/>
      <w:r w:rsidRPr="00122785">
        <w:rPr>
          <w:sz w:val="22"/>
          <w:szCs w:val="22"/>
        </w:rPr>
        <w:t>cytarabine</w:t>
      </w:r>
      <w:proofErr w:type="spellEnd"/>
      <w:r w:rsidRPr="00122785">
        <w:rPr>
          <w:sz w:val="22"/>
          <w:szCs w:val="22"/>
        </w:rPr>
        <w:t xml:space="preserve"> were added to the induction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regimen </w:t>
      </w:r>
      <w:r>
        <w:rPr>
          <w:sz w:val="22"/>
          <w:szCs w:val="22"/>
        </w:rPr>
        <w:t>in</w:t>
      </w:r>
      <w:r w:rsidRPr="00122785">
        <w:rPr>
          <w:sz w:val="22"/>
          <w:szCs w:val="22"/>
        </w:rPr>
        <w:t xml:space="preserve"> the HHR group. After achieving complete remission,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the</w:t>
      </w:r>
      <w:r>
        <w:rPr>
          <w:sz w:val="22"/>
          <w:szCs w:val="22"/>
        </w:rPr>
        <w:t xml:space="preserve"> patients</w:t>
      </w:r>
      <w:r w:rsidRPr="00122785">
        <w:rPr>
          <w:sz w:val="22"/>
          <w:szCs w:val="22"/>
        </w:rPr>
        <w:t xml:space="preserve"> r</w:t>
      </w:r>
      <w:r>
        <w:rPr>
          <w:sz w:val="22"/>
          <w:szCs w:val="22"/>
        </w:rPr>
        <w:t>eceived intensification therapy, which</w:t>
      </w:r>
      <w:r w:rsidRPr="00122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included </w:t>
      </w:r>
      <w:r w:rsidRPr="00122785">
        <w:rPr>
          <w:sz w:val="22"/>
          <w:szCs w:val="22"/>
        </w:rPr>
        <w:t>the alternate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use of eight drugs in three blocks at 2-week intervals. HR/HHR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patients received </w:t>
      </w:r>
      <w:proofErr w:type="spellStart"/>
      <w:r w:rsidRPr="00122785">
        <w:rPr>
          <w:sz w:val="22"/>
          <w:szCs w:val="22"/>
        </w:rPr>
        <w:t>reinduction</w:t>
      </w:r>
      <w:proofErr w:type="spellEnd"/>
      <w:r w:rsidRPr="00122785">
        <w:rPr>
          <w:sz w:val="22"/>
          <w:szCs w:val="22"/>
        </w:rPr>
        <w:t xml:space="preserve"> therapy at week 14 followed by intensification</w:t>
      </w:r>
      <w:r>
        <w:rPr>
          <w:sz w:val="22"/>
          <w:szCs w:val="22"/>
        </w:rPr>
        <w:t xml:space="preserve"> therapy, which </w:t>
      </w:r>
      <w:r w:rsidRPr="00122785">
        <w:rPr>
          <w:sz w:val="22"/>
          <w:szCs w:val="22"/>
        </w:rPr>
        <w:t>includ</w:t>
      </w:r>
      <w:r>
        <w:rPr>
          <w:sz w:val="22"/>
          <w:szCs w:val="22"/>
        </w:rPr>
        <w:t>ed</w:t>
      </w:r>
      <w:r w:rsidRPr="00122785">
        <w:rPr>
          <w:sz w:val="22"/>
          <w:szCs w:val="22"/>
        </w:rPr>
        <w:t xml:space="preserve"> weekly LASP </w:t>
      </w:r>
      <w:r>
        <w:rPr>
          <w:sz w:val="22"/>
          <w:szCs w:val="22"/>
        </w:rPr>
        <w:t xml:space="preserve">administration </w:t>
      </w:r>
      <w:r w:rsidRPr="00122785">
        <w:rPr>
          <w:sz w:val="22"/>
          <w:szCs w:val="22"/>
        </w:rPr>
        <w:t xml:space="preserve">until week 30. HHR patients with </w:t>
      </w:r>
      <w:r>
        <w:rPr>
          <w:sz w:val="22"/>
          <w:szCs w:val="22"/>
        </w:rPr>
        <w:t>minimal residual disease (</w:t>
      </w:r>
      <w:r w:rsidRPr="00122785">
        <w:rPr>
          <w:sz w:val="22"/>
          <w:szCs w:val="22"/>
        </w:rPr>
        <w:t>MRD</w:t>
      </w:r>
      <w:r>
        <w:rPr>
          <w:sz w:val="22"/>
          <w:szCs w:val="22"/>
        </w:rPr>
        <w:t>)</w:t>
      </w:r>
      <w:r w:rsidRPr="00122785">
        <w:rPr>
          <w:sz w:val="22"/>
          <w:szCs w:val="22"/>
        </w:rPr>
        <w:t xml:space="preserve"> levels</w:t>
      </w:r>
      <w:r>
        <w:rPr>
          <w:sz w:val="22"/>
          <w:szCs w:val="22"/>
        </w:rPr>
        <w:t xml:space="preserve"> ≥</w:t>
      </w:r>
      <w:r w:rsidRPr="00122785"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−</w:t>
      </w:r>
      <w:r w:rsidRPr="001F7AD0">
        <w:rPr>
          <w:sz w:val="22"/>
          <w:szCs w:val="22"/>
          <w:vertAlign w:val="superscript"/>
        </w:rPr>
        <w:t>3</w:t>
      </w:r>
      <w:r w:rsidRPr="00122785">
        <w:rPr>
          <w:sz w:val="22"/>
          <w:szCs w:val="22"/>
        </w:rPr>
        <w:t xml:space="preserve"> at </w:t>
      </w:r>
      <w:r w:rsidRPr="000049CF">
        <w:rPr>
          <w:sz w:val="22"/>
          <w:szCs w:val="22"/>
        </w:rPr>
        <w:t>week 12</w:t>
      </w:r>
      <w:r w:rsidRPr="00122785">
        <w:rPr>
          <w:sz w:val="22"/>
          <w:szCs w:val="22"/>
        </w:rPr>
        <w:t xml:space="preserve"> were assigned to the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salvage arm. Maintenance therapy </w:t>
      </w:r>
      <w:r>
        <w:rPr>
          <w:sz w:val="22"/>
          <w:szCs w:val="22"/>
        </w:rPr>
        <w:t xml:space="preserve">comprised the </w:t>
      </w:r>
      <w:r w:rsidRPr="00122785">
        <w:rPr>
          <w:sz w:val="22"/>
          <w:szCs w:val="22"/>
        </w:rPr>
        <w:t>cyclic administration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of 9</w:t>
      </w:r>
      <w:r>
        <w:rPr>
          <w:sz w:val="22"/>
          <w:szCs w:val="22"/>
        </w:rPr>
        <w:t xml:space="preserve"> drugs during the early treatment phase,</w:t>
      </w:r>
      <w:r w:rsidRPr="00122785">
        <w:rPr>
          <w:sz w:val="22"/>
          <w:szCs w:val="22"/>
        </w:rPr>
        <w:t xml:space="preserve"> followed by </w:t>
      </w:r>
      <w:r>
        <w:rPr>
          <w:sz w:val="22"/>
          <w:szCs w:val="22"/>
        </w:rPr>
        <w:t xml:space="preserve">the administration of </w:t>
      </w:r>
      <w:r w:rsidRPr="00122785">
        <w:rPr>
          <w:sz w:val="22"/>
          <w:szCs w:val="22"/>
        </w:rPr>
        <w:t>5</w:t>
      </w:r>
      <w:r>
        <w:rPr>
          <w:sz w:val="22"/>
          <w:szCs w:val="22"/>
        </w:rPr>
        <w:t xml:space="preserve"> or </w:t>
      </w:r>
      <w:r w:rsidRPr="00122785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dr</w:t>
      </w:r>
      <w:r>
        <w:rPr>
          <w:sz w:val="22"/>
          <w:szCs w:val="22"/>
        </w:rPr>
        <w:t xml:space="preserve">ugs during the late phase </w:t>
      </w:r>
      <w:r w:rsidRPr="00122785">
        <w:rPr>
          <w:sz w:val="22"/>
          <w:szCs w:val="22"/>
        </w:rPr>
        <w:t xml:space="preserve">starting </w:t>
      </w:r>
      <w:r>
        <w:rPr>
          <w:sz w:val="22"/>
          <w:szCs w:val="22"/>
        </w:rPr>
        <w:t>from</w:t>
      </w:r>
      <w:r w:rsidRPr="00122785">
        <w:rPr>
          <w:sz w:val="22"/>
          <w:szCs w:val="22"/>
        </w:rPr>
        <w:t xml:space="preserve"> week 14 (SR), 30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(HR/HHR), or 40 (salvage) and lasting until week </w:t>
      </w:r>
      <w:r w:rsidRPr="007B5CC0">
        <w:rPr>
          <w:sz w:val="22"/>
          <w:szCs w:val="22"/>
        </w:rPr>
        <w:t>156</w:t>
      </w:r>
      <w:r w:rsidRPr="001227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For </w:t>
      </w:r>
      <w:r w:rsidRPr="00AE1053">
        <w:rPr>
          <w:sz w:val="22"/>
          <w:szCs w:val="22"/>
        </w:rPr>
        <w:t>central nervous system (CNS)</w:t>
      </w:r>
      <w:r w:rsidRPr="00AE1053" w:rsidDel="00AE1053"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prophylaxis,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SR patients </w:t>
      </w:r>
      <w:r>
        <w:rPr>
          <w:sz w:val="22"/>
          <w:szCs w:val="22"/>
        </w:rPr>
        <w:t xml:space="preserve">received </w:t>
      </w:r>
      <w:r w:rsidRPr="00122785">
        <w:rPr>
          <w:sz w:val="22"/>
          <w:szCs w:val="22"/>
        </w:rPr>
        <w:t>extended</w:t>
      </w:r>
      <w:r>
        <w:rPr>
          <w:sz w:val="22"/>
          <w:szCs w:val="22"/>
        </w:rPr>
        <w:t xml:space="preserve"> </w:t>
      </w:r>
      <w:r w:rsidRPr="00B65B0F">
        <w:rPr>
          <w:sz w:val="22"/>
          <w:szCs w:val="22"/>
        </w:rPr>
        <w:t xml:space="preserve">triple </w:t>
      </w:r>
      <w:proofErr w:type="spellStart"/>
      <w:r w:rsidRPr="00B65B0F">
        <w:rPr>
          <w:sz w:val="22"/>
          <w:szCs w:val="22"/>
        </w:rPr>
        <w:t>intrathecal</w:t>
      </w:r>
      <w:proofErr w:type="spellEnd"/>
      <w:r w:rsidRPr="00B65B0F">
        <w:rPr>
          <w:sz w:val="22"/>
          <w:szCs w:val="22"/>
        </w:rPr>
        <w:t xml:space="preserve"> (TIT) injections</w:t>
      </w:r>
      <w:proofErr w:type="gramStart"/>
      <w:r w:rsidRPr="00B65B0F">
        <w:rPr>
          <w:sz w:val="22"/>
          <w:szCs w:val="22"/>
        </w:rPr>
        <w:t xml:space="preserve">, </w:t>
      </w:r>
      <w:r w:rsidRPr="007B5CC0">
        <w:rPr>
          <w:sz w:val="22"/>
          <w:szCs w:val="22"/>
        </w:rPr>
        <w:t xml:space="preserve"> beginni</w:t>
      </w:r>
      <w:r>
        <w:rPr>
          <w:sz w:val="22"/>
          <w:szCs w:val="22"/>
        </w:rPr>
        <w:t>ng</w:t>
      </w:r>
      <w:proofErr w:type="gramEnd"/>
      <w:r w:rsidRPr="00122785">
        <w:rPr>
          <w:sz w:val="22"/>
          <w:szCs w:val="22"/>
        </w:rPr>
        <w:t xml:space="preserve"> on day 1 and repeated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every 6 weeks </w:t>
      </w:r>
      <w:r>
        <w:rPr>
          <w:sz w:val="22"/>
          <w:szCs w:val="22"/>
        </w:rPr>
        <w:t>during</w:t>
      </w:r>
      <w:r w:rsidRPr="00122785">
        <w:rPr>
          <w:sz w:val="22"/>
          <w:szCs w:val="22"/>
        </w:rPr>
        <w:t xml:space="preserve"> the first year, every 8 weeks </w:t>
      </w:r>
      <w:r>
        <w:rPr>
          <w:sz w:val="22"/>
          <w:szCs w:val="22"/>
        </w:rPr>
        <w:t>during</w:t>
      </w:r>
      <w:r w:rsidRPr="00122785">
        <w:rPr>
          <w:sz w:val="22"/>
          <w:szCs w:val="22"/>
        </w:rPr>
        <w:t xml:space="preserve"> the second year, and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every 12 weeks </w:t>
      </w:r>
      <w:r>
        <w:rPr>
          <w:sz w:val="22"/>
          <w:szCs w:val="22"/>
        </w:rPr>
        <w:t>during</w:t>
      </w:r>
      <w:r w:rsidRPr="00122785">
        <w:rPr>
          <w:sz w:val="22"/>
          <w:szCs w:val="22"/>
        </w:rPr>
        <w:t xml:space="preserve"> the third year. The HR and HHR patients received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 xml:space="preserve">18 </w:t>
      </w:r>
      <w:proofErr w:type="spellStart"/>
      <w:r w:rsidRPr="00122785">
        <w:rPr>
          <w:sz w:val="22"/>
          <w:szCs w:val="22"/>
        </w:rPr>
        <w:t>Gy</w:t>
      </w:r>
      <w:proofErr w:type="spellEnd"/>
      <w:r w:rsidRPr="00122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122785">
        <w:rPr>
          <w:sz w:val="22"/>
          <w:szCs w:val="22"/>
        </w:rPr>
        <w:t>cranial radiotherapy (CRT) plus six doses of TIT injections</w:t>
      </w:r>
      <w:r>
        <w:rPr>
          <w:sz w:val="22"/>
          <w:szCs w:val="22"/>
        </w:rPr>
        <w:t xml:space="preserve"> </w:t>
      </w:r>
      <w:r w:rsidRPr="00122785">
        <w:rPr>
          <w:sz w:val="22"/>
          <w:szCs w:val="22"/>
        </w:rPr>
        <w:t>until week 22 of therapy.</w:t>
      </w:r>
    </w:p>
    <w:p w:rsidR="00824F6A" w:rsidRDefault="00824F6A" w:rsidP="00824F6A">
      <w:pPr>
        <w:spacing w:line="480" w:lineRule="auto"/>
      </w:pPr>
    </w:p>
    <w:p w:rsidR="00824F6A" w:rsidRDefault="00824F6A" w:rsidP="00DA4194">
      <w:pPr>
        <w:rPr>
          <w:rFonts w:asciiTheme="minorHAnsi" w:hAnsiTheme="minorHAnsi"/>
          <w:sz w:val="18"/>
          <w:szCs w:val="18"/>
        </w:rPr>
      </w:pPr>
    </w:p>
    <w:p w:rsidR="00824F6A" w:rsidRPr="00FC04B3" w:rsidRDefault="00824F6A" w:rsidP="00DA4194">
      <w:pPr>
        <w:rPr>
          <w:rFonts w:asciiTheme="minorHAnsi" w:hAnsiTheme="minorHAnsi"/>
          <w:sz w:val="18"/>
          <w:szCs w:val="18"/>
        </w:rPr>
      </w:pPr>
    </w:p>
    <w:sectPr w:rsidR="00824F6A" w:rsidRPr="00FC04B3" w:rsidSect="00FC04B3">
      <w:pgSz w:w="11900" w:h="16840"/>
      <w:pgMar w:top="1985" w:right="1410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</w:compat>
  <w:rsids>
    <w:rsidRoot w:val="008112D4"/>
    <w:rsid w:val="00087833"/>
    <w:rsid w:val="001251A1"/>
    <w:rsid w:val="00180DF8"/>
    <w:rsid w:val="002302BD"/>
    <w:rsid w:val="00270B63"/>
    <w:rsid w:val="00332FB5"/>
    <w:rsid w:val="004F3900"/>
    <w:rsid w:val="0050454E"/>
    <w:rsid w:val="007469DC"/>
    <w:rsid w:val="00750698"/>
    <w:rsid w:val="008112D4"/>
    <w:rsid w:val="00824F6A"/>
    <w:rsid w:val="00CA5BF4"/>
    <w:rsid w:val="00D5404B"/>
    <w:rsid w:val="00DA4194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3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534</Words>
  <Characters>3049</Characters>
  <Application>Microsoft Office Word</Application>
  <DocSecurity>0</DocSecurity>
  <Lines>25</Lines>
  <Paragraphs>7</Paragraphs>
  <ScaleCrop>false</ScaleCrop>
  <Company>琉球大学医学部附属病院骨髄移植センター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百名 伸之</dc:creator>
  <cp:keywords/>
  <dc:description/>
  <cp:lastModifiedBy>RV.Gopal</cp:lastModifiedBy>
  <cp:revision>3</cp:revision>
  <dcterms:created xsi:type="dcterms:W3CDTF">2013-06-26T20:47:00Z</dcterms:created>
  <dcterms:modified xsi:type="dcterms:W3CDTF">2013-08-29T13:50:00Z</dcterms:modified>
</cp:coreProperties>
</file>