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1530"/>
        <w:gridCol w:w="449"/>
        <w:gridCol w:w="1261"/>
        <w:gridCol w:w="449"/>
        <w:gridCol w:w="1350"/>
        <w:gridCol w:w="631"/>
        <w:gridCol w:w="1259"/>
        <w:gridCol w:w="451"/>
        <w:gridCol w:w="1439"/>
        <w:gridCol w:w="631"/>
        <w:gridCol w:w="1350"/>
      </w:tblGrid>
      <w:tr w:rsidR="00B8640F" w:rsidRPr="00B11AE4" w:rsidTr="00FA04FC">
        <w:trPr>
          <w:cantSplit/>
          <w:trHeight w:val="20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Supplemental Table</w:t>
            </w:r>
            <w:bookmarkEnd w:id="0"/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Results of Age-Stratified Cox Proportional Hazards Models Examining the Association of Categorized Medication Risk Score with Mortality among Ambulatory Patients in the United States, 2011-2017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Medication Risk Score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40F" w:rsidRPr="00B11AE4" w:rsidRDefault="00B8640F" w:rsidP="00FA04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 Patients</w:t>
            </w:r>
          </w:p>
          <w:p w:rsidR="00B8640F" w:rsidRPr="00B11AE4" w:rsidRDefault="00B8640F" w:rsidP="00FA0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HR (95% CI)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40F" w:rsidRPr="00B11AE4" w:rsidRDefault="00B8640F" w:rsidP="00FA04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Ages &lt;30 </w:t>
            </w:r>
            <w:proofErr w:type="spellStart"/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years</w:t>
            </w: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B8640F" w:rsidRPr="00B11AE4" w:rsidRDefault="00B8640F" w:rsidP="00FA0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HR (95% CI)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40F" w:rsidRPr="00B11AE4" w:rsidRDefault="00B8640F" w:rsidP="00FA04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Ages 30-49 years</w:t>
            </w:r>
          </w:p>
          <w:p w:rsidR="00B8640F" w:rsidRPr="00B11AE4" w:rsidRDefault="00B8640F" w:rsidP="00FA0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HR (95% CI)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40F" w:rsidRPr="00B11AE4" w:rsidRDefault="00B8640F" w:rsidP="00FA04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Ages 50-64 years</w:t>
            </w:r>
          </w:p>
          <w:p w:rsidR="00B8640F" w:rsidRPr="00B11AE4" w:rsidRDefault="00B8640F" w:rsidP="00FA0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HR (95% CI)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40F" w:rsidRPr="00B11AE4" w:rsidRDefault="00B8640F" w:rsidP="00FA04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Ages ≥65 years</w:t>
            </w:r>
          </w:p>
          <w:p w:rsidR="00B8640F" w:rsidRPr="00B11AE4" w:rsidRDefault="00B8640F" w:rsidP="00FA0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HR (95% CI)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1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08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MRS (1 unit)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(1.04 – 1.05)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(1.05 – 1.14)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(1.10 – 1.14)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(1.08 – 1.09)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(1.05 – 1.06)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MRS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10-14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(2.83 – 3.19)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(1.46 – 5.92)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(1.90 – 3.73)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(1.83</w:t>
            </w: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2.51)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(1.55</w:t>
            </w: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1.77)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15-19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(3.81 – 4.38)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4.87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(1.77 – 13.42)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4.99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(3.39 – 7.35)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2.92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(2.42</w:t>
            </w: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3.52)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(1.81</w:t>
            </w: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2.11)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20-30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(5.28 – 6.15)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8.95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(5.90 – 13.58)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4.57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(3.74</w:t>
            </w: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5.57)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2.49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(2.29 </w:t>
            </w: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2.71)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&gt;30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7.65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(6.32 – 9.26)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11.72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(2.90 – 47.39)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4.86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(2.73</w:t>
            </w: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8.63)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(2.61</w:t>
            </w: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3.92)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2</w:t>
            </w: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MRS (1 unit)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(1.06 – 1.06)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(1.03 – 1.13)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(1.09 – 1.12)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(1.06 – 1.08)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(1.04 – 1.04)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MRS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10-14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(1.06 – 1.06)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(1.41 – 5.72)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(1.73 – 3.40)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(1.61</w:t>
            </w: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2.22)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(1.36</w:t>
            </w: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1.56)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15-19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(1.71 – 1.94)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4.58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(1.66 – 12.65)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4.26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(2.88 – 6.29)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(1.91 </w:t>
            </w: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2.79)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(1.50 </w:t>
            </w: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1.76)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20-30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(2.03 – 2.34)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(4.64 – 10.83)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3.42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(2.80 </w:t>
            </w: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4.18)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(1.79</w:t>
            </w: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2.12)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&gt;30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(2.51 – 2.93)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9.58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(2.37 – 38.79)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3.62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(2.04 </w:t>
            </w: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6.44)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2.60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(2.11 </w:t>
            </w:r>
            <w:r w:rsidRPr="00B1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3.19)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3</w:t>
            </w: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e</w:t>
            </w: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08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MRS (1 unit)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(1.06 – 1.06)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(1.04 – 1.14)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(1.09 – 1.13)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(1.06 – 1.06)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(1.04 – 1.04)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MRS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10-14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(1.70 – 1.93)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(1.51 –  6.16)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2.47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(1.76 – 3.47)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(1.59 – 2.19)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(1.34 – 1.54)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15-19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(2.01 – 2.31)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4.93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(1.78 – 13.65)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4.58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(3.10 – 6.77)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(1.91 – 2.79)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(1.47 – 1.72)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20-30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(2.47 – 2.88)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7.81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(5.11 – 11.93)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(2.80 – 4.20)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(1.74 – 2.07)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&gt;30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(2.75 – 4.03)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10.97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(2.71 – 44.46)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3.88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(2.18 – 6.89)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(2.06 – 3.10)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4</w:t>
            </w: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208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MRS (1 unit)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(1.05 – 1.06)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(1.03 – 1.13)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(1.09 – 1.12)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(1.05 – 1.07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(1.04 – 1.04)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MRS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10-14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(10.7 – 1.89)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(1.40 – 5.71)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(1.59 – 3.13)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(1.50 – 2.07)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(1.33 – 1.53)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15-19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(1.96 – 2.27)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4.64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(1.67 – 12.85)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(2.77 – 6.06)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(1.77 – 2.59)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(1.46 – 1.71)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20-30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(2.38 – 2.79)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6.91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(4.51 – 10.60)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(2.56 – 3.86)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(1.71 – 2.03)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&gt;30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(2.62 – 3.84)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(2.32 – 38.17)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3.57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(2.01 – 6.35)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(1.98 – 2.99)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5</w:t>
            </w:r>
            <w:r w:rsidRPr="00B11AE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208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MRS (1 unit)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(1.06 – 1.06)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(1.02 – 1.11)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(1.09 – 1.12)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(1.06 – 1.08)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(1.04 – 1.04)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MRS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10-14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(1.03 – 5.20)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(1.47 – 3.15)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(1.50 – 2.14)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(1.41 – 1.64)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15-19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(1.70 – 1.95)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4.61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(1.63 – 13.02)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3.80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(2.42 – 5.95)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(1.82 – 2.78)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(1.61 – 1.91)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20-30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584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(2.08 – 2.43)</w:t>
            </w:r>
          </w:p>
        </w:tc>
        <w:tc>
          <w:tcPr>
            <w:tcW w:w="208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6.27</w:t>
            </w:r>
          </w:p>
        </w:tc>
        <w:tc>
          <w:tcPr>
            <w:tcW w:w="583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(3.81 – 10.33)</w:t>
            </w:r>
          </w:p>
        </w:tc>
        <w:tc>
          <w:tcPr>
            <w:tcW w:w="209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666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(2.81 – 4.40)</w:t>
            </w:r>
          </w:p>
        </w:tc>
        <w:tc>
          <w:tcPr>
            <w:tcW w:w="292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625" w:type="pct"/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(1.87 – 2.26)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708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&gt;30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(2.54 – 3.02)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5.92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(0.82 – 42.66)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(2.24 – 7.48)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(2.09 – 3.30)</w:t>
            </w:r>
          </w:p>
        </w:tc>
      </w:tr>
      <w:tr w:rsidR="00B8640F" w:rsidRPr="00B11AE4" w:rsidTr="00FA04FC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:rsidR="00B8640F" w:rsidRPr="00B11AE4" w:rsidRDefault="00B8640F" w:rsidP="00FA04F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Abbreviations: HR, hazard ratio; CI, confidence interval; MRS, medication risk score; BMI, body mass index.</w:t>
            </w:r>
          </w:p>
          <w:p w:rsidR="00B8640F" w:rsidRPr="00B11AE4" w:rsidRDefault="00B8640F" w:rsidP="00FA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11AE4">
              <w:rPr>
                <w:rFonts w:ascii="Times New Roman" w:hAnsi="Times New Roman" w:cs="Times New Roman"/>
                <w:sz w:val="20"/>
                <w:szCs w:val="20"/>
              </w:rPr>
              <w:t>Outcome of death was rare in the &lt;30 years age group for MRS categories 20-30 (n=9) and &gt;30 (n=0) and therefore could not be modelled;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1A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1AE4">
              <w:rPr>
                <w:rFonts w:ascii="Times New Roman" w:hAnsi="Times New Roman" w:cs="Times New Roman"/>
                <w:sz w:val="20"/>
                <w:szCs w:val="20"/>
              </w:rPr>
              <w:t xml:space="preserve">Unadjusted; </w:t>
            </w:r>
            <w:r w:rsidRPr="00B11A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B11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AE4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category is MRS &lt;10;</w:t>
            </w:r>
            <w:r w:rsidRPr="00B11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A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 w:rsidRPr="00B11AE4">
              <w:rPr>
                <w:rFonts w:ascii="Times New Roman" w:hAnsi="Times New Roman" w:cs="Times New Roman"/>
                <w:sz w:val="20"/>
                <w:szCs w:val="20"/>
              </w:rPr>
              <w:t xml:space="preserve">Adjusted for </w:t>
            </w:r>
            <w:proofErr w:type="spellStart"/>
            <w:r w:rsidRPr="00B11AE4">
              <w:rPr>
                <w:rFonts w:ascii="Times New Roman" w:hAnsi="Times New Roman" w:cs="Times New Roman"/>
                <w:sz w:val="20"/>
                <w:szCs w:val="20"/>
              </w:rPr>
              <w:t>Charlson-Deyo</w:t>
            </w:r>
            <w:proofErr w:type="spellEnd"/>
            <w:r w:rsidRPr="00B11AE4">
              <w:rPr>
                <w:rFonts w:ascii="Times New Roman" w:hAnsi="Times New Roman" w:cs="Times New Roman"/>
                <w:sz w:val="20"/>
                <w:szCs w:val="20"/>
              </w:rPr>
              <w:t xml:space="preserve"> score; </w:t>
            </w:r>
            <w:r w:rsidRPr="00B11A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e </w:t>
            </w:r>
            <w:r w:rsidRPr="00B11AE4">
              <w:rPr>
                <w:rFonts w:ascii="Times New Roman" w:hAnsi="Times New Roman" w:cs="Times New Roman"/>
                <w:sz w:val="20"/>
                <w:szCs w:val="20"/>
              </w:rPr>
              <w:t xml:space="preserve">Adjusted for </w:t>
            </w:r>
            <w:proofErr w:type="spellStart"/>
            <w:r w:rsidRPr="00B11AE4">
              <w:rPr>
                <w:rFonts w:ascii="Times New Roman" w:hAnsi="Times New Roman" w:cs="Times New Roman"/>
                <w:sz w:val="20"/>
                <w:szCs w:val="20"/>
              </w:rPr>
              <w:t>Charlson-Deyo</w:t>
            </w:r>
            <w:proofErr w:type="spellEnd"/>
            <w:r w:rsidRPr="00B11AE4">
              <w:rPr>
                <w:rFonts w:ascii="Times New Roman" w:hAnsi="Times New Roman" w:cs="Times New Roman"/>
                <w:sz w:val="20"/>
                <w:szCs w:val="20"/>
              </w:rPr>
              <w:t xml:space="preserve"> score and gender; </w:t>
            </w:r>
            <w:r w:rsidRPr="00B11A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f </w:t>
            </w:r>
            <w:r w:rsidRPr="00B11AE4">
              <w:rPr>
                <w:rFonts w:ascii="Times New Roman" w:hAnsi="Times New Roman" w:cs="Times New Roman"/>
                <w:sz w:val="20"/>
                <w:szCs w:val="20"/>
              </w:rPr>
              <w:t xml:space="preserve">Adjusted for </w:t>
            </w:r>
            <w:proofErr w:type="spellStart"/>
            <w:r w:rsidRPr="00B11AE4">
              <w:rPr>
                <w:rFonts w:ascii="Times New Roman" w:hAnsi="Times New Roman" w:cs="Times New Roman"/>
                <w:sz w:val="20"/>
                <w:szCs w:val="20"/>
              </w:rPr>
              <w:t>Charlson-Deyo</w:t>
            </w:r>
            <w:proofErr w:type="spellEnd"/>
            <w:r w:rsidRPr="00B11AE4">
              <w:rPr>
                <w:rFonts w:ascii="Times New Roman" w:hAnsi="Times New Roman" w:cs="Times New Roman"/>
                <w:sz w:val="20"/>
                <w:szCs w:val="20"/>
              </w:rPr>
              <w:t xml:space="preserve"> score, gender, and race/ethnicity; </w:t>
            </w:r>
            <w:r w:rsidRPr="00B11A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g </w:t>
            </w:r>
            <w:r w:rsidRPr="00B11AE4">
              <w:rPr>
                <w:rFonts w:ascii="Times New Roman" w:hAnsi="Times New Roman" w:cs="Times New Roman"/>
                <w:sz w:val="20"/>
                <w:szCs w:val="20"/>
              </w:rPr>
              <w:t xml:space="preserve">Adjusted for </w:t>
            </w:r>
            <w:proofErr w:type="spellStart"/>
            <w:r w:rsidRPr="00B11AE4">
              <w:rPr>
                <w:rFonts w:ascii="Times New Roman" w:hAnsi="Times New Roman" w:cs="Times New Roman"/>
                <w:sz w:val="20"/>
                <w:szCs w:val="20"/>
              </w:rPr>
              <w:t>Charlson-Deyo</w:t>
            </w:r>
            <w:proofErr w:type="spellEnd"/>
            <w:r w:rsidRPr="00B11AE4">
              <w:rPr>
                <w:rFonts w:ascii="Times New Roman" w:hAnsi="Times New Roman" w:cs="Times New Roman"/>
                <w:sz w:val="20"/>
                <w:szCs w:val="20"/>
              </w:rPr>
              <w:t xml:space="preserve"> score, gender, race/ethnicity, and BMI.</w:t>
            </w:r>
          </w:p>
        </w:tc>
      </w:tr>
    </w:tbl>
    <w:p w:rsidR="00B8640F" w:rsidRDefault="00B8640F" w:rsidP="00B8640F"/>
    <w:p w:rsidR="00A829AB" w:rsidRDefault="00A829AB"/>
    <w:sectPr w:rsidR="00A829AB" w:rsidSect="00FA7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4803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A66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9A7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A6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1614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9432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A36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1E9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E4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7F26BE"/>
    <w:multiLevelType w:val="multilevel"/>
    <w:tmpl w:val="1630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0F"/>
    <w:rsid w:val="007D1DC7"/>
    <w:rsid w:val="00A829AB"/>
    <w:rsid w:val="00B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F82C6-D35E-4F8E-AF2E-A005BE9A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0F"/>
  </w:style>
  <w:style w:type="paragraph" w:styleId="Heading4">
    <w:name w:val="heading 4"/>
    <w:basedOn w:val="Normal"/>
    <w:link w:val="Heading4Char"/>
    <w:uiPriority w:val="9"/>
    <w:qFormat/>
    <w:rsid w:val="00B864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640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64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6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4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0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8640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640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8640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8640F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B8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40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640F"/>
    <w:rPr>
      <w:i/>
      <w:iCs/>
    </w:rPr>
  </w:style>
  <w:style w:type="paragraph" w:styleId="EndnoteText">
    <w:name w:val="endnote text"/>
    <w:basedOn w:val="Normal"/>
    <w:link w:val="EndnoteTextChar"/>
    <w:semiHidden/>
    <w:rsid w:val="00B86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8640F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40F"/>
    <w:rPr>
      <w:color w:val="605E5C"/>
      <w:shd w:val="clear" w:color="auto" w:fill="E1DFDD"/>
    </w:rPr>
  </w:style>
  <w:style w:type="character" w:customStyle="1" w:styleId="ref-journal">
    <w:name w:val="ref-journal"/>
    <w:basedOn w:val="DefaultParagraphFont"/>
    <w:rsid w:val="00B8640F"/>
  </w:style>
  <w:style w:type="character" w:customStyle="1" w:styleId="ref-vol">
    <w:name w:val="ref-vol"/>
    <w:basedOn w:val="DefaultParagraphFont"/>
    <w:rsid w:val="00B8640F"/>
  </w:style>
  <w:style w:type="character" w:customStyle="1" w:styleId="citationsource-journal">
    <w:name w:val="citation_source-journal"/>
    <w:basedOn w:val="DefaultParagraphFont"/>
    <w:rsid w:val="00B8640F"/>
  </w:style>
  <w:style w:type="character" w:customStyle="1" w:styleId="nlmyear">
    <w:name w:val="nlm_year"/>
    <w:basedOn w:val="DefaultParagraphFont"/>
    <w:rsid w:val="00B8640F"/>
  </w:style>
  <w:style w:type="character" w:customStyle="1" w:styleId="nlmfpage">
    <w:name w:val="nlm_fpage"/>
    <w:basedOn w:val="DefaultParagraphFont"/>
    <w:rsid w:val="00B8640F"/>
  </w:style>
  <w:style w:type="character" w:customStyle="1" w:styleId="nlmlpage">
    <w:name w:val="nlm_lpage"/>
    <w:basedOn w:val="DefaultParagraphFont"/>
    <w:rsid w:val="00B8640F"/>
  </w:style>
  <w:style w:type="paragraph" w:customStyle="1" w:styleId="MDPI13authornames">
    <w:name w:val="MDPI_1.3_authornames"/>
    <w:basedOn w:val="Normal"/>
    <w:next w:val="Normal"/>
    <w:qFormat/>
    <w:rsid w:val="00B8640F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styleId="Revision">
    <w:name w:val="Revision"/>
    <w:hidden/>
    <w:uiPriority w:val="99"/>
    <w:semiHidden/>
    <w:rsid w:val="00B8640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8640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a-back-to-top">
    <w:name w:val="i4a-back-to-top"/>
    <w:basedOn w:val="Normal"/>
    <w:rsid w:val="00B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0F"/>
  </w:style>
  <w:style w:type="paragraph" w:styleId="Footer">
    <w:name w:val="footer"/>
    <w:basedOn w:val="Normal"/>
    <w:link w:val="FooterChar"/>
    <w:uiPriority w:val="99"/>
    <w:unhideWhenUsed/>
    <w:rsid w:val="00B8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0F"/>
  </w:style>
  <w:style w:type="paragraph" w:styleId="ListParagraph">
    <w:name w:val="List Paragraph"/>
    <w:basedOn w:val="Normal"/>
    <w:uiPriority w:val="34"/>
    <w:qFormat/>
    <w:rsid w:val="00B8640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640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unhideWhenUsed/>
    <w:rsid w:val="00B8640F"/>
    <w:rPr>
      <w:rFonts w:ascii="Times New Roman" w:hAnsi="Times New Roman"/>
      <w:sz w:val="22"/>
    </w:rPr>
  </w:style>
  <w:style w:type="paragraph" w:styleId="List">
    <w:name w:val="List"/>
    <w:basedOn w:val="Normal"/>
    <w:uiPriority w:val="99"/>
    <w:unhideWhenUsed/>
    <w:rsid w:val="00B8640F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Ratigan</dc:creator>
  <cp:keywords/>
  <dc:description/>
  <cp:lastModifiedBy>Gadingan, Carolyn</cp:lastModifiedBy>
  <cp:revision>2</cp:revision>
  <dcterms:created xsi:type="dcterms:W3CDTF">2021-03-03T15:47:00Z</dcterms:created>
  <dcterms:modified xsi:type="dcterms:W3CDTF">2021-03-03T15:47:00Z</dcterms:modified>
</cp:coreProperties>
</file>