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76" w:type="dxa"/>
        <w:jc w:val="center"/>
        <w:tblLook w:val="04A0" w:firstRow="1" w:lastRow="0" w:firstColumn="1" w:lastColumn="0" w:noHBand="0" w:noVBand="1"/>
      </w:tblPr>
      <w:tblGrid>
        <w:gridCol w:w="1258"/>
        <w:gridCol w:w="883"/>
        <w:gridCol w:w="1263"/>
        <w:gridCol w:w="1418"/>
        <w:gridCol w:w="1028"/>
        <w:gridCol w:w="10426"/>
      </w:tblGrid>
      <w:tr w:rsidR="0032551A" w:rsidRPr="00842CD7" w14:paraId="7424124C" w14:textId="77777777" w:rsidTr="0032551A">
        <w:trPr>
          <w:trHeight w:val="284"/>
          <w:jc w:val="center"/>
        </w:trPr>
        <w:tc>
          <w:tcPr>
            <w:tcW w:w="0" w:type="auto"/>
            <w:gridSpan w:val="6"/>
          </w:tcPr>
          <w:p w14:paraId="256022CE" w14:textId="77777777" w:rsidR="0032551A" w:rsidRPr="00842CD7" w:rsidRDefault="0032551A" w:rsidP="00B8772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842CD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Secondary Surgical Interventions in myopic eyes implanted with </w:t>
            </w:r>
            <w:r w:rsidR="00C362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 IF-pIOL</w:t>
            </w:r>
          </w:p>
        </w:tc>
      </w:tr>
      <w:tr w:rsidR="00842CD7" w:rsidRPr="0032551A" w14:paraId="5F40FAE3" w14:textId="77777777" w:rsidTr="00842CD7">
        <w:trPr>
          <w:trHeight w:val="284"/>
          <w:jc w:val="center"/>
        </w:trPr>
        <w:tc>
          <w:tcPr>
            <w:tcW w:w="1258" w:type="dxa"/>
          </w:tcPr>
          <w:p w14:paraId="26DEE92B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883" w:type="dxa"/>
          </w:tcPr>
          <w:p w14:paraId="50A3DE5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</w:p>
        </w:tc>
        <w:tc>
          <w:tcPr>
            <w:tcW w:w="1263" w:type="dxa"/>
          </w:tcPr>
          <w:p w14:paraId="39950FD6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Total eyes</w:t>
            </w:r>
            <w:r w:rsidR="00842CD7">
              <w:rPr>
                <w:rFonts w:ascii="Times New Roman" w:hAnsi="Times New Roman" w:cs="Times New Roman"/>
                <w:sz w:val="14"/>
                <w:szCs w:val="14"/>
              </w:rPr>
              <w:t xml:space="preserve"> (count)</w:t>
            </w:r>
          </w:p>
        </w:tc>
        <w:tc>
          <w:tcPr>
            <w:tcW w:w="1418" w:type="dxa"/>
          </w:tcPr>
          <w:p w14:paraId="268D5DFC" w14:textId="77777777" w:rsidR="0032551A" w:rsidRPr="0032551A" w:rsidRDefault="00842CD7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Eyes t</w:t>
            </w:r>
            <w:r w:rsidR="0032551A" w:rsidRPr="0032551A">
              <w:rPr>
                <w:rFonts w:ascii="Times New Roman" w:hAnsi="Times New Roman" w:cs="Times New Roman"/>
                <w:sz w:val="14"/>
                <w:szCs w:val="14"/>
              </w:rPr>
              <w:t>reated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(count)</w:t>
            </w:r>
          </w:p>
        </w:tc>
        <w:tc>
          <w:tcPr>
            <w:tcW w:w="1028" w:type="dxa"/>
          </w:tcPr>
          <w:p w14:paraId="185B4CD7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Treated</w:t>
            </w:r>
            <w:r w:rsidR="00842CD7"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10426" w:type="dxa"/>
          </w:tcPr>
          <w:p w14:paraId="019F81BE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Reasons</w:t>
            </w:r>
          </w:p>
        </w:tc>
      </w:tr>
      <w:tr w:rsidR="00842CD7" w:rsidRPr="0032551A" w14:paraId="1461B997" w14:textId="77777777" w:rsidTr="00842CD7">
        <w:trPr>
          <w:trHeight w:val="284"/>
          <w:jc w:val="center"/>
        </w:trPr>
        <w:tc>
          <w:tcPr>
            <w:tcW w:w="1258" w:type="dxa"/>
          </w:tcPr>
          <w:p w14:paraId="5AE5BE6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Asano-Kato et al.</w:t>
            </w:r>
          </w:p>
        </w:tc>
        <w:tc>
          <w:tcPr>
            <w:tcW w:w="883" w:type="dxa"/>
          </w:tcPr>
          <w:p w14:paraId="3AC5E52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263" w:type="dxa"/>
          </w:tcPr>
          <w:p w14:paraId="54F51FC6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418" w:type="dxa"/>
          </w:tcPr>
          <w:p w14:paraId="5AD0CC8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8" w:type="dxa"/>
          </w:tcPr>
          <w:p w14:paraId="1742B8C6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26" w:type="dxa"/>
          </w:tcPr>
          <w:p w14:paraId="75B74F1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2CD7" w:rsidRPr="00842CD7" w14:paraId="71018540" w14:textId="77777777" w:rsidTr="00842CD7">
        <w:trPr>
          <w:trHeight w:val="284"/>
          <w:jc w:val="center"/>
        </w:trPr>
        <w:tc>
          <w:tcPr>
            <w:tcW w:w="1258" w:type="dxa"/>
          </w:tcPr>
          <w:p w14:paraId="04198B22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Baikoff et al.</w:t>
            </w:r>
          </w:p>
        </w:tc>
        <w:tc>
          <w:tcPr>
            <w:tcW w:w="883" w:type="dxa"/>
          </w:tcPr>
          <w:p w14:paraId="62FB5072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263" w:type="dxa"/>
          </w:tcPr>
          <w:p w14:paraId="5E4A0EF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418" w:type="dxa"/>
          </w:tcPr>
          <w:p w14:paraId="5A2DD720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8" w:type="dxa"/>
          </w:tcPr>
          <w:p w14:paraId="2BA2D0F3" w14:textId="77777777" w:rsidR="0032551A" w:rsidRPr="0032551A" w:rsidRDefault="008D4678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32551A" w:rsidRPr="0032551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426" w:type="dxa"/>
          </w:tcPr>
          <w:p w14:paraId="2036CA74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 eye (0.7%) pIOL exchange due to pigment dispersion, note study only reporting on pigment dispersion</w:t>
            </w:r>
          </w:p>
        </w:tc>
      </w:tr>
      <w:tr w:rsidR="00842CD7" w:rsidRPr="0032551A" w14:paraId="0D1DAF73" w14:textId="77777777" w:rsidTr="00842CD7">
        <w:trPr>
          <w:trHeight w:val="284"/>
          <w:jc w:val="center"/>
        </w:trPr>
        <w:tc>
          <w:tcPr>
            <w:tcW w:w="1258" w:type="dxa"/>
          </w:tcPr>
          <w:p w14:paraId="6261E288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Benedetti et al.</w:t>
            </w:r>
          </w:p>
        </w:tc>
        <w:tc>
          <w:tcPr>
            <w:tcW w:w="883" w:type="dxa"/>
          </w:tcPr>
          <w:p w14:paraId="603C6607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1263" w:type="dxa"/>
          </w:tcPr>
          <w:p w14:paraId="08230698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418" w:type="dxa"/>
          </w:tcPr>
          <w:p w14:paraId="42C0A5D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8" w:type="dxa"/>
          </w:tcPr>
          <w:p w14:paraId="73A74B3F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26" w:type="dxa"/>
          </w:tcPr>
          <w:p w14:paraId="73FEB2C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2CD7" w:rsidRPr="0032551A" w14:paraId="79FEA8AF" w14:textId="77777777" w:rsidTr="00842CD7">
        <w:trPr>
          <w:trHeight w:val="284"/>
          <w:jc w:val="center"/>
        </w:trPr>
        <w:tc>
          <w:tcPr>
            <w:tcW w:w="1258" w:type="dxa"/>
          </w:tcPr>
          <w:p w14:paraId="46E08DF1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Benedetti et al.</w:t>
            </w:r>
          </w:p>
        </w:tc>
        <w:tc>
          <w:tcPr>
            <w:tcW w:w="883" w:type="dxa"/>
          </w:tcPr>
          <w:p w14:paraId="2FB2351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1263" w:type="dxa"/>
          </w:tcPr>
          <w:p w14:paraId="62AC55DA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418" w:type="dxa"/>
          </w:tcPr>
          <w:p w14:paraId="08666E81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8" w:type="dxa"/>
          </w:tcPr>
          <w:p w14:paraId="5CAA0A53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26" w:type="dxa"/>
          </w:tcPr>
          <w:p w14:paraId="025B0C97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2CD7" w:rsidRPr="00842CD7" w14:paraId="752118CF" w14:textId="77777777" w:rsidTr="00842CD7">
        <w:trPr>
          <w:trHeight w:val="284"/>
          <w:jc w:val="center"/>
        </w:trPr>
        <w:tc>
          <w:tcPr>
            <w:tcW w:w="1258" w:type="dxa"/>
          </w:tcPr>
          <w:p w14:paraId="399A4BBF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Bohac et al.</w:t>
            </w:r>
          </w:p>
        </w:tc>
        <w:tc>
          <w:tcPr>
            <w:tcW w:w="883" w:type="dxa"/>
          </w:tcPr>
          <w:p w14:paraId="6F58A6D7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263" w:type="dxa"/>
          </w:tcPr>
          <w:p w14:paraId="370578BF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1418" w:type="dxa"/>
          </w:tcPr>
          <w:p w14:paraId="67F60DE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8" w:type="dxa"/>
          </w:tcPr>
          <w:p w14:paraId="6581356E" w14:textId="77777777" w:rsidR="0032551A" w:rsidRPr="0032551A" w:rsidRDefault="008D4678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0.</w:t>
            </w:r>
            <w:r w:rsidR="0032551A" w:rsidRPr="003255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26" w:type="dxa"/>
          </w:tcPr>
          <w:p w14:paraId="28EBB23A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 eyes (2%) re-enclavation due to i</w:t>
            </w:r>
            <w:r w:rsidR="008D467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nadequate enclavation; 1 eye (0.</w:t>
            </w: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5%) repositioning due to decentration after trauma (after 27 months)</w:t>
            </w:r>
          </w:p>
        </w:tc>
      </w:tr>
      <w:tr w:rsidR="00842CD7" w:rsidRPr="00842CD7" w14:paraId="4EED6043" w14:textId="77777777" w:rsidTr="00842CD7">
        <w:trPr>
          <w:trHeight w:val="284"/>
          <w:jc w:val="center"/>
        </w:trPr>
        <w:tc>
          <w:tcPr>
            <w:tcW w:w="1258" w:type="dxa"/>
          </w:tcPr>
          <w:p w14:paraId="11C1B0D1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Bouheraoua et al.</w:t>
            </w:r>
          </w:p>
        </w:tc>
        <w:tc>
          <w:tcPr>
            <w:tcW w:w="883" w:type="dxa"/>
          </w:tcPr>
          <w:p w14:paraId="4EA8FFE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2015</w:t>
            </w:r>
          </w:p>
        </w:tc>
        <w:tc>
          <w:tcPr>
            <w:tcW w:w="1263" w:type="dxa"/>
          </w:tcPr>
          <w:p w14:paraId="446DAFFC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418" w:type="dxa"/>
          </w:tcPr>
          <w:p w14:paraId="3F052E70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8" w:type="dxa"/>
          </w:tcPr>
          <w:p w14:paraId="44D35B00" w14:textId="77777777" w:rsidR="0032551A" w:rsidRPr="0032551A" w:rsidRDefault="008D4678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2.</w:t>
            </w:r>
            <w:r w:rsidR="0032551A" w:rsidRPr="003255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426" w:type="dxa"/>
          </w:tcPr>
          <w:p w14:paraId="7B56E072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 eye (1.4%) pIOL repositioning after 3 years; 1 eye (=1.4%) pIOL exchange due to refractive error</w:t>
            </w:r>
          </w:p>
        </w:tc>
      </w:tr>
      <w:tr w:rsidR="00842CD7" w:rsidRPr="00842CD7" w14:paraId="1D6C9298" w14:textId="77777777" w:rsidTr="00842CD7">
        <w:trPr>
          <w:trHeight w:val="284"/>
          <w:jc w:val="center"/>
        </w:trPr>
        <w:tc>
          <w:tcPr>
            <w:tcW w:w="1258" w:type="dxa"/>
          </w:tcPr>
          <w:p w14:paraId="0392C515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Budo et al.</w:t>
            </w:r>
          </w:p>
        </w:tc>
        <w:tc>
          <w:tcPr>
            <w:tcW w:w="883" w:type="dxa"/>
          </w:tcPr>
          <w:p w14:paraId="309F68D5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263" w:type="dxa"/>
          </w:tcPr>
          <w:p w14:paraId="6E8581A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1418" w:type="dxa"/>
          </w:tcPr>
          <w:p w14:paraId="12CCC2EF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028" w:type="dxa"/>
          </w:tcPr>
          <w:p w14:paraId="545F12AE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426" w:type="dxa"/>
          </w:tcPr>
          <w:p w14:paraId="5E5C7E77" w14:textId="77777777" w:rsidR="0032551A" w:rsidRPr="00842CD7" w:rsidRDefault="008D4678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 eyes (2.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4%) repositioning of </w:t>
            </w:r>
            <w:proofErr w:type="gramStart"/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pIOL;  7</w:t>
            </w:r>
            <w:proofErr w:type="gramEnd"/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eyes (2.8%) explantation pIOL (1 wide pupil diameter, 1 EC-loss, 2 trauma, 3 cataract); 8 eyes (=3.2%) IOL exchanges for different power; 1 eye (0.4%) ACRS</w:t>
            </w:r>
          </w:p>
        </w:tc>
      </w:tr>
      <w:tr w:rsidR="00842CD7" w:rsidRPr="00842CD7" w14:paraId="33AF19FE" w14:textId="77777777" w:rsidTr="00842CD7">
        <w:trPr>
          <w:trHeight w:val="284"/>
          <w:jc w:val="center"/>
        </w:trPr>
        <w:tc>
          <w:tcPr>
            <w:tcW w:w="1258" w:type="dxa"/>
          </w:tcPr>
          <w:p w14:paraId="69409241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Chebli et al.</w:t>
            </w:r>
          </w:p>
        </w:tc>
        <w:tc>
          <w:tcPr>
            <w:tcW w:w="883" w:type="dxa"/>
          </w:tcPr>
          <w:p w14:paraId="6D37BAE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1263" w:type="dxa"/>
          </w:tcPr>
          <w:p w14:paraId="0E0B04D8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418" w:type="dxa"/>
          </w:tcPr>
          <w:p w14:paraId="57C597E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8" w:type="dxa"/>
          </w:tcPr>
          <w:p w14:paraId="5262478C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426" w:type="dxa"/>
          </w:tcPr>
          <w:p w14:paraId="1F5FA7A5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 eye (0.81%) </w:t>
            </w:r>
            <w:r w:rsidR="00F23AB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pIOL explantation</w:t>
            </w: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due to EC loss (after 7 years)</w:t>
            </w:r>
          </w:p>
        </w:tc>
      </w:tr>
      <w:tr w:rsidR="00842CD7" w:rsidRPr="00842CD7" w14:paraId="209F6292" w14:textId="77777777" w:rsidTr="00842CD7">
        <w:trPr>
          <w:trHeight w:val="284"/>
          <w:jc w:val="center"/>
        </w:trPr>
        <w:tc>
          <w:tcPr>
            <w:tcW w:w="1258" w:type="dxa"/>
          </w:tcPr>
          <w:p w14:paraId="5F84EFD3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Guell et al.</w:t>
            </w:r>
          </w:p>
        </w:tc>
        <w:tc>
          <w:tcPr>
            <w:tcW w:w="883" w:type="dxa"/>
          </w:tcPr>
          <w:p w14:paraId="09F16798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1263" w:type="dxa"/>
          </w:tcPr>
          <w:p w14:paraId="0D1FE1F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1418" w:type="dxa"/>
          </w:tcPr>
          <w:p w14:paraId="1B2BF5CE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28" w:type="dxa"/>
          </w:tcPr>
          <w:p w14:paraId="0081A11A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4.5</w:t>
            </w:r>
          </w:p>
        </w:tc>
        <w:tc>
          <w:tcPr>
            <w:tcW w:w="10426" w:type="dxa"/>
          </w:tcPr>
          <w:p w14:paraId="080E1DF1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3 eyes (0.75%) pIOL explanted due to ECC loss; 2 eyes (0.5%) explanation pIOL due to nuclear cataract; 1 eye (0.25%) macular </w:t>
            </w:r>
            <w:r w:rsidR="00F23AB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hemorrhage</w:t>
            </w: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(after 4 months</w:t>
            </w:r>
            <w:proofErr w:type="gramStart"/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),  1</w:t>
            </w:r>
            <w:proofErr w:type="gramEnd"/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eye (0.25%) retinal detachment (after 3 years),  3 eyes (0.75%) pIOL re-enclavation (2 trauma; 1 spontaneously) (not specified which group)</w:t>
            </w:r>
          </w:p>
        </w:tc>
      </w:tr>
      <w:tr w:rsidR="00842CD7" w:rsidRPr="00842CD7" w14:paraId="103861DD" w14:textId="77777777" w:rsidTr="00842CD7">
        <w:trPr>
          <w:trHeight w:val="284"/>
          <w:jc w:val="center"/>
        </w:trPr>
        <w:tc>
          <w:tcPr>
            <w:tcW w:w="1258" w:type="dxa"/>
          </w:tcPr>
          <w:p w14:paraId="1D954CFA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883" w:type="dxa"/>
          </w:tcPr>
          <w:p w14:paraId="03B6CB0F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263" w:type="dxa"/>
          </w:tcPr>
          <w:p w14:paraId="1698AB12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</w:tcPr>
          <w:p w14:paraId="79E79E99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28" w:type="dxa"/>
          </w:tcPr>
          <w:p w14:paraId="45BC5FF6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426" w:type="dxa"/>
          </w:tcPr>
          <w:p w14:paraId="66BA32B6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</w:tr>
      <w:tr w:rsidR="00842CD7" w:rsidRPr="00842CD7" w14:paraId="6CA621FE" w14:textId="77777777" w:rsidTr="00842CD7">
        <w:trPr>
          <w:trHeight w:val="284"/>
          <w:jc w:val="center"/>
        </w:trPr>
        <w:tc>
          <w:tcPr>
            <w:tcW w:w="1258" w:type="dxa"/>
          </w:tcPr>
          <w:p w14:paraId="5E0F046B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Landesz et al.</w:t>
            </w:r>
          </w:p>
        </w:tc>
        <w:tc>
          <w:tcPr>
            <w:tcW w:w="883" w:type="dxa"/>
          </w:tcPr>
          <w:p w14:paraId="0129725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2000</w:t>
            </w:r>
          </w:p>
        </w:tc>
        <w:tc>
          <w:tcPr>
            <w:tcW w:w="1263" w:type="dxa"/>
          </w:tcPr>
          <w:p w14:paraId="2E150612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418" w:type="dxa"/>
          </w:tcPr>
          <w:p w14:paraId="7796A16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8" w:type="dxa"/>
          </w:tcPr>
          <w:p w14:paraId="68BBC37A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426" w:type="dxa"/>
          </w:tcPr>
          <w:p w14:paraId="0646FEB5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 eye repositioning due to decentration</w:t>
            </w:r>
          </w:p>
        </w:tc>
      </w:tr>
      <w:tr w:rsidR="00842CD7" w:rsidRPr="00842CD7" w14:paraId="2C69BF28" w14:textId="77777777" w:rsidTr="00842CD7">
        <w:trPr>
          <w:trHeight w:val="284"/>
          <w:jc w:val="center"/>
        </w:trPr>
        <w:tc>
          <w:tcPr>
            <w:tcW w:w="1258" w:type="dxa"/>
          </w:tcPr>
          <w:p w14:paraId="3C730EFA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Landesz et al.</w:t>
            </w:r>
          </w:p>
        </w:tc>
        <w:tc>
          <w:tcPr>
            <w:tcW w:w="883" w:type="dxa"/>
          </w:tcPr>
          <w:p w14:paraId="2512507C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2001</w:t>
            </w:r>
          </w:p>
        </w:tc>
        <w:tc>
          <w:tcPr>
            <w:tcW w:w="1263" w:type="dxa"/>
          </w:tcPr>
          <w:p w14:paraId="4AA6595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418" w:type="dxa"/>
          </w:tcPr>
          <w:p w14:paraId="6ABE7CE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28" w:type="dxa"/>
          </w:tcPr>
          <w:p w14:paraId="28CB88E2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426" w:type="dxa"/>
          </w:tcPr>
          <w:p w14:paraId="234F1873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 eyes (2.6%) pIOL exchange due to undercorrection, 2 eyes (2.6%) pIOL explantation due to cataract, 2 eyes (2.6%) pIOL exchange due to glare/halo</w:t>
            </w:r>
          </w:p>
        </w:tc>
      </w:tr>
      <w:tr w:rsidR="00842CD7" w:rsidRPr="00842CD7" w14:paraId="2B406F36" w14:textId="77777777" w:rsidTr="00842CD7">
        <w:trPr>
          <w:trHeight w:val="284"/>
          <w:jc w:val="center"/>
        </w:trPr>
        <w:tc>
          <w:tcPr>
            <w:tcW w:w="1258" w:type="dxa"/>
          </w:tcPr>
          <w:p w14:paraId="6FD73107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Menezo  et al.</w:t>
            </w:r>
          </w:p>
        </w:tc>
        <w:tc>
          <w:tcPr>
            <w:tcW w:w="883" w:type="dxa"/>
          </w:tcPr>
          <w:p w14:paraId="2D80CF08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2004</w:t>
            </w:r>
          </w:p>
        </w:tc>
        <w:tc>
          <w:tcPr>
            <w:tcW w:w="1263" w:type="dxa"/>
          </w:tcPr>
          <w:p w14:paraId="4193388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418" w:type="dxa"/>
          </w:tcPr>
          <w:p w14:paraId="47ED607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8" w:type="dxa"/>
          </w:tcPr>
          <w:p w14:paraId="789AE755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26" w:type="dxa"/>
          </w:tcPr>
          <w:p w14:paraId="69A99EDD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 eyes (1.46%) pIOL explantation due to nuclear cataract (54.83±22.12 months, at patient age 53 and 56 years)</w:t>
            </w:r>
          </w:p>
        </w:tc>
      </w:tr>
      <w:tr w:rsidR="00842CD7" w:rsidRPr="00842CD7" w14:paraId="3B803264" w14:textId="77777777" w:rsidTr="00842CD7">
        <w:trPr>
          <w:trHeight w:val="284"/>
          <w:jc w:val="center"/>
        </w:trPr>
        <w:tc>
          <w:tcPr>
            <w:tcW w:w="1258" w:type="dxa"/>
          </w:tcPr>
          <w:p w14:paraId="61F725CF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Moshifar et al.</w:t>
            </w:r>
          </w:p>
        </w:tc>
        <w:tc>
          <w:tcPr>
            <w:tcW w:w="883" w:type="dxa"/>
          </w:tcPr>
          <w:p w14:paraId="61726311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263" w:type="dxa"/>
          </w:tcPr>
          <w:p w14:paraId="7C4F807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418" w:type="dxa"/>
          </w:tcPr>
          <w:p w14:paraId="10FFD6F5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28" w:type="dxa"/>
          </w:tcPr>
          <w:p w14:paraId="41E62F60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426" w:type="dxa"/>
          </w:tcPr>
          <w:p w14:paraId="36B43C75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 eyes (2.3%) pIOL explantation due to catarac</w:t>
            </w:r>
            <w:r w:rsidR="008D467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 (after mean of 9.3 years (R 4.0-12.</w:t>
            </w: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6) at mean age of 55 years (R 46-62); 2 eyes (0.9%) corneal decompensation</w:t>
            </w:r>
          </w:p>
        </w:tc>
      </w:tr>
      <w:tr w:rsidR="00842CD7" w:rsidRPr="00842CD7" w14:paraId="630F9C78" w14:textId="77777777" w:rsidTr="00842CD7">
        <w:trPr>
          <w:trHeight w:val="284"/>
          <w:jc w:val="center"/>
        </w:trPr>
        <w:tc>
          <w:tcPr>
            <w:tcW w:w="1258" w:type="dxa"/>
          </w:tcPr>
          <w:p w14:paraId="4019F0A8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Moshirfar et al.</w:t>
            </w:r>
          </w:p>
        </w:tc>
        <w:tc>
          <w:tcPr>
            <w:tcW w:w="883" w:type="dxa"/>
          </w:tcPr>
          <w:p w14:paraId="3E323E10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1263" w:type="dxa"/>
          </w:tcPr>
          <w:p w14:paraId="2883CE45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418" w:type="dxa"/>
          </w:tcPr>
          <w:p w14:paraId="638CFA77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28" w:type="dxa"/>
          </w:tcPr>
          <w:p w14:paraId="3271996C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0426" w:type="dxa"/>
          </w:tcPr>
          <w:p w14:paraId="4B17972E" w14:textId="77777777" w:rsidR="0032551A" w:rsidRPr="00842CD7" w:rsidRDefault="008D4678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 eyes (3.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5%) re-enclavation (2 after tra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uma, 1 surgeon error); 1 eye (1.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2%) pIOL removal after IOP spikes and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cataract development; 1 eye (1.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2%) pIOL exchange due to undercorrection</w:t>
            </w:r>
          </w:p>
        </w:tc>
      </w:tr>
      <w:tr w:rsidR="00842CD7" w:rsidRPr="00842CD7" w14:paraId="158080D9" w14:textId="77777777" w:rsidTr="00842CD7">
        <w:trPr>
          <w:trHeight w:val="284"/>
          <w:jc w:val="center"/>
        </w:trPr>
        <w:tc>
          <w:tcPr>
            <w:tcW w:w="1258" w:type="dxa"/>
          </w:tcPr>
          <w:p w14:paraId="68F2A2D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Qasem et al.</w:t>
            </w:r>
          </w:p>
        </w:tc>
        <w:tc>
          <w:tcPr>
            <w:tcW w:w="883" w:type="dxa"/>
          </w:tcPr>
          <w:p w14:paraId="3F5E5751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1263" w:type="dxa"/>
          </w:tcPr>
          <w:p w14:paraId="21489B4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1418" w:type="dxa"/>
          </w:tcPr>
          <w:p w14:paraId="79793533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28" w:type="dxa"/>
          </w:tcPr>
          <w:p w14:paraId="39FAD9E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0426" w:type="dxa"/>
          </w:tcPr>
          <w:p w14:paraId="6785DD1D" w14:textId="77777777" w:rsidR="0032551A" w:rsidRPr="00842CD7" w:rsidRDefault="008D4678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 eyes (5.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3%)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pIOL re-enclavation (4 eyes (2.6%) after trauma in, 4 eyes (2.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6%) inadequate enclavation); 2 eyes (1,3%) retinal d</w:t>
            </w:r>
            <w:r w:rsidR="00F23AB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etach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ment (after 2 years); 27 eyes (17.9%) ACRS </w:t>
            </w:r>
          </w:p>
        </w:tc>
      </w:tr>
      <w:tr w:rsidR="00842CD7" w:rsidRPr="00842CD7" w14:paraId="4B933A9C" w14:textId="77777777" w:rsidTr="00842CD7">
        <w:trPr>
          <w:trHeight w:val="284"/>
          <w:jc w:val="center"/>
        </w:trPr>
        <w:tc>
          <w:tcPr>
            <w:tcW w:w="1258" w:type="dxa"/>
          </w:tcPr>
          <w:p w14:paraId="7DDBBA1A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Senthil et al.</w:t>
            </w:r>
          </w:p>
        </w:tc>
        <w:tc>
          <w:tcPr>
            <w:tcW w:w="883" w:type="dxa"/>
          </w:tcPr>
          <w:p w14:paraId="717F7D4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2006</w:t>
            </w:r>
          </w:p>
        </w:tc>
        <w:tc>
          <w:tcPr>
            <w:tcW w:w="1263" w:type="dxa"/>
          </w:tcPr>
          <w:p w14:paraId="42F5836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418" w:type="dxa"/>
          </w:tcPr>
          <w:p w14:paraId="5FBFD1D3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8" w:type="dxa"/>
          </w:tcPr>
          <w:p w14:paraId="5CE174B3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26" w:type="dxa"/>
          </w:tcPr>
          <w:p w14:paraId="5046EA31" w14:textId="77777777" w:rsidR="0032551A" w:rsidRPr="00842CD7" w:rsidRDefault="008D4678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 eye (1.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6%) pIOL explantation and trabeculectomy due to medically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uncontrolled glaucoma; 1 eye (1.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6%) pIOL reposi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tioning after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trauma ;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1 eye (1.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6%) pIOL explantation after trauma; note 0% retinal detachment but 100% </w:t>
            </w:r>
            <w:r w:rsidR="00F23AB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prophylactic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panretinal laser photocoagulation</w:t>
            </w:r>
          </w:p>
        </w:tc>
      </w:tr>
      <w:tr w:rsidR="00842CD7" w:rsidRPr="0032551A" w14:paraId="54A4D7DB" w14:textId="77777777" w:rsidTr="00842CD7">
        <w:trPr>
          <w:trHeight w:val="284"/>
          <w:jc w:val="center"/>
        </w:trPr>
        <w:tc>
          <w:tcPr>
            <w:tcW w:w="1258" w:type="dxa"/>
          </w:tcPr>
          <w:p w14:paraId="6A3C4038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Shajari et al.</w:t>
            </w:r>
          </w:p>
        </w:tc>
        <w:tc>
          <w:tcPr>
            <w:tcW w:w="883" w:type="dxa"/>
          </w:tcPr>
          <w:p w14:paraId="2478A47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2016</w:t>
            </w:r>
          </w:p>
        </w:tc>
        <w:tc>
          <w:tcPr>
            <w:tcW w:w="1263" w:type="dxa"/>
          </w:tcPr>
          <w:p w14:paraId="434A80A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418" w:type="dxa"/>
          </w:tcPr>
          <w:p w14:paraId="1C36B0E8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28" w:type="dxa"/>
          </w:tcPr>
          <w:p w14:paraId="792D8221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26" w:type="dxa"/>
          </w:tcPr>
          <w:p w14:paraId="61E621A0" w14:textId="77777777" w:rsidR="0032551A" w:rsidRPr="0032551A" w:rsidRDefault="008D4678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 eye (1.</w:t>
            </w:r>
            <w:r w:rsidR="0032551A" w:rsidRPr="0032551A">
              <w:rPr>
                <w:rFonts w:ascii="Times New Roman" w:hAnsi="Times New Roman" w:cs="Times New Roman"/>
                <w:sz w:val="14"/>
                <w:szCs w:val="14"/>
              </w:rPr>
              <w:t>1%) pIOL re-enclavation</w:t>
            </w:r>
          </w:p>
        </w:tc>
      </w:tr>
      <w:tr w:rsidR="00842CD7" w:rsidRPr="00842CD7" w14:paraId="2C13AF98" w14:textId="77777777" w:rsidTr="00842CD7">
        <w:trPr>
          <w:trHeight w:val="284"/>
          <w:jc w:val="center"/>
        </w:trPr>
        <w:tc>
          <w:tcPr>
            <w:tcW w:w="1258" w:type="dxa"/>
          </w:tcPr>
          <w:p w14:paraId="52F9D981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Silva et al.</w:t>
            </w:r>
          </w:p>
        </w:tc>
        <w:tc>
          <w:tcPr>
            <w:tcW w:w="883" w:type="dxa"/>
          </w:tcPr>
          <w:p w14:paraId="561A07BF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1263" w:type="dxa"/>
          </w:tcPr>
          <w:p w14:paraId="3FA81B1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418" w:type="dxa"/>
          </w:tcPr>
          <w:p w14:paraId="2F23AF4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028" w:type="dxa"/>
          </w:tcPr>
          <w:p w14:paraId="0708D912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0426" w:type="dxa"/>
          </w:tcPr>
          <w:p w14:paraId="797C2E93" w14:textId="77777777" w:rsidR="0032551A" w:rsidRPr="00842CD7" w:rsidRDefault="008D4678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 eye (3.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88%) pIOL explantation due to cataract; 1 eye (3.8%) pIOL was </w:t>
            </w:r>
            <w:r w:rsidR="00F23AB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explanted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due to glare/halo's</w:t>
            </w:r>
          </w:p>
        </w:tc>
      </w:tr>
      <w:tr w:rsidR="00842CD7" w:rsidRPr="00842CD7" w14:paraId="5E6A8FB4" w14:textId="77777777" w:rsidTr="00842CD7">
        <w:trPr>
          <w:trHeight w:val="284"/>
          <w:jc w:val="center"/>
        </w:trPr>
        <w:tc>
          <w:tcPr>
            <w:tcW w:w="1258" w:type="dxa"/>
          </w:tcPr>
          <w:p w14:paraId="0A442D2B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Stulting et al.</w:t>
            </w:r>
          </w:p>
        </w:tc>
        <w:tc>
          <w:tcPr>
            <w:tcW w:w="883" w:type="dxa"/>
          </w:tcPr>
          <w:p w14:paraId="74858104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1263" w:type="dxa"/>
          </w:tcPr>
          <w:p w14:paraId="40B371B6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1179</w:t>
            </w:r>
          </w:p>
        </w:tc>
        <w:tc>
          <w:tcPr>
            <w:tcW w:w="1418" w:type="dxa"/>
          </w:tcPr>
          <w:p w14:paraId="3F1E2550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028" w:type="dxa"/>
          </w:tcPr>
          <w:p w14:paraId="028A51DF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426" w:type="dxa"/>
          </w:tcPr>
          <w:p w14:paraId="0F738965" w14:textId="77777777" w:rsidR="0032551A" w:rsidRPr="00842CD7" w:rsidRDefault="008D4678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13 eyes (1.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1%) pIOL explantation (3 eyes (0.2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5%) nuclear cataract; 4 eyes (0.3%) trauma; 1 eye (0.08%) pupil&gt;optic; 3 eyes (0.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25%) inflammatory </w:t>
            </w:r>
            <w:r w:rsidR="00F23AB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response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; 2 eyes (0.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17%) patient request); 12 eyes 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(1.0%) pIOL exchange (8 eyes (0.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7%) pow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er calculation error, 2 eyes (0.2%) pupil&gt;optic; 2 eyes (0.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2%) inadequate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surgical fixation); 10 eyes (0.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8%)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pIOL re-enclavation (5 eyes (0.4%) trauma, 5 eyes (0.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4%) inadequate surgical fixation); 6 eyes retinal repai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rs (0.51%) (4 eyes (0.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3%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) retinal detachment, 2 eyes (0.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2%) macular hole)</w:t>
            </w:r>
          </w:p>
        </w:tc>
      </w:tr>
      <w:tr w:rsidR="00842CD7" w:rsidRPr="00842CD7" w14:paraId="3495431E" w14:textId="77777777" w:rsidTr="00842CD7">
        <w:trPr>
          <w:trHeight w:val="284"/>
          <w:jc w:val="center"/>
        </w:trPr>
        <w:tc>
          <w:tcPr>
            <w:tcW w:w="1258" w:type="dxa"/>
          </w:tcPr>
          <w:p w14:paraId="3917DD15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Tahzib et al.</w:t>
            </w:r>
          </w:p>
        </w:tc>
        <w:tc>
          <w:tcPr>
            <w:tcW w:w="883" w:type="dxa"/>
          </w:tcPr>
          <w:p w14:paraId="63894FA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2007</w:t>
            </w:r>
          </w:p>
        </w:tc>
        <w:tc>
          <w:tcPr>
            <w:tcW w:w="1263" w:type="dxa"/>
          </w:tcPr>
          <w:p w14:paraId="25C1E8DA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418" w:type="dxa"/>
          </w:tcPr>
          <w:p w14:paraId="1B0EC09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028" w:type="dxa"/>
          </w:tcPr>
          <w:p w14:paraId="1FFF7969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426" w:type="dxa"/>
          </w:tcPr>
          <w:p w14:paraId="26E18418" w14:textId="77777777" w:rsidR="0032551A" w:rsidRPr="00842CD7" w:rsidRDefault="008D4678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 eye (1.1%) ACRS; 2 eyes (2.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2%) pIOL explantation cataract (at 6 years FU)</w:t>
            </w:r>
          </w:p>
        </w:tc>
      </w:tr>
      <w:tr w:rsidR="00842CD7" w:rsidRPr="00842CD7" w14:paraId="46B34774" w14:textId="77777777" w:rsidTr="00842CD7">
        <w:trPr>
          <w:trHeight w:val="284"/>
          <w:jc w:val="center"/>
        </w:trPr>
        <w:tc>
          <w:tcPr>
            <w:tcW w:w="1258" w:type="dxa"/>
          </w:tcPr>
          <w:p w14:paraId="5D3CAACA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Titiyal, et al.</w:t>
            </w:r>
          </w:p>
        </w:tc>
        <w:tc>
          <w:tcPr>
            <w:tcW w:w="883" w:type="dxa"/>
          </w:tcPr>
          <w:p w14:paraId="7B70FFD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2012</w:t>
            </w:r>
          </w:p>
        </w:tc>
        <w:tc>
          <w:tcPr>
            <w:tcW w:w="1263" w:type="dxa"/>
          </w:tcPr>
          <w:p w14:paraId="3914C47C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418" w:type="dxa"/>
          </w:tcPr>
          <w:p w14:paraId="6CC2A4FB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028" w:type="dxa"/>
          </w:tcPr>
          <w:p w14:paraId="02402C85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  <w:r w:rsidR="008D4678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426" w:type="dxa"/>
          </w:tcPr>
          <w:p w14:paraId="72F89D31" w14:textId="77777777" w:rsidR="0032551A" w:rsidRPr="00842CD7" w:rsidRDefault="008D4678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20 eyes (23.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5%) pIOL repositio</w:t>
            </w:r>
            <w:r w:rsidR="00C3625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ning (12 eyes (14%) (risk of) </w:t>
            </w:r>
            <w:proofErr w:type="spellStart"/>
            <w:r w:rsidR="00C3625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senclavation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; 8 eyes (9.4%) after trauma); 1 eye (1.2%) EC-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loss;  2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eyes (2.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4%) retinal patholo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gy (1 eye (1.</w:t>
            </w:r>
            <w:r w:rsidR="00F23AB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2%) retinal detach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ment (after 3 months); 1 eye (1.</w:t>
            </w:r>
            <w:r w:rsidR="0032551A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2%) retinal tear (at 3 years FU)) </w:t>
            </w:r>
          </w:p>
        </w:tc>
      </w:tr>
      <w:tr w:rsidR="00842CD7" w:rsidRPr="0032551A" w14:paraId="442C4A48" w14:textId="77777777" w:rsidTr="00842CD7">
        <w:trPr>
          <w:trHeight w:val="284"/>
          <w:jc w:val="center"/>
        </w:trPr>
        <w:tc>
          <w:tcPr>
            <w:tcW w:w="1258" w:type="dxa"/>
          </w:tcPr>
          <w:p w14:paraId="66C91836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Yasa et al.</w:t>
            </w:r>
          </w:p>
        </w:tc>
        <w:tc>
          <w:tcPr>
            <w:tcW w:w="883" w:type="dxa"/>
          </w:tcPr>
          <w:p w14:paraId="4BB2BF1C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2014</w:t>
            </w:r>
          </w:p>
        </w:tc>
        <w:tc>
          <w:tcPr>
            <w:tcW w:w="1263" w:type="dxa"/>
          </w:tcPr>
          <w:p w14:paraId="235A79C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418" w:type="dxa"/>
          </w:tcPr>
          <w:p w14:paraId="60FF8523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8" w:type="dxa"/>
          </w:tcPr>
          <w:p w14:paraId="45A37D7C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26" w:type="dxa"/>
          </w:tcPr>
          <w:p w14:paraId="2C11DBDC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42CD7" w:rsidRPr="0032551A" w14:paraId="50327CFD" w14:textId="77777777" w:rsidTr="00842CD7">
        <w:trPr>
          <w:trHeight w:val="284"/>
          <w:jc w:val="center"/>
        </w:trPr>
        <w:tc>
          <w:tcPr>
            <w:tcW w:w="1258" w:type="dxa"/>
          </w:tcPr>
          <w:p w14:paraId="722A914F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Yuan et al.</w:t>
            </w:r>
          </w:p>
        </w:tc>
        <w:tc>
          <w:tcPr>
            <w:tcW w:w="883" w:type="dxa"/>
          </w:tcPr>
          <w:p w14:paraId="661565C7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2011</w:t>
            </w:r>
          </w:p>
        </w:tc>
        <w:tc>
          <w:tcPr>
            <w:tcW w:w="1263" w:type="dxa"/>
          </w:tcPr>
          <w:p w14:paraId="5DEE7AA7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418" w:type="dxa"/>
          </w:tcPr>
          <w:p w14:paraId="20E44012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28" w:type="dxa"/>
          </w:tcPr>
          <w:p w14:paraId="6F7ABF7D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0426" w:type="dxa"/>
          </w:tcPr>
          <w:p w14:paraId="53110D27" w14:textId="77777777" w:rsidR="0032551A" w:rsidRPr="0032551A" w:rsidRDefault="0032551A" w:rsidP="00B8772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32551A" w:rsidRPr="00842CD7" w14:paraId="48EC5134" w14:textId="77777777" w:rsidTr="0032551A">
        <w:trPr>
          <w:trHeight w:val="284"/>
          <w:jc w:val="center"/>
        </w:trPr>
        <w:tc>
          <w:tcPr>
            <w:tcW w:w="0" w:type="auto"/>
            <w:gridSpan w:val="6"/>
          </w:tcPr>
          <w:p w14:paraId="3BF1DE5C" w14:textId="77777777" w:rsidR="0032551A" w:rsidRPr="00842CD7" w:rsidRDefault="0032551A" w:rsidP="00B8772D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-= no data available; </w:t>
            </w:r>
            <w:r w:rsidR="00C3625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(IF)-</w:t>
            </w:r>
            <w:r w:rsidR="00C36259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pIOL=</w:t>
            </w:r>
            <w:r w:rsidR="00C3625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(iris-fixated) </w:t>
            </w:r>
            <w:r w:rsidR="00C36259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phakic intraocular lens</w:t>
            </w: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; EC=endothelial cell; ACRS=additional corneal refractive surgery; FU=follow-up; No.=number</w:t>
            </w:r>
          </w:p>
        </w:tc>
      </w:tr>
    </w:tbl>
    <w:p w14:paraId="2CF4134E" w14:textId="77777777" w:rsidR="00B44760" w:rsidRPr="00842CD7" w:rsidRDefault="00B44760">
      <w:pPr>
        <w:rPr>
          <w:lang w:val="en-US"/>
        </w:rPr>
      </w:pPr>
    </w:p>
    <w:tbl>
      <w:tblPr>
        <w:tblStyle w:val="TableGrid"/>
        <w:tblW w:w="16262" w:type="dxa"/>
        <w:jc w:val="center"/>
        <w:tblLook w:val="04A0" w:firstRow="1" w:lastRow="0" w:firstColumn="1" w:lastColumn="0" w:noHBand="0" w:noVBand="1"/>
      </w:tblPr>
      <w:tblGrid>
        <w:gridCol w:w="986"/>
        <w:gridCol w:w="886"/>
        <w:gridCol w:w="1281"/>
        <w:gridCol w:w="1394"/>
        <w:gridCol w:w="922"/>
        <w:gridCol w:w="10793"/>
      </w:tblGrid>
      <w:tr w:rsidR="000F5808" w:rsidRPr="00842CD7" w14:paraId="3FD93767" w14:textId="77777777" w:rsidTr="000F5808">
        <w:trPr>
          <w:trHeight w:val="284"/>
          <w:jc w:val="center"/>
        </w:trPr>
        <w:tc>
          <w:tcPr>
            <w:tcW w:w="0" w:type="auto"/>
            <w:gridSpan w:val="6"/>
          </w:tcPr>
          <w:p w14:paraId="2A9561E4" w14:textId="77777777" w:rsidR="000F5808" w:rsidRPr="00842CD7" w:rsidRDefault="000F5808" w:rsidP="00AD56B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42CD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lastRenderedPageBreak/>
              <w:t>Secondary Surgical Interventions in Hyperopic Eyes</w:t>
            </w:r>
            <w:r w:rsidR="00C3625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implanted with an IF-pIOL</w:t>
            </w:r>
          </w:p>
        </w:tc>
      </w:tr>
      <w:tr w:rsidR="00842CD7" w:rsidRPr="000F5808" w14:paraId="2F22CAF8" w14:textId="77777777" w:rsidTr="000F5808">
        <w:trPr>
          <w:trHeight w:val="284"/>
          <w:jc w:val="center"/>
        </w:trPr>
        <w:tc>
          <w:tcPr>
            <w:tcW w:w="0" w:type="auto"/>
          </w:tcPr>
          <w:p w14:paraId="0B2F4084" w14:textId="77777777" w:rsidR="00842CD7" w:rsidRPr="0032551A" w:rsidRDefault="00842CD7" w:rsidP="00842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Study</w:t>
            </w:r>
          </w:p>
        </w:tc>
        <w:tc>
          <w:tcPr>
            <w:tcW w:w="0" w:type="auto"/>
          </w:tcPr>
          <w:p w14:paraId="2ECAB01E" w14:textId="77777777" w:rsidR="00842CD7" w:rsidRPr="0032551A" w:rsidRDefault="00842CD7" w:rsidP="00842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Publication</w:t>
            </w:r>
          </w:p>
        </w:tc>
        <w:tc>
          <w:tcPr>
            <w:tcW w:w="0" w:type="auto"/>
          </w:tcPr>
          <w:p w14:paraId="30D3302A" w14:textId="77777777" w:rsidR="00842CD7" w:rsidRPr="0032551A" w:rsidRDefault="00842CD7" w:rsidP="00842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Total eyes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(count)</w:t>
            </w:r>
          </w:p>
        </w:tc>
        <w:tc>
          <w:tcPr>
            <w:tcW w:w="0" w:type="auto"/>
          </w:tcPr>
          <w:p w14:paraId="30EB76C1" w14:textId="77777777" w:rsidR="00842CD7" w:rsidRPr="0032551A" w:rsidRDefault="00842CD7" w:rsidP="00842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Eyes t</w:t>
            </w: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reated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(count)</w:t>
            </w:r>
          </w:p>
        </w:tc>
        <w:tc>
          <w:tcPr>
            <w:tcW w:w="0" w:type="auto"/>
          </w:tcPr>
          <w:p w14:paraId="54378621" w14:textId="77777777" w:rsidR="00842CD7" w:rsidRPr="0032551A" w:rsidRDefault="00842CD7" w:rsidP="00842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Treated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(%)</w:t>
            </w:r>
          </w:p>
        </w:tc>
        <w:tc>
          <w:tcPr>
            <w:tcW w:w="0" w:type="auto"/>
          </w:tcPr>
          <w:p w14:paraId="71218CC8" w14:textId="77777777" w:rsidR="00842CD7" w:rsidRPr="0032551A" w:rsidRDefault="00842CD7" w:rsidP="00842C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551A">
              <w:rPr>
                <w:rFonts w:ascii="Times New Roman" w:hAnsi="Times New Roman" w:cs="Times New Roman"/>
                <w:sz w:val="14"/>
                <w:szCs w:val="14"/>
              </w:rPr>
              <w:t>Reasons</w:t>
            </w:r>
          </w:p>
        </w:tc>
      </w:tr>
      <w:tr w:rsidR="000F5808" w:rsidRPr="00842CD7" w14:paraId="687B1DC1" w14:textId="77777777" w:rsidTr="000F5808">
        <w:trPr>
          <w:trHeight w:val="284"/>
          <w:jc w:val="center"/>
        </w:trPr>
        <w:tc>
          <w:tcPr>
            <w:tcW w:w="0" w:type="auto"/>
          </w:tcPr>
          <w:p w14:paraId="64D15EBD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Baikoff et al.</w:t>
            </w:r>
          </w:p>
        </w:tc>
        <w:tc>
          <w:tcPr>
            <w:tcW w:w="0" w:type="auto"/>
          </w:tcPr>
          <w:p w14:paraId="4F2C5FE9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2005</w:t>
            </w:r>
          </w:p>
        </w:tc>
        <w:tc>
          <w:tcPr>
            <w:tcW w:w="0" w:type="auto"/>
          </w:tcPr>
          <w:p w14:paraId="74685305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0" w:type="auto"/>
          </w:tcPr>
          <w:p w14:paraId="6145DDCD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</w:tcPr>
          <w:p w14:paraId="505AEC65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2.2</w:t>
            </w:r>
          </w:p>
        </w:tc>
        <w:tc>
          <w:tcPr>
            <w:tcW w:w="0" w:type="auto"/>
          </w:tcPr>
          <w:p w14:paraId="4B2BC03F" w14:textId="77777777" w:rsidR="000F5808" w:rsidRPr="00842CD7" w:rsidRDefault="000F5808" w:rsidP="00BF4DE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3 eyes (2.2%) explanted due to severe pigment dispersion</w:t>
            </w:r>
          </w:p>
        </w:tc>
      </w:tr>
      <w:tr w:rsidR="000F5808" w:rsidRPr="000F5808" w14:paraId="04E50723" w14:textId="77777777" w:rsidTr="000F5808">
        <w:trPr>
          <w:trHeight w:val="284"/>
          <w:jc w:val="center"/>
        </w:trPr>
        <w:tc>
          <w:tcPr>
            <w:tcW w:w="0" w:type="auto"/>
          </w:tcPr>
          <w:p w14:paraId="56317264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Qasem et al.</w:t>
            </w:r>
          </w:p>
        </w:tc>
        <w:tc>
          <w:tcPr>
            <w:tcW w:w="0" w:type="auto"/>
          </w:tcPr>
          <w:p w14:paraId="41FE5B24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0" w:type="auto"/>
          </w:tcPr>
          <w:p w14:paraId="55FB54BC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0" w:type="auto"/>
          </w:tcPr>
          <w:p w14:paraId="25EE9647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</w:tcPr>
          <w:p w14:paraId="4D07DD6F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28.6</w:t>
            </w:r>
          </w:p>
        </w:tc>
        <w:tc>
          <w:tcPr>
            <w:tcW w:w="0" w:type="auto"/>
          </w:tcPr>
          <w:p w14:paraId="41C6DBA4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4 eyes (28.6%) ACRS</w:t>
            </w:r>
          </w:p>
        </w:tc>
      </w:tr>
      <w:tr w:rsidR="000F5808" w:rsidRPr="00842CD7" w14:paraId="30DF7F30" w14:textId="77777777" w:rsidTr="000F5808">
        <w:trPr>
          <w:trHeight w:val="284"/>
          <w:jc w:val="center"/>
        </w:trPr>
        <w:tc>
          <w:tcPr>
            <w:tcW w:w="0" w:type="auto"/>
          </w:tcPr>
          <w:p w14:paraId="614F740C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Guell et al.</w:t>
            </w:r>
          </w:p>
        </w:tc>
        <w:tc>
          <w:tcPr>
            <w:tcW w:w="0" w:type="auto"/>
          </w:tcPr>
          <w:p w14:paraId="4023E240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2008</w:t>
            </w:r>
          </w:p>
        </w:tc>
        <w:tc>
          <w:tcPr>
            <w:tcW w:w="0" w:type="auto"/>
          </w:tcPr>
          <w:p w14:paraId="3BAB8EB0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0" w:type="auto"/>
          </w:tcPr>
          <w:p w14:paraId="3F8DBCD2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0" w:type="auto"/>
          </w:tcPr>
          <w:p w14:paraId="3B9197AF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</w:tcPr>
          <w:p w14:paraId="5B74F4C8" w14:textId="77777777" w:rsidR="000F5808" w:rsidRPr="00842CD7" w:rsidRDefault="000F5808" w:rsidP="00BF4DE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 eyes (4.9%) pIOL exchange due to residual refractive error; 17 (41.4%) eyes ACRS</w:t>
            </w:r>
          </w:p>
        </w:tc>
      </w:tr>
      <w:tr w:rsidR="000F5808" w:rsidRPr="00842CD7" w14:paraId="59B6DBCB" w14:textId="77777777" w:rsidTr="000F5808">
        <w:trPr>
          <w:trHeight w:val="284"/>
          <w:jc w:val="center"/>
        </w:trPr>
        <w:tc>
          <w:tcPr>
            <w:tcW w:w="0" w:type="auto"/>
          </w:tcPr>
          <w:p w14:paraId="091F28CF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Saxena et al.</w:t>
            </w:r>
          </w:p>
        </w:tc>
        <w:tc>
          <w:tcPr>
            <w:tcW w:w="0" w:type="auto"/>
          </w:tcPr>
          <w:p w14:paraId="0B6D54E9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2003</w:t>
            </w:r>
          </w:p>
        </w:tc>
        <w:tc>
          <w:tcPr>
            <w:tcW w:w="0" w:type="auto"/>
          </w:tcPr>
          <w:p w14:paraId="7C5F1B99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</w:tcPr>
          <w:p w14:paraId="67B2BC2F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</w:tcPr>
          <w:p w14:paraId="4EEA3DCD" w14:textId="77777777" w:rsidR="000F5808" w:rsidRPr="000F5808" w:rsidRDefault="000F5808" w:rsidP="00BF4D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5808">
              <w:rPr>
                <w:rFonts w:ascii="Times New Roman" w:hAnsi="Times New Roman" w:cs="Times New Roman"/>
                <w:sz w:val="14"/>
                <w:szCs w:val="14"/>
              </w:rPr>
              <w:t>7.7</w:t>
            </w:r>
          </w:p>
        </w:tc>
        <w:tc>
          <w:tcPr>
            <w:tcW w:w="0" w:type="auto"/>
          </w:tcPr>
          <w:p w14:paraId="0B51BC70" w14:textId="77777777" w:rsidR="000F5808" w:rsidRPr="00842CD7" w:rsidRDefault="008D4678" w:rsidP="00BF4DE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 eyes (7.</w:t>
            </w:r>
            <w:r w:rsidR="000F580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7%) pIOL explantation due to posterior synechiae and pigment cell deposits; 2 eyes </w:t>
            </w:r>
            <w:proofErr w:type="spellStart"/>
            <w:r w:rsidR="000F580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posteroir</w:t>
            </w:r>
            <w:proofErr w:type="spellEnd"/>
            <w:r w:rsidR="000F580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0F580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synnechiae</w:t>
            </w:r>
            <w:proofErr w:type="spellEnd"/>
            <w:r w:rsidR="000F580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and pigment cell without </w:t>
            </w:r>
            <w:r w:rsidR="00F23AB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consequences</w:t>
            </w:r>
            <w:r w:rsidR="000F580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(convex iris configuration)</w:t>
            </w:r>
          </w:p>
        </w:tc>
      </w:tr>
      <w:tr w:rsidR="000F5808" w:rsidRPr="00842CD7" w14:paraId="3D851734" w14:textId="77777777" w:rsidTr="000F5808">
        <w:trPr>
          <w:trHeight w:val="284"/>
          <w:jc w:val="center"/>
        </w:trPr>
        <w:tc>
          <w:tcPr>
            <w:tcW w:w="0" w:type="auto"/>
            <w:gridSpan w:val="6"/>
          </w:tcPr>
          <w:p w14:paraId="571AE30C" w14:textId="77777777" w:rsidR="000F5808" w:rsidRPr="00842CD7" w:rsidRDefault="00C36259" w:rsidP="00BF4DE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(IF)-</w:t>
            </w:r>
            <w:r w:rsidR="000F580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pIOL=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(iris-fixated) </w:t>
            </w:r>
            <w:r w:rsidR="000F5808" w:rsidRPr="00842CD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phakic intraocular lens; ACRS=additional cornea</w:t>
            </w:r>
            <w:r w:rsidR="00E23B3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l refractive surgery; </w:t>
            </w:r>
          </w:p>
        </w:tc>
      </w:tr>
    </w:tbl>
    <w:p w14:paraId="35D8098C" w14:textId="77777777" w:rsidR="000F5808" w:rsidRPr="00842CD7" w:rsidRDefault="000F5808">
      <w:pPr>
        <w:rPr>
          <w:lang w:val="en-US"/>
        </w:rPr>
      </w:pPr>
    </w:p>
    <w:sectPr w:rsidR="000F5808" w:rsidRPr="00842CD7" w:rsidSect="0032551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EAFA2" w14:textId="77777777" w:rsidR="00564DD0" w:rsidRDefault="00564DD0" w:rsidP="000F5808">
      <w:pPr>
        <w:spacing w:after="0" w:line="240" w:lineRule="auto"/>
      </w:pPr>
      <w:r>
        <w:separator/>
      </w:r>
    </w:p>
  </w:endnote>
  <w:endnote w:type="continuationSeparator" w:id="0">
    <w:p w14:paraId="15D5CFEB" w14:textId="77777777" w:rsidR="00564DD0" w:rsidRDefault="00564DD0" w:rsidP="000F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6955F" w14:textId="77777777" w:rsidR="00564DD0" w:rsidRDefault="00564DD0" w:rsidP="000F5808">
      <w:pPr>
        <w:spacing w:after="0" w:line="240" w:lineRule="auto"/>
      </w:pPr>
      <w:r>
        <w:separator/>
      </w:r>
    </w:p>
  </w:footnote>
  <w:footnote w:type="continuationSeparator" w:id="0">
    <w:p w14:paraId="3EBE88C8" w14:textId="77777777" w:rsidR="00564DD0" w:rsidRDefault="00564DD0" w:rsidP="000F5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CFB80" w14:textId="77777777" w:rsidR="000F5808" w:rsidRDefault="000F5808">
    <w:pPr>
      <w:pStyle w:val="Header"/>
    </w:pPr>
    <w:r>
      <w:t>APPENDIX</w:t>
    </w:r>
    <w:r w:rsidR="008D0324">
      <w:t xml:space="preserve">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1A"/>
    <w:rsid w:val="000F5808"/>
    <w:rsid w:val="0032551A"/>
    <w:rsid w:val="003A415E"/>
    <w:rsid w:val="00564DD0"/>
    <w:rsid w:val="00842CD7"/>
    <w:rsid w:val="008D0324"/>
    <w:rsid w:val="008D4678"/>
    <w:rsid w:val="00AA6461"/>
    <w:rsid w:val="00B146D2"/>
    <w:rsid w:val="00B44760"/>
    <w:rsid w:val="00C36259"/>
    <w:rsid w:val="00D05CCB"/>
    <w:rsid w:val="00E23B3F"/>
    <w:rsid w:val="00F2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ECDF"/>
  <w15:docId w15:val="{BDF27C98-797F-41A6-9481-990D7047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808"/>
  </w:style>
  <w:style w:type="paragraph" w:styleId="Footer">
    <w:name w:val="footer"/>
    <w:basedOn w:val="Normal"/>
    <w:link w:val="FooterChar"/>
    <w:uiPriority w:val="99"/>
    <w:unhideWhenUsed/>
    <w:rsid w:val="000F5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9E7B0DF1D546BB3F052D6DD2E400" ma:contentTypeVersion="10" ma:contentTypeDescription="Create a new document." ma:contentTypeScope="" ma:versionID="d969ae73269e7db3f9823a25c3b07299">
  <xsd:schema xmlns:xsd="http://www.w3.org/2001/XMLSchema" xmlns:xs="http://www.w3.org/2001/XMLSchema" xmlns:p="http://schemas.microsoft.com/office/2006/metadata/properties" xmlns:ns3="caac10ff-08b6-45c7-9644-418de635d619" targetNamespace="http://schemas.microsoft.com/office/2006/metadata/properties" ma:root="true" ma:fieldsID="ae9f0bbbdfc5bcb635c7a2160e776aee" ns3:_="">
    <xsd:import namespace="caac10ff-08b6-45c7-9644-418de635d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10ff-08b6-45c7-9644-418de635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EB8596-49B4-44F0-9CCD-1AAEFFB7A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10ff-08b6-45c7-9644-418de635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54E9A-268B-4551-8D1B-3B0C2F033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FE06A8-3CF3-4E54-A500-6CA5630DAFC6}">
  <ds:schemaRefs>
    <ds:schemaRef ds:uri="http://schemas.microsoft.com/office/2006/metadata/properties"/>
    <ds:schemaRef ds:uri="http://purl.org/dc/terms/"/>
    <ds:schemaRef ds:uri="caac10ff-08b6-45c7-9644-418de635d619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 van Rijn;_</dc:creator>
  <cp:lastModifiedBy>Miller, Margaret</cp:lastModifiedBy>
  <cp:revision>2</cp:revision>
  <dcterms:created xsi:type="dcterms:W3CDTF">2020-01-17T22:48:00Z</dcterms:created>
  <dcterms:modified xsi:type="dcterms:W3CDTF">2020-01-17T22:48:00Z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0x010100ABB09E7B0DF1D546BB3F052D6DD2E400</vt:lpwstr>
  </property>
</Properties>
</file>