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8007" w:type="dxa"/>
        <w:tblLayout w:type="fixed"/>
        <w:tblLook w:val="04A0" w:firstRow="1" w:lastRow="0" w:firstColumn="1" w:lastColumn="0" w:noHBand="0" w:noVBand="1"/>
      </w:tblPr>
      <w:tblGrid>
        <w:gridCol w:w="1901"/>
        <w:gridCol w:w="762"/>
        <w:gridCol w:w="763"/>
        <w:gridCol w:w="762"/>
        <w:gridCol w:w="762"/>
        <w:gridCol w:w="763"/>
        <w:gridCol w:w="762"/>
        <w:gridCol w:w="763"/>
        <w:gridCol w:w="769"/>
      </w:tblGrid>
      <w:tr w:rsidR="000504AD" w:rsidRPr="00CD0E5C" w:rsidTr="00262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Pr="00CD0E5C" w:rsidRDefault="000504AD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Reference</w:t>
            </w:r>
          </w:p>
          <w:p w:rsidR="000504AD" w:rsidRPr="00CD0E5C" w:rsidRDefault="000504AD" w:rsidP="00400A0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(year)</w:t>
            </w:r>
          </w:p>
        </w:tc>
        <w:tc>
          <w:tcPr>
            <w:tcW w:w="762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62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62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63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62" w:type="dxa"/>
          </w:tcPr>
          <w:p w:rsidR="000504AD" w:rsidRPr="00CD0E5C" w:rsidRDefault="000504AD" w:rsidP="000504AD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63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69" w:type="dxa"/>
          </w:tcPr>
          <w:p w:rsidR="000504AD" w:rsidRPr="00CD0E5C" w:rsidRDefault="000504AD" w:rsidP="00400A09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0504AD" w:rsidRPr="00CD0E5C" w:rsidTr="00262D2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Arazi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et al. </w:t>
            </w:r>
          </w:p>
          <w:p w:rsidR="000504AD" w:rsidRPr="00CD0E5C" w:rsidRDefault="00D735E5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(2015) [1</w:t>
            </w:r>
            <w:r w:rsidR="000504AD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762" w:type="dxa"/>
          </w:tcPr>
          <w:p w:rsidR="000504AD" w:rsidRPr="00CD0E5C" w:rsidRDefault="000A7A51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850079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763" w:type="dxa"/>
          </w:tcPr>
          <w:p w:rsidR="000504AD" w:rsidRPr="00CD0E5C" w:rsidRDefault="00850079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9" w:type="dxa"/>
          </w:tcPr>
          <w:p w:rsidR="000504AD" w:rsidRPr="00CD0E5C" w:rsidRDefault="000A7A51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Default="000504AD" w:rsidP="008E5EE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Bacon et al. </w:t>
            </w:r>
          </w:p>
          <w:p w:rsidR="000504AD" w:rsidRPr="00CD0E5C" w:rsidRDefault="00D735E5" w:rsidP="008E5EE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(2012) [2</w:t>
            </w:r>
            <w:r w:rsidR="000504AD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762" w:type="dxa"/>
          </w:tcPr>
          <w:p w:rsidR="000504AD" w:rsidRPr="00CD0E5C" w:rsidRDefault="003D2A87" w:rsidP="003D2A87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9" w:type="dxa"/>
          </w:tcPr>
          <w:p w:rsidR="000504AD" w:rsidRPr="00CD0E5C" w:rsidRDefault="003D2A87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0504AD" w:rsidRPr="00CD0E5C" w:rsidTr="00262D2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Batra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et al. </w:t>
            </w:r>
          </w:p>
          <w:p w:rsidR="000504AD" w:rsidRPr="00CD0E5C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(2013</w:t>
            </w: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  <w:lang w:val="en-US"/>
              </w:rPr>
              <w:t xml:space="preserve"> [4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9" w:type="dxa"/>
          </w:tcPr>
          <w:p w:rsidR="000504AD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Pr="00CB6475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Buskard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et al.</w:t>
            </w:r>
          </w:p>
          <w:p w:rsidR="000504AD" w:rsidRPr="00CD0E5C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(2017</w:t>
            </w:r>
            <w:r w:rsidRPr="00CB647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  <w:lang w:val="en-US"/>
              </w:rPr>
              <w:t xml:space="preserve"> [7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762" w:type="dxa"/>
          </w:tcPr>
          <w:p w:rsidR="000504AD" w:rsidRPr="00CD0E5C" w:rsidRDefault="007713A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850079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7713A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7713A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7713A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850079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9" w:type="dxa"/>
          </w:tcPr>
          <w:p w:rsidR="000504AD" w:rsidRPr="00CD0E5C" w:rsidRDefault="00850079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0504AD" w:rsidRPr="00CD0E5C" w:rsidTr="00262D2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735E5" w:rsidRPr="008E5EEB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5EEB">
              <w:rPr>
                <w:rFonts w:ascii="Arial" w:hAnsi="Arial" w:cs="Arial"/>
                <w:sz w:val="20"/>
                <w:szCs w:val="20"/>
              </w:rPr>
              <w:t>Caruso et al.</w:t>
            </w:r>
          </w:p>
          <w:p w:rsidR="000504AD" w:rsidRPr="00CD0E5C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</w:t>
            </w:r>
            <w:r w:rsidRPr="00CD0E5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[8]</w:t>
            </w:r>
          </w:p>
        </w:tc>
        <w:tc>
          <w:tcPr>
            <w:tcW w:w="762" w:type="dxa"/>
          </w:tcPr>
          <w:p w:rsidR="000504AD" w:rsidRPr="00CD0E5C" w:rsidRDefault="00E85FE0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E85FE0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762" w:type="dxa"/>
          </w:tcPr>
          <w:p w:rsidR="000504AD" w:rsidRPr="00CD0E5C" w:rsidRDefault="00E85FE0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E85FE0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E85FE0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2" w:type="dxa"/>
          </w:tcPr>
          <w:p w:rsidR="000504AD" w:rsidRPr="00CD0E5C" w:rsidRDefault="00E85FE0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3" w:type="dxa"/>
          </w:tcPr>
          <w:p w:rsidR="000504AD" w:rsidRPr="00CD0E5C" w:rsidRDefault="00D735E5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769" w:type="dxa"/>
          </w:tcPr>
          <w:p w:rsidR="000504AD" w:rsidRPr="00CD0E5C" w:rsidRDefault="00D735E5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735E5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Caruso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Coday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504AD" w:rsidRPr="00CD0E5C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(2008</w:t>
            </w:r>
            <w:r w:rsidRPr="00CD0E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[9]</w:t>
            </w:r>
          </w:p>
        </w:tc>
        <w:tc>
          <w:tcPr>
            <w:tcW w:w="762" w:type="dxa"/>
          </w:tcPr>
          <w:p w:rsidR="000504AD" w:rsidRPr="00CD0E5C" w:rsidRDefault="0015677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15677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15677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15677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15677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15677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D735E5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9" w:type="dxa"/>
          </w:tcPr>
          <w:p w:rsidR="000504AD" w:rsidRPr="00CD0E5C" w:rsidRDefault="00D735E5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Cometti et al.  </w:t>
            </w:r>
          </w:p>
          <w:p w:rsidR="000504AD" w:rsidRPr="00CD0E5C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</w:t>
            </w:r>
            <w:r w:rsidRPr="00CD0E5C">
              <w:rPr>
                <w:rFonts w:ascii="Arial" w:hAnsi="Arial" w:cs="Arial"/>
                <w:sz w:val="20"/>
                <w:szCs w:val="20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</w:rPr>
              <w:t xml:space="preserve"> [10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04AD" w:rsidRPr="00CD0E5C" w:rsidTr="00262D2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Corder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</w:p>
          <w:p w:rsidR="000504AD" w:rsidRPr="00CD0E5C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(2000</w:t>
            </w:r>
            <w:r w:rsidRPr="00CD0E5C">
              <w:rPr>
                <w:rFonts w:ascii="Arial" w:hAnsi="Arial" w:cs="Arial"/>
                <w:sz w:val="20"/>
                <w:szCs w:val="20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</w:rPr>
              <w:t xml:space="preserve"> [11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04AD" w:rsidRPr="00CD0E5C" w:rsidTr="00262D2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735E5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Galoza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AD" w:rsidRPr="00CD0E5C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</w:t>
            </w:r>
            <w:r w:rsidRPr="00CD0E5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[14]</w:t>
            </w:r>
          </w:p>
        </w:tc>
        <w:tc>
          <w:tcPr>
            <w:tcW w:w="762" w:type="dxa"/>
          </w:tcPr>
          <w:p w:rsidR="000504AD" w:rsidRPr="00CD0E5C" w:rsidRDefault="00D735E5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F20F4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0F20F4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735E5" w:rsidRPr="00CB6475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Garcia-Lopez</w:t>
            </w:r>
          </w:p>
          <w:p w:rsidR="000504AD" w:rsidRPr="00CD0E5C" w:rsidRDefault="00D735E5" w:rsidP="00D735E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</w:t>
            </w:r>
            <w:r w:rsidRPr="00CD0E5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[15]</w:t>
            </w:r>
          </w:p>
        </w:tc>
        <w:tc>
          <w:tcPr>
            <w:tcW w:w="762" w:type="dxa"/>
          </w:tcPr>
          <w:p w:rsidR="000504AD" w:rsidRPr="00CD0E5C" w:rsidRDefault="00D735E5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9676F8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02457F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04AD" w:rsidRPr="00CD0E5C" w:rsidTr="00262D2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Pr="00CB6475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Hannie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475">
              <w:rPr>
                <w:rFonts w:ascii="Arial" w:hAnsi="Arial" w:cs="Arial"/>
                <w:sz w:val="20"/>
                <w:szCs w:val="20"/>
              </w:rPr>
              <w:t xml:space="preserve">et al. </w:t>
            </w:r>
          </w:p>
          <w:p w:rsidR="000504AD" w:rsidRPr="00CD0E5C" w:rsidRDefault="00C86251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</w:t>
            </w:r>
            <w:r w:rsidR="000504AD" w:rsidRPr="00CD0E5C">
              <w:rPr>
                <w:rFonts w:ascii="Arial" w:hAnsi="Arial" w:cs="Arial"/>
                <w:sz w:val="20"/>
                <w:szCs w:val="20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</w:rPr>
              <w:t xml:space="preserve"> [18</w:t>
            </w:r>
            <w:r w:rsidR="000504A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805AE3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Pr="00CB6475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Kwon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</w:p>
          <w:p w:rsidR="000504AD" w:rsidRPr="00CD0E5C" w:rsidRDefault="00C86251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</w:t>
            </w:r>
            <w:r w:rsidR="000504AD" w:rsidRPr="00CD0E5C">
              <w:rPr>
                <w:rFonts w:ascii="Arial" w:hAnsi="Arial" w:cs="Arial"/>
                <w:sz w:val="20"/>
                <w:szCs w:val="20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</w:rPr>
              <w:t xml:space="preserve"> [23</w:t>
            </w:r>
            <w:r w:rsidR="000504A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0504AD" w:rsidRPr="00CD0E5C" w:rsidRDefault="000F20F4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0F20F4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04AD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0504AD" w:rsidRDefault="000504AD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Kwon</w:t>
            </w:r>
            <w:r w:rsidRPr="00CD0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475">
              <w:rPr>
                <w:rFonts w:ascii="Arial" w:hAnsi="Arial" w:cs="Arial"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AD" w:rsidRPr="00CD0E5C" w:rsidRDefault="00C86251" w:rsidP="000953D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</w:t>
            </w:r>
            <w:r w:rsidR="000504AD" w:rsidRPr="00CD0E5C">
              <w:rPr>
                <w:rFonts w:ascii="Arial" w:hAnsi="Arial" w:cs="Arial"/>
                <w:sz w:val="20"/>
                <w:szCs w:val="20"/>
              </w:rPr>
              <w:t>)</w:t>
            </w:r>
            <w:r w:rsidR="00D735E5">
              <w:rPr>
                <w:rFonts w:ascii="Arial" w:hAnsi="Arial" w:cs="Arial"/>
                <w:sz w:val="20"/>
                <w:szCs w:val="20"/>
              </w:rPr>
              <w:t xml:space="preserve"> [24</w:t>
            </w:r>
            <w:r w:rsidR="000504A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0504AD" w:rsidRPr="00CD0E5C" w:rsidRDefault="00396EBB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0504AD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Lopes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(2014) [25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B5437D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B5437D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 [26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Miranda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 [27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 [28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Monterio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 [31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Monteiro &amp; Neto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(2017) [32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Monteiro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 [33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Nasiri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 [34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Nasiri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 [35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B5437D" w:rsidP="00B5437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B5437D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Ouelette et al. </w:t>
            </w:r>
          </w:p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(2016) </w:t>
            </w:r>
            <w:r w:rsidR="00D735E5">
              <w:rPr>
                <w:rFonts w:ascii="Arial" w:hAnsi="Arial" w:cs="Arial"/>
                <w:sz w:val="20"/>
                <w:szCs w:val="20"/>
              </w:rPr>
              <w:t>[37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 [38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Rhea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(2009) [41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2D2A" w:rsidRPr="00CD0E5C" w:rsidTr="00262D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262D2A" w:rsidRDefault="00262D2A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Timon et al.</w:t>
            </w:r>
          </w:p>
          <w:p w:rsidR="00262D2A" w:rsidRDefault="00D735E5" w:rsidP="00262D2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 [50</w:t>
            </w:r>
            <w:r w:rsidR="00262D2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2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3" w:type="dxa"/>
          </w:tcPr>
          <w:p w:rsidR="00262D2A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69" w:type="dxa"/>
          </w:tcPr>
          <w:p w:rsidR="00262D2A" w:rsidRPr="00CD0E5C" w:rsidRDefault="00262D2A" w:rsidP="000953D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262D2A" w:rsidRDefault="00262D2A" w:rsidP="009503E1">
      <w:pPr>
        <w:pStyle w:val="Standard"/>
        <w:spacing w:line="360" w:lineRule="auto"/>
        <w:ind w:right="-1277"/>
        <w:jc w:val="both"/>
        <w:rPr>
          <w:rFonts w:ascii="Arial" w:hAnsi="Arial" w:cs="Arial"/>
          <w:b/>
          <w:sz w:val="20"/>
          <w:lang w:val="en-US"/>
        </w:rPr>
      </w:pPr>
    </w:p>
    <w:p w:rsidR="00DE05E0" w:rsidRDefault="006173FC" w:rsidP="009503E1">
      <w:pPr>
        <w:pStyle w:val="Standard"/>
        <w:spacing w:line="360" w:lineRule="auto"/>
        <w:ind w:right="-127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Electronic supplementary material S1</w:t>
      </w:r>
      <w:r w:rsidR="0041744A" w:rsidRPr="0041744A">
        <w:rPr>
          <w:rFonts w:ascii="Arial" w:hAnsi="Arial" w:cs="Arial"/>
          <w:b/>
          <w:sz w:val="20"/>
          <w:lang w:val="en-US"/>
        </w:rPr>
        <w:t xml:space="preserve"> </w:t>
      </w:r>
      <w:r w:rsidR="0041744A" w:rsidRPr="0041744A">
        <w:rPr>
          <w:rFonts w:ascii="Arial" w:hAnsi="Arial" w:cs="Arial"/>
          <w:sz w:val="20"/>
          <w:lang w:val="en-US"/>
        </w:rPr>
        <w:t xml:space="preserve">Pedro’s scale. </w:t>
      </w:r>
      <w:proofErr w:type="gramStart"/>
      <w:r w:rsidR="0041744A" w:rsidRPr="0041744A">
        <w:rPr>
          <w:rFonts w:ascii="Arial" w:hAnsi="Arial" w:cs="Arial"/>
          <w:sz w:val="20"/>
          <w:lang w:val="en-US"/>
        </w:rPr>
        <w:t>y</w:t>
      </w:r>
      <w:proofErr w:type="gramEnd"/>
      <w:r w:rsidR="0041744A" w:rsidRPr="0041744A">
        <w:rPr>
          <w:rFonts w:ascii="Arial" w:hAnsi="Arial" w:cs="Arial"/>
          <w:sz w:val="20"/>
          <w:lang w:val="en-US"/>
        </w:rPr>
        <w:t xml:space="preserve">: yes; n: no. </w:t>
      </w:r>
    </w:p>
    <w:p w:rsidR="00DE05E0" w:rsidRDefault="0041744A" w:rsidP="00DE05E0">
      <w:pPr>
        <w:pStyle w:val="Standard"/>
        <w:spacing w:line="360" w:lineRule="auto"/>
        <w:ind w:right="-1277"/>
        <w:jc w:val="both"/>
        <w:rPr>
          <w:rFonts w:ascii="Arial" w:hAnsi="Arial" w:cs="Arial"/>
          <w:sz w:val="20"/>
          <w:lang w:val="en-US"/>
        </w:rPr>
      </w:pPr>
      <w:r w:rsidRPr="0041744A">
        <w:rPr>
          <w:rFonts w:ascii="Arial" w:hAnsi="Arial" w:cs="Arial"/>
          <w:sz w:val="20"/>
          <w:lang w:val="en-US"/>
        </w:rPr>
        <w:t>2 = subjects were randomly allocated to groups (in a crossover study, subjects were randomly allocated and order in</w:t>
      </w:r>
      <w:r w:rsidR="00DE05E0">
        <w:rPr>
          <w:rFonts w:ascii="Arial" w:hAnsi="Arial" w:cs="Arial"/>
          <w:sz w:val="20"/>
          <w:lang w:val="en-US"/>
        </w:rPr>
        <w:t xml:space="preserve"> which treatments were received.</w:t>
      </w:r>
      <w:r w:rsidRPr="0041744A">
        <w:rPr>
          <w:rFonts w:ascii="Arial" w:hAnsi="Arial" w:cs="Arial"/>
          <w:sz w:val="20"/>
          <w:lang w:val="en-US"/>
        </w:rPr>
        <w:t xml:space="preserve"> </w:t>
      </w:r>
    </w:p>
    <w:p w:rsidR="00DE05E0" w:rsidRDefault="00DE05E0" w:rsidP="00DE05E0">
      <w:pPr>
        <w:pStyle w:val="Standard"/>
        <w:spacing w:line="360" w:lineRule="auto"/>
        <w:ind w:left="-1134" w:right="-1277" w:firstLine="113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 = allocation was concealed.</w:t>
      </w:r>
    </w:p>
    <w:p w:rsidR="00DE05E0" w:rsidRDefault="0041744A" w:rsidP="00DE05E0">
      <w:pPr>
        <w:pStyle w:val="Standard"/>
        <w:spacing w:line="360" w:lineRule="auto"/>
        <w:ind w:left="-1134" w:right="-1277" w:firstLine="1134"/>
        <w:jc w:val="both"/>
        <w:rPr>
          <w:rFonts w:ascii="Arial" w:hAnsi="Arial" w:cs="Arial"/>
          <w:sz w:val="20"/>
          <w:lang w:val="en-US"/>
        </w:rPr>
      </w:pPr>
      <w:r w:rsidRPr="0041744A">
        <w:rPr>
          <w:rFonts w:ascii="Arial" w:hAnsi="Arial" w:cs="Arial"/>
          <w:sz w:val="20"/>
          <w:lang w:val="en-US"/>
        </w:rPr>
        <w:t xml:space="preserve">4 = the groups were similar at baseline regarding the most </w:t>
      </w:r>
      <w:r w:rsidR="00DE05E0">
        <w:rPr>
          <w:rFonts w:ascii="Arial" w:hAnsi="Arial" w:cs="Arial"/>
          <w:sz w:val="20"/>
          <w:lang w:val="en-US"/>
        </w:rPr>
        <w:t>important prognostic indicators.</w:t>
      </w:r>
      <w:r w:rsidRPr="0041744A">
        <w:rPr>
          <w:rFonts w:ascii="Arial" w:hAnsi="Arial" w:cs="Arial"/>
          <w:sz w:val="20"/>
          <w:lang w:val="en-US"/>
        </w:rPr>
        <w:t xml:space="preserve"> </w:t>
      </w:r>
    </w:p>
    <w:p w:rsidR="00DE05E0" w:rsidRDefault="000504AD" w:rsidP="00DE05E0">
      <w:pPr>
        <w:pStyle w:val="Standard"/>
        <w:spacing w:line="360" w:lineRule="auto"/>
        <w:ind w:right="-127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41744A" w:rsidRPr="0041744A">
        <w:rPr>
          <w:rFonts w:ascii="Arial" w:hAnsi="Arial" w:cs="Arial"/>
          <w:sz w:val="20"/>
          <w:lang w:val="en-US"/>
        </w:rPr>
        <w:t xml:space="preserve"> = measures of at least one key outcome were obtained from more than 85% of the subjects</w:t>
      </w:r>
      <w:r w:rsidR="00DE05E0">
        <w:rPr>
          <w:rFonts w:ascii="Arial" w:hAnsi="Arial" w:cs="Arial"/>
          <w:sz w:val="20"/>
          <w:lang w:val="en-US"/>
        </w:rPr>
        <w:t xml:space="preserve"> initially allocated to groups.</w:t>
      </w:r>
    </w:p>
    <w:p w:rsidR="00DE05E0" w:rsidRDefault="000504AD" w:rsidP="000504AD">
      <w:pPr>
        <w:pStyle w:val="Standard"/>
        <w:spacing w:line="360" w:lineRule="auto"/>
        <w:ind w:right="-127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</w:t>
      </w:r>
      <w:r w:rsidR="0041744A" w:rsidRPr="0041744A">
        <w:rPr>
          <w:rFonts w:ascii="Arial" w:hAnsi="Arial" w:cs="Arial"/>
          <w:sz w:val="20"/>
          <w:lang w:val="en-US"/>
        </w:rPr>
        <w:t xml:space="preserve"> = all subjects from whom outcome measures were available received the treatment or control condition as allocated or, where this was not the case, data for at least one key outcome </w:t>
      </w:r>
      <w:r w:rsidR="00B750E4">
        <w:rPr>
          <w:rFonts w:ascii="Arial" w:hAnsi="Arial" w:cs="Arial"/>
          <w:sz w:val="20"/>
          <w:lang w:val="en-US"/>
        </w:rPr>
        <w:t xml:space="preserve">were </w:t>
      </w:r>
      <w:r w:rsidR="0041744A" w:rsidRPr="0041744A">
        <w:rPr>
          <w:rFonts w:ascii="Arial" w:hAnsi="Arial" w:cs="Arial"/>
          <w:sz w:val="20"/>
          <w:lang w:val="en-US"/>
        </w:rPr>
        <w:t>a</w:t>
      </w:r>
      <w:r w:rsidR="00DE05E0">
        <w:rPr>
          <w:rFonts w:ascii="Arial" w:hAnsi="Arial" w:cs="Arial"/>
          <w:sz w:val="20"/>
          <w:lang w:val="en-US"/>
        </w:rPr>
        <w:t>nalyzed by “intention to treat”.</w:t>
      </w:r>
      <w:r w:rsidR="0041744A" w:rsidRPr="0041744A">
        <w:rPr>
          <w:rFonts w:ascii="Arial" w:hAnsi="Arial" w:cs="Arial"/>
          <w:sz w:val="20"/>
          <w:lang w:val="en-US"/>
        </w:rPr>
        <w:t xml:space="preserve"> </w:t>
      </w:r>
    </w:p>
    <w:p w:rsidR="00DE05E0" w:rsidRDefault="000504AD" w:rsidP="00DE05E0">
      <w:pPr>
        <w:pStyle w:val="Standard"/>
        <w:spacing w:line="360" w:lineRule="auto"/>
        <w:ind w:left="-1134" w:right="-1277" w:firstLine="113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7</w:t>
      </w:r>
      <w:r w:rsidR="0041744A" w:rsidRPr="0041744A">
        <w:rPr>
          <w:rFonts w:ascii="Arial" w:hAnsi="Arial" w:cs="Arial"/>
          <w:sz w:val="20"/>
          <w:lang w:val="en-US"/>
        </w:rPr>
        <w:t xml:space="preserve"> = the results of between-group statistical comparisons </w:t>
      </w:r>
      <w:r w:rsidR="00B750E4">
        <w:rPr>
          <w:rFonts w:ascii="Arial" w:hAnsi="Arial" w:cs="Arial"/>
          <w:sz w:val="20"/>
          <w:lang w:val="en-US"/>
        </w:rPr>
        <w:t>were</w:t>
      </w:r>
      <w:r w:rsidR="0041744A" w:rsidRPr="0041744A">
        <w:rPr>
          <w:rFonts w:ascii="Arial" w:hAnsi="Arial" w:cs="Arial"/>
          <w:sz w:val="20"/>
          <w:lang w:val="en-US"/>
        </w:rPr>
        <w:t xml:space="preserve"> reporte</w:t>
      </w:r>
      <w:r w:rsidR="00DE05E0">
        <w:rPr>
          <w:rFonts w:ascii="Arial" w:hAnsi="Arial" w:cs="Arial"/>
          <w:sz w:val="20"/>
          <w:lang w:val="en-US"/>
        </w:rPr>
        <w:t>d for at least one key outcome.</w:t>
      </w:r>
    </w:p>
    <w:p w:rsidR="0041744A" w:rsidRPr="0041744A" w:rsidRDefault="000504AD" w:rsidP="00DE05E0">
      <w:pPr>
        <w:pStyle w:val="Standard"/>
        <w:spacing w:line="360" w:lineRule="auto"/>
        <w:ind w:left="-1134" w:right="-1277" w:firstLine="113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8</w:t>
      </w:r>
      <w:r w:rsidR="0041744A" w:rsidRPr="0041744A">
        <w:rPr>
          <w:rFonts w:ascii="Arial" w:hAnsi="Arial" w:cs="Arial"/>
          <w:sz w:val="20"/>
          <w:lang w:val="en-US"/>
        </w:rPr>
        <w:t xml:space="preserve"> = the study provide</w:t>
      </w:r>
      <w:r w:rsidR="00B750E4">
        <w:rPr>
          <w:rFonts w:ascii="Arial" w:hAnsi="Arial" w:cs="Arial"/>
          <w:sz w:val="20"/>
          <w:lang w:val="en-US"/>
        </w:rPr>
        <w:t>d</w:t>
      </w:r>
      <w:r w:rsidR="0041744A" w:rsidRPr="0041744A">
        <w:rPr>
          <w:rFonts w:ascii="Arial" w:hAnsi="Arial" w:cs="Arial"/>
          <w:sz w:val="20"/>
          <w:lang w:val="en-US"/>
        </w:rPr>
        <w:t xml:space="preserve"> both point measures and measures of variability for at least one key outcome.</w:t>
      </w:r>
    </w:p>
    <w:p w:rsidR="0041744A" w:rsidRPr="0041744A" w:rsidRDefault="0041744A" w:rsidP="0041744A">
      <w:pPr>
        <w:ind w:left="-1134" w:right="-1277"/>
        <w:rPr>
          <w:rFonts w:ascii="Arial" w:hAnsi="Arial" w:cs="Arial"/>
          <w:lang w:val="en-US"/>
        </w:rPr>
      </w:pPr>
    </w:p>
    <w:p w:rsidR="0041744A" w:rsidRPr="0041744A" w:rsidRDefault="0041744A" w:rsidP="0041744A">
      <w:pPr>
        <w:ind w:left="-1134" w:right="-1277"/>
        <w:rPr>
          <w:sz w:val="16"/>
          <w:lang w:val="en-US"/>
        </w:rPr>
      </w:pPr>
    </w:p>
    <w:sectPr w:rsidR="0041744A" w:rsidRPr="00417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C"/>
    <w:rsid w:val="0002457F"/>
    <w:rsid w:val="000504AD"/>
    <w:rsid w:val="000953D6"/>
    <w:rsid w:val="000A7A51"/>
    <w:rsid w:val="000F20F4"/>
    <w:rsid w:val="001118BC"/>
    <w:rsid w:val="001167C3"/>
    <w:rsid w:val="0014194C"/>
    <w:rsid w:val="00156773"/>
    <w:rsid w:val="00262D2A"/>
    <w:rsid w:val="002C3AB8"/>
    <w:rsid w:val="00355F84"/>
    <w:rsid w:val="00396EBB"/>
    <w:rsid w:val="003D2A87"/>
    <w:rsid w:val="00400A09"/>
    <w:rsid w:val="0041744A"/>
    <w:rsid w:val="005A0D58"/>
    <w:rsid w:val="006173FC"/>
    <w:rsid w:val="007713AF"/>
    <w:rsid w:val="00774CDE"/>
    <w:rsid w:val="00805AE3"/>
    <w:rsid w:val="00850079"/>
    <w:rsid w:val="008850A6"/>
    <w:rsid w:val="008E5EEB"/>
    <w:rsid w:val="008F5C1E"/>
    <w:rsid w:val="009503E1"/>
    <w:rsid w:val="009676F8"/>
    <w:rsid w:val="009A5554"/>
    <w:rsid w:val="009D131C"/>
    <w:rsid w:val="00B43FA5"/>
    <w:rsid w:val="00B5437D"/>
    <w:rsid w:val="00B750E4"/>
    <w:rsid w:val="00C86251"/>
    <w:rsid w:val="00CB6475"/>
    <w:rsid w:val="00CC455A"/>
    <w:rsid w:val="00CD0E5C"/>
    <w:rsid w:val="00D735E5"/>
    <w:rsid w:val="00DC7CBE"/>
    <w:rsid w:val="00DE05E0"/>
    <w:rsid w:val="00E85FE0"/>
    <w:rsid w:val="00EA5E5D"/>
    <w:rsid w:val="00ED0FEB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3910"/>
  <w15:chartTrackingRefBased/>
  <w15:docId w15:val="{700A6630-67D3-4580-BD2E-1A6BD655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9D131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character" w:customStyle="1" w:styleId="StandardChar">
    <w:name w:val="Standard Char"/>
    <w:basedOn w:val="DefaultParagraphFont"/>
    <w:link w:val="Standard"/>
    <w:rsid w:val="009D131C"/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table" w:styleId="GridTable1Light">
    <w:name w:val="Grid Table 1 Light"/>
    <w:basedOn w:val="TableNormal"/>
    <w:uiPriority w:val="46"/>
    <w:rsid w:val="00262D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cp:keywords/>
  <dc:description/>
  <cp:lastModifiedBy>Chris LATELLA</cp:lastModifiedBy>
  <cp:revision>2</cp:revision>
  <dcterms:created xsi:type="dcterms:W3CDTF">2018-04-23T02:34:00Z</dcterms:created>
  <dcterms:modified xsi:type="dcterms:W3CDTF">2018-04-23T02:34:00Z</dcterms:modified>
</cp:coreProperties>
</file>