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52CE1" w:rsidRPr="003C3BB3" w:rsidRDefault="00352CE1" w:rsidP="00352CE1">
      <w:pPr>
        <w:pStyle w:val="Heading2"/>
        <w:rPr>
          <w:i w:val="0"/>
          <w:sz w:val="22"/>
          <w:szCs w:val="22"/>
        </w:rPr>
      </w:pPr>
      <w:bookmarkStart w:id="0" w:name="_Toc241386219"/>
      <w:r>
        <w:rPr>
          <w:i w:val="0"/>
          <w:sz w:val="22"/>
          <w:szCs w:val="22"/>
          <w:u w:val="single"/>
        </w:rPr>
        <w:t>Supplementary Digital Content</w:t>
      </w:r>
      <w:r w:rsidR="00B96434">
        <w:rPr>
          <w:i w:val="0"/>
          <w:sz w:val="22"/>
          <w:szCs w:val="22"/>
          <w:u w:val="single"/>
        </w:rPr>
        <w:t xml:space="preserve"> 3</w:t>
      </w:r>
      <w:r w:rsidRPr="003C3BB3">
        <w:rPr>
          <w:i w:val="0"/>
          <w:sz w:val="22"/>
          <w:szCs w:val="22"/>
          <w:u w:val="single"/>
        </w:rPr>
        <w:t xml:space="preserve">: </w:t>
      </w:r>
      <w:r w:rsidRPr="003C3BB3">
        <w:rPr>
          <w:i w:val="0"/>
          <w:sz w:val="22"/>
          <w:szCs w:val="22"/>
        </w:rPr>
        <w:t>Procedure of Double Blind RCT Flow Chart</w:t>
      </w:r>
      <w:bookmarkEnd w:id="0"/>
    </w:p>
    <w:p w:rsidR="00352CE1" w:rsidRPr="003769F4" w:rsidRDefault="00F7488F" w:rsidP="00352CE1">
      <w:pPr>
        <w:pStyle w:val="EndnoteText"/>
      </w:pPr>
      <w:r>
        <w:rPr>
          <w:noProof/>
          <w:lang w:eastAsia="en-GB"/>
        </w:rPr>
        <w:pict>
          <v:shapetype id="_x0000_t32" coordsize="21600,21600" o:spt="32" o:oned="t" path="m0,0l21600,21600e" filled="f">
            <v:path arrowok="t" fillok="f" o:connecttype="none"/>
            <o:lock v:ext="edit" shapetype="t"/>
          </v:shapetype>
          <v:shape id="_x0000_s1026" type="#_x0000_t32" style="position:absolute;margin-left:105pt;margin-top:17.95pt;width:0;height:26.25pt;z-index:251660288" o:connectortype="straight">
            <v:stroke endarrow="block"/>
          </v:shape>
        </w:pict>
      </w:r>
      <w:r w:rsidR="00352CE1" w:rsidRPr="003769F4">
        <w:t>Referral from primary or secondary care</w:t>
      </w:r>
    </w:p>
    <w:p w:rsidR="00352CE1" w:rsidRPr="003769F4" w:rsidRDefault="00F7488F" w:rsidP="00352CE1">
      <w:pPr>
        <w:pStyle w:val="EndnoteText"/>
      </w:pPr>
      <w:r>
        <w:rPr>
          <w:noProof/>
          <w:lang w:eastAsia="en-GB"/>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36pt;margin-top:21.35pt;width:530pt;height:31.5pt;z-index:251668480">
            <v:fill opacity="0"/>
          </v:shape>
        </w:pict>
      </w:r>
    </w:p>
    <w:p w:rsidR="00352CE1" w:rsidRPr="003769F4" w:rsidRDefault="00F7488F" w:rsidP="00352CE1">
      <w:pPr>
        <w:pStyle w:val="EndnoteText"/>
      </w:pPr>
      <w:r>
        <w:rPr>
          <w:noProof/>
          <w:lang w:eastAsia="en-GB"/>
        </w:rPr>
        <w:pict>
          <v:shape id="_x0000_s1030" type="#_x0000_t32" style="position:absolute;margin-left:109.5pt;margin-top:32.15pt;width:243.75pt;height:30pt;z-index:251664384" o:connectortype="straight">
            <v:stroke endarrow="block"/>
          </v:shape>
        </w:pict>
      </w:r>
      <w:r>
        <w:rPr>
          <w:noProof/>
          <w:lang w:eastAsia="en-GB"/>
        </w:rPr>
        <w:pict>
          <v:shape id="_x0000_s1027" type="#_x0000_t32" style="position:absolute;margin-left:105pt;margin-top:27.65pt;width:0;height:30pt;z-index:251661312" o:connectortype="straight">
            <v:stroke endarrow="block"/>
          </v:shape>
        </w:pict>
      </w:r>
      <w:r w:rsidR="00352CE1">
        <w:t>Patient</w:t>
      </w:r>
      <w:r w:rsidR="00352CE1" w:rsidRPr="003769F4">
        <w:t xml:space="preserve"> meets entry criteria for study: chronic tendinopathy causing pain and dysfunction, failed conservative management, +/- previous steroid injection.</w:t>
      </w:r>
    </w:p>
    <w:p w:rsidR="00352CE1" w:rsidRPr="003769F4" w:rsidRDefault="00F7488F" w:rsidP="00352CE1">
      <w:pPr>
        <w:pStyle w:val="EndnoteText"/>
      </w:pPr>
      <w:r>
        <w:rPr>
          <w:noProof/>
          <w:lang w:eastAsia="en-GB"/>
        </w:rPr>
        <w:pict>
          <v:shape id="_x0000_s1036" type="#_x0000_t176" style="position:absolute;margin-left:353.25pt;margin-top:8.3pt;width:82.5pt;height:46.5pt;z-index:251670528" strokeweight="5pt">
            <v:fill opacity="0"/>
            <v:stroke linestyle="thickThin"/>
            <v:shadow color="#868686"/>
          </v:shape>
        </w:pict>
      </w:r>
      <w:r w:rsidR="00352CE1" w:rsidRPr="003769F4">
        <w:t xml:space="preserve">                                        Yes                                                                         No</w:t>
      </w:r>
    </w:p>
    <w:p w:rsidR="00352CE1" w:rsidRPr="003769F4" w:rsidRDefault="00F7488F" w:rsidP="00352CE1">
      <w:pPr>
        <w:pStyle w:val="EndnoteText"/>
      </w:pPr>
      <w:r>
        <w:rPr>
          <w:noProof/>
          <w:lang w:eastAsia="en-GB"/>
        </w:rPr>
        <w:pict>
          <v:shape id="_x0000_s1029" type="#_x0000_t32" style="position:absolute;margin-left:306pt;margin-top:12.75pt;width:47.25pt;height:0;z-index:251663360" o:connectortype="straight">
            <v:stroke endarrow="block"/>
          </v:shape>
        </w:pict>
      </w:r>
      <w:r>
        <w:rPr>
          <w:noProof/>
          <w:lang w:eastAsia="en-GB"/>
        </w:rPr>
        <w:pict>
          <v:shape id="_x0000_s1035" type="#_x0000_t176" style="position:absolute;margin-left:-3pt;margin-top:0;width:303.75pt;height:16.5pt;z-index:251669504" strokeweight="2.5pt">
            <v:fill opacity="0"/>
            <v:shadow color="#868686"/>
          </v:shape>
        </w:pict>
      </w:r>
      <w:r>
        <w:rPr>
          <w:noProof/>
          <w:lang w:eastAsia="en-GB"/>
        </w:rPr>
        <w:pict>
          <v:shape id="_x0000_s1028" type="#_x0000_t32" style="position:absolute;margin-left:51.75pt;margin-top:16.5pt;width:53.25pt;height:25.5pt;flip:x;z-index:251662336" o:connectortype="straight">
            <v:stroke endarrow="block"/>
          </v:shape>
        </w:pict>
      </w:r>
      <w:r w:rsidR="00352CE1" w:rsidRPr="003769F4">
        <w:t xml:space="preserve">Contraindications: allergic reaction, sepsis, anti-coagulants, pvd, age&lt;18.              Yes         Not for the study.          </w:t>
      </w:r>
    </w:p>
    <w:p w:rsidR="00352CE1" w:rsidRPr="003769F4" w:rsidRDefault="00F7488F" w:rsidP="00352CE1">
      <w:pPr>
        <w:pStyle w:val="EndnoteText"/>
      </w:pPr>
      <w:r>
        <w:rPr>
          <w:noProof/>
          <w:lang w:eastAsia="en-GB"/>
        </w:rPr>
        <w:pict>
          <v:shape id="_x0000_s1037" type="#_x0000_t176" style="position:absolute;margin-left:.75pt;margin-top:17.85pt;width:67.5pt;height:19.5pt;z-index:251671552">
            <v:fill opacity="0"/>
          </v:shape>
        </w:pict>
      </w:r>
      <w:r w:rsidR="00352CE1" w:rsidRPr="003769F4">
        <w:t xml:space="preserve">                                   No </w:t>
      </w:r>
    </w:p>
    <w:p w:rsidR="00352CE1" w:rsidRPr="003769F4" w:rsidRDefault="00F7488F" w:rsidP="00352CE1">
      <w:pPr>
        <w:pStyle w:val="EndnoteText"/>
      </w:pPr>
      <w:r>
        <w:rPr>
          <w:noProof/>
          <w:lang w:eastAsia="en-GB"/>
        </w:rPr>
        <w:pict>
          <v:shape id="_x0000_s1031" type="#_x0000_t32" style="position:absolute;margin-left:51.75pt;margin-top:13.45pt;width:0;height:32.25pt;z-index:251665408" o:connectortype="straight">
            <v:stroke endarrow="block"/>
          </v:shape>
        </w:pict>
      </w:r>
      <w:r w:rsidR="00352CE1" w:rsidRPr="003769F4">
        <w:t>Study explained.</w:t>
      </w:r>
    </w:p>
    <w:p w:rsidR="00352CE1" w:rsidRPr="003769F4" w:rsidRDefault="00352CE1" w:rsidP="00352CE1">
      <w:pPr>
        <w:pStyle w:val="EndnoteText"/>
      </w:pPr>
    </w:p>
    <w:p w:rsidR="00352CE1" w:rsidRPr="003769F4" w:rsidRDefault="00F7488F" w:rsidP="00352CE1">
      <w:pPr>
        <w:pStyle w:val="EndnoteText"/>
      </w:pPr>
      <w:r>
        <w:rPr>
          <w:noProof/>
          <w:lang w:eastAsia="en-GB"/>
        </w:rPr>
        <w:pict>
          <v:shape id="_x0000_s1039" type="#_x0000_t176" style="position:absolute;margin-left:-45pt;margin-top:1.05pt;width:567pt;height:333pt;z-index:251673600" fillcolor="#4bacc6" strokecolor="#f2f2f2" strokeweight="3pt">
            <v:fill opacity="0"/>
            <v:shadow on="t" type="perspective" color="#205867" opacity=".5" offset="1pt" offset2="-1pt"/>
          </v:shape>
        </w:pict>
      </w:r>
      <w:r w:rsidR="00352CE1" w:rsidRPr="003769F4">
        <w:t>Book into Research Clinic.</w:t>
      </w:r>
    </w:p>
    <w:p w:rsidR="00352CE1" w:rsidRPr="003769F4" w:rsidRDefault="00352CE1" w:rsidP="00352CE1">
      <w:pPr>
        <w:pStyle w:val="EndnoteText"/>
      </w:pPr>
      <w:r w:rsidRPr="003769F4">
        <w:t>Informed consent gained.</w:t>
      </w:r>
    </w:p>
    <w:p w:rsidR="00352CE1" w:rsidRPr="005C6DC8" w:rsidRDefault="00352CE1" w:rsidP="00352CE1">
      <w:pPr>
        <w:pStyle w:val="EndnoteText"/>
        <w:rPr>
          <w:lang w:val="fr-FR"/>
        </w:rPr>
      </w:pPr>
      <w:r w:rsidRPr="005C6DC8">
        <w:rPr>
          <w:lang w:val="fr-FR"/>
        </w:rPr>
        <w:t>Completion of questionnaires: McGill Pain Quest</w:t>
      </w:r>
      <w:r>
        <w:rPr>
          <w:lang w:val="fr-FR"/>
        </w:rPr>
        <w:t>ionnaire, VISA &amp; VAS Scores</w:t>
      </w:r>
      <w:r w:rsidRPr="005C6DC8">
        <w:rPr>
          <w:lang w:val="fr-FR"/>
        </w:rPr>
        <w:t>.</w:t>
      </w:r>
    </w:p>
    <w:p w:rsidR="00352CE1" w:rsidRPr="003769F4" w:rsidRDefault="00352CE1" w:rsidP="00352CE1">
      <w:pPr>
        <w:pStyle w:val="EndnoteText"/>
      </w:pPr>
      <w:r w:rsidRPr="003769F4">
        <w:t>Proceed to injection of chronic tendinopathy.</w:t>
      </w:r>
    </w:p>
    <w:p w:rsidR="00352CE1" w:rsidRPr="003769F4" w:rsidRDefault="00352CE1" w:rsidP="00352CE1">
      <w:pPr>
        <w:pStyle w:val="EndnoteText"/>
      </w:pPr>
      <w:r w:rsidRPr="003769F4">
        <w:t>Area of tendinopathy cleaned with chlorhexadine spray. Practitioner to wash hands and wear gloves.</w:t>
      </w:r>
    </w:p>
    <w:p w:rsidR="00352CE1" w:rsidRPr="003769F4" w:rsidRDefault="00352CE1" w:rsidP="00352CE1">
      <w:pPr>
        <w:pStyle w:val="EndnoteText"/>
      </w:pPr>
      <w:r w:rsidRPr="003769F4">
        <w:t>2ml of 1% lidocaine infiltrated into region.</w:t>
      </w:r>
    </w:p>
    <w:p w:rsidR="00352CE1" w:rsidRPr="003769F4" w:rsidRDefault="00352CE1" w:rsidP="00352CE1">
      <w:pPr>
        <w:pStyle w:val="EndnoteText"/>
      </w:pPr>
      <w:r w:rsidRPr="003769F4">
        <w:t>2ml of autologous blood taken from patient from opposite arm to site of tendinopathy under aseptic technique.</w:t>
      </w:r>
    </w:p>
    <w:p w:rsidR="00352CE1" w:rsidRPr="003769F4" w:rsidRDefault="00352CE1" w:rsidP="00352CE1">
      <w:pPr>
        <w:pStyle w:val="EndnoteText"/>
      </w:pPr>
      <w:r w:rsidRPr="003769F4">
        <w:t>Practitioner A leaves room with syringe of autologous blood, covers syringe to disguise contents using pre-prepared syringe covers. Also draws up 2ml of normal saline in an identical covered syringe. Randomisation program on computer deciphers if patient receives autologous blood or control substance of normal saline.</w:t>
      </w:r>
    </w:p>
    <w:p w:rsidR="00352CE1" w:rsidRPr="003769F4" w:rsidRDefault="00352CE1" w:rsidP="00352CE1">
      <w:pPr>
        <w:pStyle w:val="EndnoteText"/>
      </w:pPr>
      <w:r w:rsidRPr="003769F4">
        <w:t>Practioner A returns to room with covered syringe containing either autologous blood or normal saline. Practitioner B and patient are both blinded as to which substance is going to be injected. Practitioner B injects contents of syringe using aseptic technique via ultrasound guidance into chronic tendinopathy using a fenestration technique.</w:t>
      </w:r>
    </w:p>
    <w:p w:rsidR="00352CE1" w:rsidRPr="003769F4" w:rsidRDefault="00F7488F" w:rsidP="00352CE1">
      <w:pPr>
        <w:pStyle w:val="EndnoteText"/>
      </w:pPr>
      <w:r>
        <w:rPr>
          <w:noProof/>
          <w:lang w:eastAsia="en-GB"/>
        </w:rPr>
        <w:pict>
          <v:shape id="_x0000_s1032" type="#_x0000_t32" style="position:absolute;margin-left:80.25pt;margin-top:16.75pt;width:0;height:31.5pt;z-index:251666432" o:connectortype="straight">
            <v:stroke endarrow="block"/>
          </v:shape>
        </w:pict>
      </w:r>
      <w:r w:rsidR="00352CE1" w:rsidRPr="003769F4">
        <w:t>Patient remains in department for 20 minutes post injection in order to observe for any adverse reaction.</w:t>
      </w:r>
    </w:p>
    <w:p w:rsidR="00352CE1" w:rsidRPr="003769F4" w:rsidRDefault="00F7488F" w:rsidP="00352CE1">
      <w:pPr>
        <w:pStyle w:val="EndnoteText"/>
        <w:tabs>
          <w:tab w:val="left" w:pos="1890"/>
        </w:tabs>
      </w:pPr>
      <w:r>
        <w:rPr>
          <w:noProof/>
          <w:lang w:eastAsia="en-GB"/>
        </w:rPr>
        <w:pict>
          <v:shape id="_x0000_s1038" type="#_x0000_t176" style="position:absolute;margin-left:-27pt;margin-top:22.4pt;width:530pt;height:54.75pt;z-index:251672576" fillcolor="#f79646" strokecolor="#f2f2f2" strokeweight="3pt">
            <v:fill opacity="0"/>
            <v:shadow on="t" type="perspective" color="#974706" opacity=".5" offset="1pt" offset2="-1pt"/>
          </v:shape>
        </w:pict>
      </w:r>
      <w:r w:rsidR="00352CE1">
        <w:tab/>
      </w:r>
    </w:p>
    <w:p w:rsidR="00352CE1" w:rsidRPr="003769F4" w:rsidRDefault="00352CE1" w:rsidP="00352CE1">
      <w:pPr>
        <w:pStyle w:val="EndnoteText"/>
      </w:pPr>
      <w:r w:rsidRPr="003769F4">
        <w:t>Follow up at 6 weeks, 3 months, 6 months and 1 year.</w:t>
      </w:r>
    </w:p>
    <w:p w:rsidR="00352CE1" w:rsidRPr="003769F4" w:rsidRDefault="00F7488F" w:rsidP="00352CE1">
      <w:pPr>
        <w:pStyle w:val="EndnoteText"/>
      </w:pPr>
      <w:r>
        <w:rPr>
          <w:noProof/>
          <w:lang w:eastAsia="en-GB"/>
        </w:rPr>
        <w:pict>
          <v:shape id="_x0000_s1033" type="#_x0000_t32" style="position:absolute;margin-left:80.25pt;margin-top:30.9pt;width:0;height:30.75pt;z-index:251667456" o:connectortype="straight">
            <v:stroke endarrow="block"/>
          </v:shape>
        </w:pict>
      </w:r>
      <w:r w:rsidR="00352CE1" w:rsidRPr="003769F4">
        <w:t>At each follow up questionnaires repeated: McGill Pain Ques</w:t>
      </w:r>
      <w:r w:rsidR="00352CE1">
        <w:t>tionnaire, VISA &amp; VAS score</w:t>
      </w:r>
      <w:r w:rsidR="00352CE1" w:rsidRPr="003769F4">
        <w:t>.</w:t>
      </w:r>
    </w:p>
    <w:p w:rsidR="00352CE1" w:rsidRPr="003769F4" w:rsidRDefault="00352CE1" w:rsidP="00352CE1">
      <w:pPr>
        <w:pStyle w:val="EndnoteText"/>
      </w:pPr>
    </w:p>
    <w:p w:rsidR="00352CE1" w:rsidRDefault="00352CE1" w:rsidP="00352CE1">
      <w:pPr>
        <w:pStyle w:val="EndnoteText"/>
      </w:pPr>
    </w:p>
    <w:p w:rsidR="00DA504B" w:rsidRDefault="00352CE1" w:rsidP="00352CE1">
      <w:pPr>
        <w:pStyle w:val="EndnoteText"/>
      </w:pPr>
      <w:r w:rsidRPr="003769F4">
        <w:t>Discharge or further treatment as appropriate</w:t>
      </w:r>
    </w:p>
    <w:sectPr w:rsidR="00DA504B" w:rsidSect="00DA504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2CE1"/>
    <w:rsid w:val="00352CE1"/>
    <w:rsid w:val="00B96434"/>
    <w:rsid w:val="00F7488F"/>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_x0000_s1027"/>
        <o:r id="V:Rule10" type="connector" idref="#_x0000_s1030"/>
        <o:r id="V:Rule11" type="connector" idref="#_x0000_s1031"/>
        <o:r id="V:Rule12" type="connector" idref="#_x0000_s1033"/>
        <o:r id="V:Rule13" type="connector" idref="#_x0000_s1032"/>
        <o:r id="V:Rule14" type="connector" idref="#_x0000_s1029"/>
        <o:r id="V:Rule15" type="connector" idref="#_x0000_s1026"/>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C8"/>
  </w:style>
  <w:style w:type="paragraph" w:styleId="Heading2">
    <w:name w:val="heading 2"/>
    <w:basedOn w:val="Normal"/>
    <w:next w:val="Normal"/>
    <w:link w:val="Heading2Char"/>
    <w:uiPriority w:val="99"/>
    <w:qFormat/>
    <w:rsid w:val="00352CE1"/>
    <w:pPr>
      <w:keepNext/>
      <w:spacing w:before="240" w:after="60" w:line="276" w:lineRule="auto"/>
      <w:outlineLvl w:val="1"/>
    </w:pPr>
    <w:rPr>
      <w:rFonts w:ascii="Cambria" w:eastAsia="Calibri" w:hAnsi="Cambria" w:cs="Times New Roman"/>
      <w:b/>
      <w:i/>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352CE1"/>
    <w:rPr>
      <w:rFonts w:ascii="Cambria" w:eastAsia="Calibri" w:hAnsi="Cambria" w:cs="Times New Roman"/>
      <w:b/>
      <w:i/>
      <w:sz w:val="28"/>
      <w:szCs w:val="20"/>
    </w:rPr>
  </w:style>
  <w:style w:type="paragraph" w:styleId="EndnoteText">
    <w:name w:val="endnote text"/>
    <w:basedOn w:val="Normal"/>
    <w:link w:val="EndnoteTextChar"/>
    <w:uiPriority w:val="99"/>
    <w:rsid w:val="00352CE1"/>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52CE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Macintosh Word</Application>
  <DocSecurity>0</DocSecurity>
  <Lines>13</Lines>
  <Paragraphs>3</Paragraphs>
  <ScaleCrop>false</ScaleCrop>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Tamim Khanbhai</dc:creator>
  <cp:keywords/>
  <cp:lastModifiedBy>Tamim Khanbhai</cp:lastModifiedBy>
  <cp:revision>2</cp:revision>
  <dcterms:created xsi:type="dcterms:W3CDTF">2014-05-04T12:33:00Z</dcterms:created>
  <dcterms:modified xsi:type="dcterms:W3CDTF">2014-05-06T12:55:00Z</dcterms:modified>
</cp:coreProperties>
</file>