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0A4" w:rsidRPr="00A21238" w:rsidRDefault="004010A4" w:rsidP="004010A4">
      <w:pPr>
        <w:jc w:val="center"/>
        <w:rPr>
          <w:rFonts w:ascii="Century Gothic" w:hAnsi="Century Gothic"/>
          <w:b/>
          <w:sz w:val="36"/>
          <w:szCs w:val="36"/>
        </w:rPr>
      </w:pPr>
      <w:r w:rsidRPr="00A21238">
        <w:rPr>
          <w:rFonts w:cs="Helvetica"/>
          <w:b/>
          <w:bCs/>
          <w:sz w:val="36"/>
          <w:szCs w:val="36"/>
        </w:rPr>
        <w:t>Supplemental Digital Content*</w:t>
      </w:r>
    </w:p>
    <w:p w:rsidR="004010A4" w:rsidRPr="00A21238" w:rsidRDefault="004010A4" w:rsidP="00824E08">
      <w:pPr>
        <w:rPr>
          <w:rFonts w:ascii="Century Gothic" w:hAnsi="Century Gothic"/>
          <w:b/>
          <w:sz w:val="20"/>
          <w:szCs w:val="20"/>
        </w:rPr>
      </w:pPr>
    </w:p>
    <w:p w:rsidR="0021599D" w:rsidRPr="00A21238" w:rsidRDefault="00EA0BF8" w:rsidP="00824E08">
      <w:pPr>
        <w:rPr>
          <w:rFonts w:ascii="Century Gothic" w:hAnsi="Century Gothic"/>
          <w:b/>
          <w:sz w:val="20"/>
          <w:szCs w:val="20"/>
        </w:rPr>
      </w:pPr>
      <w:r w:rsidRPr="00A21238">
        <w:rPr>
          <w:b/>
          <w:sz w:val="32"/>
          <w:szCs w:val="32"/>
        </w:rPr>
        <w:t>Molecular Testing Guideline for Selection of Lung Cancer Patients for EGFR and ALK Tyrosine Kinase Inhibitors</w:t>
      </w:r>
      <w:r w:rsidR="00846E13" w:rsidRPr="00A21238">
        <w:rPr>
          <w:b/>
          <w:sz w:val="32"/>
          <w:szCs w:val="32"/>
        </w:rPr>
        <w:t xml:space="preserve">: </w:t>
      </w:r>
      <w:r w:rsidR="009655E0" w:rsidRPr="00A21238">
        <w:rPr>
          <w:b/>
          <w:sz w:val="32"/>
          <w:szCs w:val="32"/>
        </w:rPr>
        <w:t xml:space="preserve">Guideline from the </w:t>
      </w:r>
      <w:r w:rsidR="00846E13" w:rsidRPr="00A21238">
        <w:rPr>
          <w:b/>
          <w:sz w:val="32"/>
          <w:szCs w:val="32"/>
        </w:rPr>
        <w:t xml:space="preserve">College of American Pathologists, International Association for the Study of Lung Cancer and the Association for Molecular Pathology  </w:t>
      </w:r>
    </w:p>
    <w:p w:rsidR="009613F6" w:rsidRPr="00A21238" w:rsidRDefault="009613F6" w:rsidP="009613F6">
      <w:pPr>
        <w:rPr>
          <w:rFonts w:ascii="Century Gothic" w:hAnsi="Century Gothic"/>
          <w:b/>
          <w:sz w:val="20"/>
          <w:szCs w:val="20"/>
        </w:rPr>
      </w:pPr>
    </w:p>
    <w:p w:rsidR="009613F6" w:rsidRPr="00FC232E" w:rsidRDefault="009613F6" w:rsidP="009613F6">
      <w:pPr>
        <w:rPr>
          <w:b/>
          <w:sz w:val="22"/>
          <w:szCs w:val="22"/>
        </w:rPr>
      </w:pPr>
      <w:r w:rsidRPr="00FC232E">
        <w:rPr>
          <w:b/>
          <w:sz w:val="22"/>
          <w:szCs w:val="22"/>
        </w:rPr>
        <w:t>Panel Composition</w:t>
      </w:r>
    </w:p>
    <w:p w:rsidR="009613F6" w:rsidRPr="00FC232E" w:rsidRDefault="009613F6" w:rsidP="009613F6">
      <w:pPr>
        <w:rPr>
          <w:b/>
          <w:bCs/>
          <w:sz w:val="22"/>
          <w:szCs w:val="22"/>
        </w:rPr>
      </w:pPr>
      <w:r w:rsidRPr="00FC232E">
        <w:rPr>
          <w:b/>
          <w:bCs/>
          <w:sz w:val="22"/>
          <w:szCs w:val="22"/>
        </w:rPr>
        <w:t>Conflict of Interest (COI)</w:t>
      </w:r>
      <w:r w:rsidR="00A923EA" w:rsidRPr="00FC232E">
        <w:rPr>
          <w:b/>
          <w:bCs/>
          <w:sz w:val="22"/>
          <w:szCs w:val="22"/>
        </w:rPr>
        <w:t xml:space="preserve"> Policy</w:t>
      </w:r>
    </w:p>
    <w:p w:rsidR="009613F6" w:rsidRPr="00FC232E" w:rsidRDefault="009613F6" w:rsidP="009613F6">
      <w:pPr>
        <w:rPr>
          <w:b/>
          <w:bCs/>
          <w:sz w:val="22"/>
          <w:szCs w:val="22"/>
        </w:rPr>
      </w:pPr>
      <w:r w:rsidRPr="00FC232E">
        <w:rPr>
          <w:b/>
          <w:bCs/>
          <w:sz w:val="22"/>
          <w:szCs w:val="22"/>
        </w:rPr>
        <w:t>Methods</w:t>
      </w:r>
      <w:r w:rsidR="00A923EA" w:rsidRPr="00FC232E">
        <w:rPr>
          <w:b/>
          <w:bCs/>
          <w:sz w:val="22"/>
          <w:szCs w:val="22"/>
        </w:rPr>
        <w:t xml:space="preserve"> Used to Produce Guideline</w:t>
      </w:r>
    </w:p>
    <w:p w:rsidR="009613F6" w:rsidRPr="00FC232E" w:rsidRDefault="009613F6" w:rsidP="009613F6">
      <w:pPr>
        <w:rPr>
          <w:b/>
          <w:bCs/>
          <w:sz w:val="22"/>
          <w:szCs w:val="22"/>
        </w:rPr>
      </w:pPr>
      <w:r w:rsidRPr="00FC232E">
        <w:rPr>
          <w:b/>
          <w:bCs/>
          <w:sz w:val="22"/>
          <w:szCs w:val="22"/>
        </w:rPr>
        <w:t>Evidence</w:t>
      </w:r>
    </w:p>
    <w:p w:rsidR="009613F6" w:rsidRPr="00FC232E" w:rsidRDefault="009613F6" w:rsidP="009613F6">
      <w:pPr>
        <w:rPr>
          <w:b/>
          <w:bCs/>
          <w:sz w:val="22"/>
          <w:szCs w:val="22"/>
        </w:rPr>
      </w:pPr>
      <w:r w:rsidRPr="00FC232E">
        <w:rPr>
          <w:b/>
          <w:bCs/>
          <w:sz w:val="22"/>
          <w:szCs w:val="22"/>
        </w:rPr>
        <w:t>References</w:t>
      </w:r>
    </w:p>
    <w:p w:rsidR="009613F6" w:rsidRPr="00FC232E" w:rsidRDefault="00C5591E" w:rsidP="009613F6">
      <w:pPr>
        <w:rPr>
          <w:b/>
          <w:sz w:val="22"/>
          <w:szCs w:val="22"/>
        </w:rPr>
      </w:pPr>
      <w:r>
        <w:rPr>
          <w:b/>
          <w:bCs/>
          <w:sz w:val="22"/>
          <w:szCs w:val="22"/>
        </w:rPr>
        <w:t>Figure 1</w:t>
      </w:r>
    </w:p>
    <w:p w:rsidR="00F20C8B" w:rsidRPr="00A21238" w:rsidRDefault="00F20C8B" w:rsidP="00104E08">
      <w:pPr>
        <w:spacing w:before="60" w:after="60"/>
        <w:rPr>
          <w:rFonts w:ascii="Century Gothic" w:hAnsi="Century Gothic" w:cs="Arial"/>
          <w:b/>
          <w:bCs/>
          <w:sz w:val="20"/>
          <w:szCs w:val="20"/>
        </w:rPr>
      </w:pPr>
    </w:p>
    <w:p w:rsidR="005B1BC6" w:rsidRPr="00FC232E" w:rsidRDefault="005B1BC6" w:rsidP="00104E08">
      <w:pPr>
        <w:spacing w:before="60" w:after="60"/>
        <w:rPr>
          <w:b/>
          <w:bCs/>
          <w:sz w:val="22"/>
          <w:szCs w:val="22"/>
        </w:rPr>
      </w:pPr>
      <w:r w:rsidRPr="00FC232E">
        <w:rPr>
          <w:b/>
          <w:bCs/>
          <w:sz w:val="22"/>
          <w:szCs w:val="22"/>
        </w:rPr>
        <w:t>Panel Composition</w:t>
      </w:r>
    </w:p>
    <w:p w:rsidR="00104E08" w:rsidRPr="00FC232E" w:rsidRDefault="00307664" w:rsidP="00307664">
      <w:pPr>
        <w:spacing w:before="60" w:after="60"/>
        <w:rPr>
          <w:bCs/>
          <w:sz w:val="22"/>
          <w:szCs w:val="22"/>
        </w:rPr>
      </w:pPr>
      <w:r w:rsidRPr="00FC232E">
        <w:rPr>
          <w:sz w:val="22"/>
          <w:szCs w:val="22"/>
        </w:rPr>
        <w:t xml:space="preserve">The </w:t>
      </w:r>
      <w:r w:rsidR="007F34E3" w:rsidRPr="00FC232E">
        <w:rPr>
          <w:sz w:val="22"/>
          <w:szCs w:val="22"/>
        </w:rPr>
        <w:t>College of American Pathologists’</w:t>
      </w:r>
      <w:r w:rsidRPr="00FC232E">
        <w:rPr>
          <w:sz w:val="22"/>
          <w:szCs w:val="22"/>
        </w:rPr>
        <w:t xml:space="preserve"> Pathology and Laboratory Quality Center, and representatives from the </w:t>
      </w:r>
      <w:r w:rsidR="007F34E3" w:rsidRPr="00FC232E">
        <w:rPr>
          <w:sz w:val="22"/>
          <w:szCs w:val="22"/>
        </w:rPr>
        <w:t>International Association for the Study of Lung Cancer</w:t>
      </w:r>
      <w:r w:rsidRPr="00FC232E">
        <w:rPr>
          <w:sz w:val="22"/>
          <w:szCs w:val="22"/>
        </w:rPr>
        <w:t xml:space="preserve"> and </w:t>
      </w:r>
      <w:r w:rsidR="007F34E3" w:rsidRPr="00FC232E">
        <w:rPr>
          <w:sz w:val="22"/>
          <w:szCs w:val="22"/>
        </w:rPr>
        <w:t xml:space="preserve">Association for Molecular Pathology </w:t>
      </w:r>
      <w:r w:rsidRPr="00FC232E">
        <w:rPr>
          <w:sz w:val="22"/>
          <w:szCs w:val="22"/>
        </w:rPr>
        <w:t xml:space="preserve">jointly convened an expert author panel and scientific advisory panel consisting of experts in clinical pathology and oncology, and research </w:t>
      </w:r>
      <w:r w:rsidR="00013BEC">
        <w:rPr>
          <w:sz w:val="22"/>
          <w:szCs w:val="22"/>
        </w:rPr>
        <w:t>and</w:t>
      </w:r>
      <w:r w:rsidRPr="00FC232E">
        <w:rPr>
          <w:sz w:val="22"/>
          <w:szCs w:val="22"/>
        </w:rPr>
        <w:t xml:space="preserve"> development relevant to molecular testing in </w:t>
      </w:r>
      <w:r w:rsidR="00890DF2" w:rsidRPr="00FC232E">
        <w:rPr>
          <w:sz w:val="22"/>
          <w:szCs w:val="22"/>
        </w:rPr>
        <w:t>non-small cell lung cancer (</w:t>
      </w:r>
      <w:r w:rsidRPr="00FC232E">
        <w:rPr>
          <w:sz w:val="22"/>
          <w:szCs w:val="22"/>
        </w:rPr>
        <w:t>NSCLC</w:t>
      </w:r>
      <w:r w:rsidR="00890DF2" w:rsidRPr="00FC232E">
        <w:rPr>
          <w:sz w:val="22"/>
          <w:szCs w:val="22"/>
        </w:rPr>
        <w:t>)</w:t>
      </w:r>
      <w:r w:rsidRPr="00FC232E">
        <w:rPr>
          <w:sz w:val="22"/>
          <w:szCs w:val="22"/>
        </w:rPr>
        <w:t xml:space="preserve">.  </w:t>
      </w:r>
      <w:r w:rsidRPr="00FC232E">
        <w:rPr>
          <w:bCs/>
          <w:sz w:val="22"/>
          <w:szCs w:val="22"/>
        </w:rPr>
        <w:t xml:space="preserve">Members included representatives from all three organizations.  All three organizations utilized their respective organization’s approval processes in formal review and appointment of the project, steering committee, expert panel co-chairs, expert panel members and advisory panel. </w:t>
      </w:r>
      <w:r w:rsidR="00965B2B" w:rsidRPr="00FC232E">
        <w:rPr>
          <w:bCs/>
          <w:sz w:val="22"/>
          <w:szCs w:val="22"/>
        </w:rPr>
        <w:t xml:space="preserve">The </w:t>
      </w:r>
      <w:r w:rsidR="00965B2B" w:rsidRPr="00FC232E">
        <w:rPr>
          <w:sz w:val="22"/>
          <w:szCs w:val="22"/>
        </w:rPr>
        <w:t>s</w:t>
      </w:r>
      <w:r w:rsidR="00900BFB" w:rsidRPr="00FC232E">
        <w:rPr>
          <w:sz w:val="22"/>
          <w:szCs w:val="22"/>
        </w:rPr>
        <w:t>tee</w:t>
      </w:r>
      <w:r w:rsidR="00965B2B" w:rsidRPr="00FC232E">
        <w:rPr>
          <w:sz w:val="22"/>
          <w:szCs w:val="22"/>
        </w:rPr>
        <w:t xml:space="preserve">ring committee provided guidance for the December conference and oversight for the entire project. </w:t>
      </w:r>
      <w:r w:rsidR="00AF5CEB" w:rsidRPr="00FC232E">
        <w:rPr>
          <w:sz w:val="22"/>
          <w:szCs w:val="22"/>
        </w:rPr>
        <w:t>Expert panel</w:t>
      </w:r>
      <w:r w:rsidR="00900BFB" w:rsidRPr="00FC232E">
        <w:rPr>
          <w:sz w:val="22"/>
          <w:szCs w:val="22"/>
        </w:rPr>
        <w:t xml:space="preserve"> </w:t>
      </w:r>
      <w:r w:rsidR="00965B2B" w:rsidRPr="00FC232E">
        <w:rPr>
          <w:sz w:val="22"/>
          <w:szCs w:val="22"/>
        </w:rPr>
        <w:t>members r</w:t>
      </w:r>
      <w:r w:rsidR="00104E08" w:rsidRPr="00FC232E">
        <w:rPr>
          <w:sz w:val="22"/>
          <w:szCs w:val="22"/>
        </w:rPr>
        <w:t>eview</w:t>
      </w:r>
      <w:r w:rsidR="00965B2B" w:rsidRPr="00FC232E">
        <w:rPr>
          <w:sz w:val="22"/>
          <w:szCs w:val="22"/>
        </w:rPr>
        <w:t>ed</w:t>
      </w:r>
      <w:r w:rsidR="00104E08" w:rsidRPr="00FC232E">
        <w:rPr>
          <w:sz w:val="22"/>
          <w:szCs w:val="22"/>
        </w:rPr>
        <w:t xml:space="preserve"> the literature</w:t>
      </w:r>
      <w:r w:rsidR="00965B2B" w:rsidRPr="00FC232E">
        <w:rPr>
          <w:sz w:val="22"/>
          <w:szCs w:val="22"/>
        </w:rPr>
        <w:t xml:space="preserve">, authored the guideline, </w:t>
      </w:r>
      <w:r w:rsidR="00132FB4" w:rsidRPr="00FC232E">
        <w:rPr>
          <w:sz w:val="22"/>
          <w:szCs w:val="22"/>
        </w:rPr>
        <w:t xml:space="preserve">and </w:t>
      </w:r>
      <w:r w:rsidR="00965B2B" w:rsidRPr="00FC232E">
        <w:rPr>
          <w:sz w:val="22"/>
          <w:szCs w:val="22"/>
        </w:rPr>
        <w:t>p</w:t>
      </w:r>
      <w:r w:rsidR="00104E08" w:rsidRPr="00FC232E">
        <w:rPr>
          <w:sz w:val="22"/>
          <w:szCs w:val="22"/>
        </w:rPr>
        <w:t>rovide</w:t>
      </w:r>
      <w:r w:rsidR="00965B2B" w:rsidRPr="00FC232E">
        <w:rPr>
          <w:sz w:val="22"/>
          <w:szCs w:val="22"/>
        </w:rPr>
        <w:t xml:space="preserve">d input for dissemination and </w:t>
      </w:r>
      <w:r w:rsidR="00900BFB" w:rsidRPr="00FC232E">
        <w:rPr>
          <w:sz w:val="22"/>
          <w:szCs w:val="22"/>
        </w:rPr>
        <w:t>communication</w:t>
      </w:r>
      <w:r w:rsidR="00104E08" w:rsidRPr="00FC232E">
        <w:rPr>
          <w:sz w:val="22"/>
          <w:szCs w:val="22"/>
        </w:rPr>
        <w:t xml:space="preserve"> plan</w:t>
      </w:r>
      <w:r w:rsidR="00965B2B" w:rsidRPr="00FC232E">
        <w:rPr>
          <w:sz w:val="22"/>
          <w:szCs w:val="22"/>
        </w:rPr>
        <w:t>s</w:t>
      </w:r>
      <w:r w:rsidR="005E0D7C" w:rsidRPr="00FC232E">
        <w:rPr>
          <w:bCs/>
          <w:sz w:val="22"/>
          <w:szCs w:val="22"/>
        </w:rPr>
        <w:t xml:space="preserve">.  The expert panel </w:t>
      </w:r>
      <w:r w:rsidR="00965B2B" w:rsidRPr="00FC232E">
        <w:rPr>
          <w:bCs/>
          <w:sz w:val="22"/>
          <w:szCs w:val="22"/>
        </w:rPr>
        <w:t xml:space="preserve">will </w:t>
      </w:r>
      <w:r w:rsidR="005E0D7C" w:rsidRPr="00FC232E">
        <w:rPr>
          <w:bCs/>
          <w:sz w:val="22"/>
          <w:szCs w:val="22"/>
        </w:rPr>
        <w:t xml:space="preserve">also </w:t>
      </w:r>
      <w:r w:rsidR="00965B2B" w:rsidRPr="00FC232E">
        <w:rPr>
          <w:bCs/>
          <w:sz w:val="22"/>
          <w:szCs w:val="22"/>
        </w:rPr>
        <w:t xml:space="preserve">continue to </w:t>
      </w:r>
      <w:r w:rsidR="00965B2B" w:rsidRPr="00FC232E">
        <w:rPr>
          <w:sz w:val="22"/>
          <w:szCs w:val="22"/>
        </w:rPr>
        <w:t>m</w:t>
      </w:r>
      <w:r w:rsidR="00900BFB" w:rsidRPr="00FC232E">
        <w:rPr>
          <w:sz w:val="22"/>
          <w:szCs w:val="22"/>
        </w:rPr>
        <w:t>aintai</w:t>
      </w:r>
      <w:r w:rsidR="00965B2B" w:rsidRPr="00FC232E">
        <w:rPr>
          <w:sz w:val="22"/>
          <w:szCs w:val="22"/>
        </w:rPr>
        <w:t>n the guideline through periodic review.</w:t>
      </w:r>
      <w:r w:rsidR="00965B2B" w:rsidRPr="00FC232E">
        <w:rPr>
          <w:bCs/>
          <w:sz w:val="22"/>
          <w:szCs w:val="22"/>
        </w:rPr>
        <w:t xml:space="preserve">  </w:t>
      </w:r>
      <w:r w:rsidR="00104E08" w:rsidRPr="00FC232E">
        <w:rPr>
          <w:bCs/>
          <w:sz w:val="22"/>
          <w:szCs w:val="22"/>
        </w:rPr>
        <w:t>Advisory panel</w:t>
      </w:r>
      <w:r w:rsidR="00900BFB" w:rsidRPr="00FC232E">
        <w:rPr>
          <w:bCs/>
          <w:sz w:val="22"/>
          <w:szCs w:val="22"/>
        </w:rPr>
        <w:t xml:space="preserve"> </w:t>
      </w:r>
      <w:r w:rsidR="00965B2B" w:rsidRPr="00FC232E">
        <w:rPr>
          <w:bCs/>
          <w:sz w:val="22"/>
          <w:szCs w:val="22"/>
        </w:rPr>
        <w:t xml:space="preserve">members </w:t>
      </w:r>
      <w:r w:rsidR="00965B2B" w:rsidRPr="00FC232E">
        <w:rPr>
          <w:sz w:val="22"/>
          <w:szCs w:val="22"/>
        </w:rPr>
        <w:t xml:space="preserve">provided </w:t>
      </w:r>
      <w:r w:rsidR="00132FB4" w:rsidRPr="00FC232E">
        <w:rPr>
          <w:sz w:val="22"/>
          <w:szCs w:val="22"/>
        </w:rPr>
        <w:t xml:space="preserve">their </w:t>
      </w:r>
      <w:r w:rsidR="00965B2B" w:rsidRPr="00FC232E">
        <w:rPr>
          <w:sz w:val="22"/>
          <w:szCs w:val="22"/>
        </w:rPr>
        <w:t>expertise throughout the project and were early reviewers of the draft manuscript.</w:t>
      </w:r>
    </w:p>
    <w:p w:rsidR="00890DF2" w:rsidRPr="00FC232E" w:rsidRDefault="009613F6" w:rsidP="00890DF2">
      <w:pPr>
        <w:spacing w:before="223"/>
        <w:rPr>
          <w:sz w:val="22"/>
          <w:szCs w:val="22"/>
        </w:rPr>
      </w:pPr>
      <w:proofErr w:type="gramStart"/>
      <w:r w:rsidRPr="00FC232E">
        <w:rPr>
          <w:b/>
          <w:bCs/>
          <w:sz w:val="22"/>
          <w:szCs w:val="22"/>
        </w:rPr>
        <w:t>Conflict of Interest Policy</w:t>
      </w:r>
      <w:r w:rsidRPr="00FC232E">
        <w:rPr>
          <w:sz w:val="22"/>
          <w:szCs w:val="22"/>
        </w:rPr>
        <w:br/>
      </w:r>
      <w:r w:rsidR="008A35DD">
        <w:rPr>
          <w:sz w:val="22"/>
          <w:szCs w:val="22"/>
        </w:rPr>
        <w:t>Before</w:t>
      </w:r>
      <w:r w:rsidR="00381CF3">
        <w:rPr>
          <w:sz w:val="22"/>
          <w:szCs w:val="22"/>
        </w:rPr>
        <w:t xml:space="preserve"> </w:t>
      </w:r>
      <w:r w:rsidRPr="00FC232E">
        <w:rPr>
          <w:sz w:val="22"/>
          <w:szCs w:val="22"/>
        </w:rPr>
        <w:t xml:space="preserve">acceptance on the expert </w:t>
      </w:r>
      <w:r w:rsidR="00890DF2" w:rsidRPr="00FC232E">
        <w:rPr>
          <w:sz w:val="22"/>
          <w:szCs w:val="22"/>
        </w:rPr>
        <w:t xml:space="preserve">panel, potential members </w:t>
      </w:r>
      <w:r w:rsidRPr="00FC232E">
        <w:rPr>
          <w:sz w:val="22"/>
          <w:szCs w:val="22"/>
        </w:rPr>
        <w:t>from all guideline partnering organizations completed the CAP conflict of interest</w:t>
      </w:r>
      <w:r w:rsidR="008A35DD">
        <w:rPr>
          <w:sz w:val="22"/>
          <w:szCs w:val="22"/>
        </w:rPr>
        <w:t xml:space="preserve"> process</w:t>
      </w:r>
      <w:r w:rsidR="00890DF2" w:rsidRPr="00FC232E">
        <w:rPr>
          <w:bCs/>
          <w:sz w:val="22"/>
          <w:szCs w:val="22"/>
        </w:rPr>
        <w:t xml:space="preserve"> dated April 2010</w:t>
      </w:r>
      <w:r w:rsidRPr="00FC232E">
        <w:rPr>
          <w:sz w:val="22"/>
          <w:szCs w:val="22"/>
        </w:rPr>
        <w:t>, whose policy and form requires disclosure of material financial interest in, or potential for benefit of significant value from, the guideline’s deve</w:t>
      </w:r>
      <w:r w:rsidR="00890DF2" w:rsidRPr="00FC232E">
        <w:rPr>
          <w:sz w:val="22"/>
          <w:szCs w:val="22"/>
        </w:rPr>
        <w:t>lopment or its recommendations</w:t>
      </w:r>
      <w:r w:rsidR="00B1707B">
        <w:rPr>
          <w:sz w:val="22"/>
          <w:szCs w:val="22"/>
        </w:rPr>
        <w:t xml:space="preserve"> b</w:t>
      </w:r>
      <w:r w:rsidR="00117F24">
        <w:rPr>
          <w:sz w:val="22"/>
          <w:szCs w:val="22"/>
        </w:rPr>
        <w:t xml:space="preserve">eginning 12 months prior </w:t>
      </w:r>
      <w:r w:rsidR="003F31CF">
        <w:rPr>
          <w:sz w:val="22"/>
          <w:szCs w:val="22"/>
        </w:rPr>
        <w:t xml:space="preserve">and ending when the guideline was submitted for </w:t>
      </w:r>
      <w:r w:rsidR="00B1707B">
        <w:rPr>
          <w:sz w:val="22"/>
          <w:szCs w:val="22"/>
        </w:rPr>
        <w:t>publication</w:t>
      </w:r>
      <w:r w:rsidR="00890DF2" w:rsidRPr="00FC232E">
        <w:rPr>
          <w:sz w:val="22"/>
          <w:szCs w:val="22"/>
        </w:rPr>
        <w:t>.</w:t>
      </w:r>
      <w:proofErr w:type="gramEnd"/>
      <w:r w:rsidR="00890DF2" w:rsidRPr="00FC232E">
        <w:rPr>
          <w:sz w:val="22"/>
          <w:szCs w:val="22"/>
        </w:rPr>
        <w:t xml:space="preserve">  The CAP Center uses the following criteria:</w:t>
      </w:r>
    </w:p>
    <w:p w:rsidR="00890DF2" w:rsidRPr="00FC232E" w:rsidRDefault="00890DF2" w:rsidP="00890DF2">
      <w:pPr>
        <w:pStyle w:val="ListParagraph"/>
        <w:ind w:left="0"/>
        <w:rPr>
          <w:rFonts w:ascii="Times New Roman" w:hAnsi="Times New Roman"/>
        </w:rPr>
      </w:pPr>
      <w:r w:rsidRPr="00A21238">
        <w:rPr>
          <w:rFonts w:ascii="Century Gothic" w:hAnsi="Century Gothic"/>
          <w:b/>
          <w:sz w:val="20"/>
          <w:szCs w:val="20"/>
        </w:rPr>
        <w:t xml:space="preserve"> </w:t>
      </w:r>
      <w:r w:rsidRPr="00A21238">
        <w:rPr>
          <w:rFonts w:ascii="Century Gothic" w:hAnsi="Century Gothic"/>
          <w:b/>
          <w:sz w:val="20"/>
          <w:szCs w:val="20"/>
        </w:rPr>
        <w:tab/>
      </w:r>
      <w:r w:rsidRPr="00FC232E">
        <w:rPr>
          <w:rFonts w:ascii="Times New Roman" w:hAnsi="Times New Roman"/>
          <w:bCs/>
        </w:rPr>
        <w:t>Nominees wh</w:t>
      </w:r>
      <w:r w:rsidR="00502CAF" w:rsidRPr="00FC232E">
        <w:rPr>
          <w:rFonts w:ascii="Times New Roman" w:hAnsi="Times New Roman"/>
          <w:bCs/>
        </w:rPr>
        <w:t>o had</w:t>
      </w:r>
      <w:r w:rsidR="00F57604" w:rsidRPr="00FC232E">
        <w:rPr>
          <w:rFonts w:ascii="Times New Roman" w:hAnsi="Times New Roman"/>
          <w:bCs/>
        </w:rPr>
        <w:t xml:space="preserve"> the following conflicts </w:t>
      </w:r>
      <w:proofErr w:type="gramStart"/>
      <w:r w:rsidR="00F57604" w:rsidRPr="00FC232E">
        <w:rPr>
          <w:rFonts w:ascii="Times New Roman" w:hAnsi="Times New Roman"/>
          <w:bCs/>
        </w:rPr>
        <w:t>we</w:t>
      </w:r>
      <w:r w:rsidRPr="00FC232E">
        <w:rPr>
          <w:rFonts w:ascii="Times New Roman" w:hAnsi="Times New Roman"/>
          <w:bCs/>
        </w:rPr>
        <w:t>re excused</w:t>
      </w:r>
      <w:proofErr w:type="gramEnd"/>
      <w:r w:rsidRPr="00FC232E">
        <w:rPr>
          <w:rFonts w:ascii="Times New Roman" w:hAnsi="Times New Roman"/>
          <w:bCs/>
        </w:rPr>
        <w:t xml:space="preserve"> from the expert panel: </w:t>
      </w:r>
    </w:p>
    <w:p w:rsidR="00890DF2" w:rsidRPr="00FC232E" w:rsidRDefault="00890DF2" w:rsidP="00DA7A37">
      <w:pPr>
        <w:pStyle w:val="ListParagraph"/>
        <w:numPr>
          <w:ilvl w:val="0"/>
          <w:numId w:val="2"/>
        </w:numPr>
        <w:rPr>
          <w:rFonts w:ascii="Times New Roman" w:hAnsi="Times New Roman"/>
        </w:rPr>
      </w:pPr>
      <w:r w:rsidRPr="00FC232E">
        <w:rPr>
          <w:rFonts w:ascii="Times New Roman" w:hAnsi="Times New Roman"/>
        </w:rPr>
        <w:t>Stock or equity interest in a commercial entity that would be affected by the guideline or white paper</w:t>
      </w:r>
    </w:p>
    <w:p w:rsidR="00890DF2" w:rsidRPr="00FC232E" w:rsidRDefault="00890DF2" w:rsidP="00DA7A37">
      <w:pPr>
        <w:pStyle w:val="ListParagraph"/>
        <w:numPr>
          <w:ilvl w:val="0"/>
          <w:numId w:val="2"/>
        </w:numPr>
        <w:rPr>
          <w:rFonts w:ascii="Times New Roman" w:hAnsi="Times New Roman"/>
        </w:rPr>
      </w:pPr>
      <w:r w:rsidRPr="00FC232E">
        <w:rPr>
          <w:rFonts w:ascii="Times New Roman" w:hAnsi="Times New Roman"/>
        </w:rPr>
        <w:t>Royalties or licensing fees from products that would be affected by the guideline or white paper</w:t>
      </w:r>
    </w:p>
    <w:p w:rsidR="00890DF2" w:rsidRDefault="00890DF2" w:rsidP="00DA7A37">
      <w:pPr>
        <w:pStyle w:val="ListParagraph"/>
        <w:numPr>
          <w:ilvl w:val="0"/>
          <w:numId w:val="2"/>
        </w:numPr>
        <w:rPr>
          <w:rFonts w:ascii="Times New Roman" w:hAnsi="Times New Roman"/>
        </w:rPr>
      </w:pPr>
      <w:r w:rsidRPr="00FC232E">
        <w:rPr>
          <w:rFonts w:ascii="Times New Roman" w:hAnsi="Times New Roman"/>
        </w:rPr>
        <w:t>Employee of a commercial entity that would be affected by the guideline or white paper</w:t>
      </w:r>
    </w:p>
    <w:p w:rsidR="00FC232E" w:rsidRPr="00FC232E" w:rsidRDefault="00FC232E" w:rsidP="00FC232E">
      <w:pPr>
        <w:ind w:left="720"/>
      </w:pPr>
    </w:p>
    <w:p w:rsidR="00890DF2" w:rsidRPr="00FC232E" w:rsidRDefault="00890DF2" w:rsidP="00890DF2">
      <w:pPr>
        <w:pStyle w:val="ListParagraph"/>
        <w:ind w:left="0" w:firstLine="720"/>
        <w:rPr>
          <w:rFonts w:ascii="Times New Roman" w:hAnsi="Times New Roman"/>
        </w:rPr>
      </w:pPr>
      <w:r w:rsidRPr="00FC232E">
        <w:rPr>
          <w:rFonts w:ascii="Times New Roman" w:hAnsi="Times New Roman"/>
        </w:rPr>
        <w:t>Manageable conflicts of expert panel are:</w:t>
      </w:r>
    </w:p>
    <w:p w:rsidR="00890DF2" w:rsidRPr="00FC232E" w:rsidRDefault="00890DF2" w:rsidP="00DA7A37">
      <w:pPr>
        <w:pStyle w:val="ListParagraph"/>
        <w:numPr>
          <w:ilvl w:val="0"/>
          <w:numId w:val="3"/>
        </w:numPr>
        <w:rPr>
          <w:rFonts w:ascii="Times New Roman" w:hAnsi="Times New Roman"/>
        </w:rPr>
      </w:pPr>
      <w:r w:rsidRPr="00FC232E">
        <w:rPr>
          <w:rFonts w:ascii="Times New Roman" w:hAnsi="Times New Roman"/>
        </w:rPr>
        <w:t>Patents for products covered by the guideline or white paper</w:t>
      </w:r>
    </w:p>
    <w:p w:rsidR="00890DF2" w:rsidRPr="00FC232E" w:rsidRDefault="00890DF2" w:rsidP="00DA7A37">
      <w:pPr>
        <w:pStyle w:val="ListParagraph"/>
        <w:numPr>
          <w:ilvl w:val="0"/>
          <w:numId w:val="3"/>
        </w:numPr>
        <w:rPr>
          <w:rFonts w:ascii="Times New Roman" w:hAnsi="Times New Roman"/>
        </w:rPr>
      </w:pPr>
      <w:r w:rsidRPr="00FC232E">
        <w:rPr>
          <w:rFonts w:ascii="Times New Roman" w:hAnsi="Times New Roman"/>
        </w:rPr>
        <w:t>Member of an advisory panel of a commercial entity that would be affected by the guideline or white paper</w:t>
      </w:r>
    </w:p>
    <w:p w:rsidR="00890DF2" w:rsidRPr="00FC232E" w:rsidRDefault="00890DF2" w:rsidP="00DA7A37">
      <w:pPr>
        <w:pStyle w:val="ListParagraph"/>
        <w:numPr>
          <w:ilvl w:val="0"/>
          <w:numId w:val="3"/>
        </w:numPr>
        <w:rPr>
          <w:rFonts w:ascii="Times New Roman" w:hAnsi="Times New Roman"/>
        </w:rPr>
      </w:pPr>
      <w:r w:rsidRPr="00FC232E">
        <w:rPr>
          <w:rFonts w:ascii="Times New Roman" w:hAnsi="Times New Roman"/>
        </w:rPr>
        <w:t>Payments to cover costs of clinical trials, including travel expenses associated directly with the trial</w:t>
      </w:r>
    </w:p>
    <w:p w:rsidR="00890DF2" w:rsidRPr="00FC232E" w:rsidRDefault="00890DF2" w:rsidP="00DA7A37">
      <w:pPr>
        <w:pStyle w:val="ListParagraph"/>
        <w:numPr>
          <w:ilvl w:val="0"/>
          <w:numId w:val="3"/>
        </w:numPr>
        <w:rPr>
          <w:rFonts w:ascii="Times New Roman" w:hAnsi="Times New Roman"/>
        </w:rPr>
      </w:pPr>
      <w:r w:rsidRPr="00FC232E">
        <w:rPr>
          <w:rFonts w:ascii="Times New Roman" w:hAnsi="Times New Roman"/>
        </w:rPr>
        <w:lastRenderedPageBreak/>
        <w:t>Reimbursement from commercial entity for travel to scientific or educational meetings</w:t>
      </w:r>
    </w:p>
    <w:p w:rsidR="00890DF2" w:rsidRPr="00FC232E" w:rsidRDefault="00890DF2" w:rsidP="00890DF2">
      <w:pPr>
        <w:pStyle w:val="ListParagraph"/>
        <w:ind w:left="0"/>
        <w:rPr>
          <w:rFonts w:ascii="Times New Roman" w:hAnsi="Times New Roman"/>
        </w:rPr>
      </w:pPr>
      <w:r w:rsidRPr="00FC232E">
        <w:rPr>
          <w:rFonts w:ascii="Times New Roman" w:hAnsi="Times New Roman"/>
        </w:rPr>
        <w:t xml:space="preserve">Steering committee and expert panel members were required to disclose new conflicts at each conference call and submitted an updated COI form on a yearly basis. Advisory panel members submitted a conflict of interest form at the start of the project. Regarding members declaring potentially perceived or real conflict, guideline co-chairs agreed that these individuals would best serve as advisory panel members for the guideline, but not authors on the expert panel.  CAP, IASLC, and AMP provided funding for this project; no industry funds </w:t>
      </w:r>
      <w:proofErr w:type="gramStart"/>
      <w:r w:rsidRPr="00FC232E">
        <w:rPr>
          <w:rFonts w:ascii="Times New Roman" w:hAnsi="Times New Roman"/>
        </w:rPr>
        <w:t>were used</w:t>
      </w:r>
      <w:proofErr w:type="gramEnd"/>
      <w:r w:rsidRPr="00FC232E">
        <w:rPr>
          <w:rFonts w:ascii="Times New Roman" w:hAnsi="Times New Roman"/>
        </w:rPr>
        <w:t xml:space="preserve"> in the development of the guideline.</w:t>
      </w:r>
    </w:p>
    <w:p w:rsidR="00611A63" w:rsidRDefault="00611A63" w:rsidP="00611A63">
      <w:pPr>
        <w:rPr>
          <w:b/>
          <w:bCs/>
          <w:sz w:val="22"/>
          <w:szCs w:val="22"/>
        </w:rPr>
      </w:pPr>
    </w:p>
    <w:p w:rsidR="00611A63" w:rsidRDefault="00307664" w:rsidP="00611A63">
      <w:pPr>
        <w:rPr>
          <w:b/>
          <w:bCs/>
          <w:sz w:val="22"/>
          <w:szCs w:val="22"/>
        </w:rPr>
      </w:pPr>
      <w:r w:rsidRPr="00FC232E">
        <w:rPr>
          <w:b/>
          <w:bCs/>
          <w:sz w:val="22"/>
          <w:szCs w:val="22"/>
        </w:rPr>
        <w:t>Systematic Literature Review and Analysis</w:t>
      </w:r>
    </w:p>
    <w:p w:rsidR="00307664" w:rsidRPr="00FC232E" w:rsidRDefault="00AC081E" w:rsidP="00611A63">
      <w:pPr>
        <w:rPr>
          <w:sz w:val="22"/>
          <w:szCs w:val="22"/>
        </w:rPr>
      </w:pPr>
      <w:r w:rsidRPr="00AC081E">
        <w:rPr>
          <w:rFonts w:eastAsia="Calibri"/>
          <w:color w:val="000000"/>
          <w:sz w:val="22"/>
          <w:szCs w:val="22"/>
        </w:rPr>
        <w:t>The literature search strategy involved searching the following electronic databases from January 2004 through February 2012</w:t>
      </w:r>
      <w:r w:rsidR="00307664" w:rsidRPr="00FC232E">
        <w:rPr>
          <w:sz w:val="22"/>
          <w:szCs w:val="22"/>
        </w:rPr>
        <w:t xml:space="preserve">: Ovid MEDLINE, Ovid MEDLINE In-Process &amp; Other Non-indexed Citations, and the Wiley Cochrane Library. The following keywords and </w:t>
      </w:r>
      <w:proofErr w:type="spellStart"/>
      <w:r w:rsidR="00307664" w:rsidRPr="00FC232E">
        <w:rPr>
          <w:sz w:val="22"/>
          <w:szCs w:val="22"/>
        </w:rPr>
        <w:t>MeSH</w:t>
      </w:r>
      <w:proofErr w:type="spellEnd"/>
      <w:r w:rsidR="00307664" w:rsidRPr="00FC232E">
        <w:rPr>
          <w:sz w:val="22"/>
          <w:szCs w:val="22"/>
        </w:rPr>
        <w:t xml:space="preserve"> terms were used in the search: </w:t>
      </w:r>
      <w:r w:rsidR="00E16408" w:rsidRPr="00E16408">
        <w:rPr>
          <w:i/>
          <w:sz w:val="22"/>
          <w:szCs w:val="22"/>
        </w:rPr>
        <w:t xml:space="preserve">lung </w:t>
      </w:r>
      <w:proofErr w:type="spellStart"/>
      <w:r w:rsidR="00E16408" w:rsidRPr="00E16408">
        <w:rPr>
          <w:i/>
          <w:sz w:val="22"/>
          <w:szCs w:val="22"/>
        </w:rPr>
        <w:t>neoplasms</w:t>
      </w:r>
      <w:proofErr w:type="spellEnd"/>
      <w:r w:rsidR="00E16408" w:rsidRPr="00E16408">
        <w:rPr>
          <w:i/>
          <w:sz w:val="22"/>
          <w:szCs w:val="22"/>
        </w:rPr>
        <w:t xml:space="preserve">, lung cancer, </w:t>
      </w:r>
      <w:r w:rsidR="008A35DD" w:rsidRPr="00E16408">
        <w:rPr>
          <w:i/>
          <w:sz w:val="22"/>
          <w:szCs w:val="22"/>
        </w:rPr>
        <w:t>c</w:t>
      </w:r>
      <w:r w:rsidR="00307664" w:rsidRPr="00E16408">
        <w:rPr>
          <w:i/>
          <w:sz w:val="22"/>
          <w:szCs w:val="22"/>
        </w:rPr>
        <w:t xml:space="preserve">arcinoma, </w:t>
      </w:r>
      <w:r w:rsidR="008A35DD" w:rsidRPr="00E16408">
        <w:rPr>
          <w:i/>
          <w:sz w:val="22"/>
          <w:szCs w:val="22"/>
        </w:rPr>
        <w:t>n</w:t>
      </w:r>
      <w:r w:rsidR="00307664" w:rsidRPr="00E16408">
        <w:rPr>
          <w:i/>
          <w:sz w:val="22"/>
          <w:szCs w:val="22"/>
        </w:rPr>
        <w:t>on-</w:t>
      </w:r>
      <w:r w:rsidR="008A35DD" w:rsidRPr="00E16408">
        <w:rPr>
          <w:i/>
          <w:sz w:val="22"/>
          <w:szCs w:val="22"/>
        </w:rPr>
        <w:t>s</w:t>
      </w:r>
      <w:r w:rsidR="00307664" w:rsidRPr="00E16408">
        <w:rPr>
          <w:i/>
          <w:sz w:val="22"/>
          <w:szCs w:val="22"/>
        </w:rPr>
        <w:t>mall-</w:t>
      </w:r>
      <w:r w:rsidR="008A35DD" w:rsidRPr="00E16408">
        <w:rPr>
          <w:i/>
          <w:sz w:val="22"/>
          <w:szCs w:val="22"/>
        </w:rPr>
        <w:t>c</w:t>
      </w:r>
      <w:r w:rsidR="00307664" w:rsidRPr="00E16408">
        <w:rPr>
          <w:i/>
          <w:sz w:val="22"/>
          <w:szCs w:val="22"/>
        </w:rPr>
        <w:t xml:space="preserve">ell </w:t>
      </w:r>
      <w:r w:rsidR="008A35DD" w:rsidRPr="00E16408">
        <w:rPr>
          <w:i/>
          <w:sz w:val="22"/>
          <w:szCs w:val="22"/>
        </w:rPr>
        <w:t>l</w:t>
      </w:r>
      <w:r w:rsidR="00E16408" w:rsidRPr="00E16408">
        <w:rPr>
          <w:i/>
          <w:sz w:val="22"/>
          <w:szCs w:val="22"/>
        </w:rPr>
        <w:t xml:space="preserve">ung, EGFR, </w:t>
      </w:r>
      <w:r w:rsidR="00F15F6D">
        <w:rPr>
          <w:i/>
          <w:sz w:val="22"/>
          <w:szCs w:val="22"/>
        </w:rPr>
        <w:t>E</w:t>
      </w:r>
      <w:r w:rsidR="00E16408" w:rsidRPr="00E16408">
        <w:rPr>
          <w:i/>
          <w:sz w:val="22"/>
          <w:szCs w:val="22"/>
        </w:rPr>
        <w:t>pidermal growth factor receptor, ALK</w:t>
      </w:r>
      <w:r w:rsidR="00307664" w:rsidRPr="00E16408">
        <w:rPr>
          <w:i/>
          <w:sz w:val="22"/>
          <w:szCs w:val="22"/>
        </w:rPr>
        <w:t xml:space="preserve">, </w:t>
      </w:r>
      <w:r w:rsidR="00E16408" w:rsidRPr="00E16408">
        <w:rPr>
          <w:i/>
          <w:sz w:val="22"/>
          <w:szCs w:val="22"/>
        </w:rPr>
        <w:t xml:space="preserve">KRAS, BRAF, mutation, </w:t>
      </w:r>
      <w:r w:rsidR="00307664" w:rsidRPr="00E16408">
        <w:rPr>
          <w:i/>
          <w:sz w:val="22"/>
          <w:szCs w:val="22"/>
        </w:rPr>
        <w:t>amplification</w:t>
      </w:r>
      <w:r w:rsidR="00E16408" w:rsidRPr="00E16408">
        <w:rPr>
          <w:i/>
          <w:sz w:val="22"/>
          <w:szCs w:val="22"/>
        </w:rPr>
        <w:t xml:space="preserve">, gene copy number, rearrangement, fusion, translocation, inversion, </w:t>
      </w:r>
      <w:r w:rsidR="008A35DD" w:rsidRPr="00E16408">
        <w:rPr>
          <w:i/>
          <w:sz w:val="22"/>
          <w:szCs w:val="22"/>
        </w:rPr>
        <w:t>i</w:t>
      </w:r>
      <w:r w:rsidR="00E16408" w:rsidRPr="00E16408">
        <w:rPr>
          <w:i/>
          <w:sz w:val="22"/>
          <w:szCs w:val="22"/>
        </w:rPr>
        <w:t>mmunohistochemistry, IHC,</w:t>
      </w:r>
      <w:r w:rsidR="00E16408">
        <w:rPr>
          <w:sz w:val="22"/>
          <w:szCs w:val="22"/>
        </w:rPr>
        <w:t xml:space="preserve"> and </w:t>
      </w:r>
      <w:r w:rsidR="00E16408" w:rsidRPr="00E16408">
        <w:rPr>
          <w:i/>
          <w:sz w:val="22"/>
          <w:szCs w:val="22"/>
        </w:rPr>
        <w:t>FISH</w:t>
      </w:r>
      <w:r w:rsidR="00307664" w:rsidRPr="00FC232E">
        <w:rPr>
          <w:sz w:val="22"/>
          <w:szCs w:val="22"/>
        </w:rPr>
        <w:t xml:space="preserve">.  All searches were limited to the English language. </w:t>
      </w:r>
    </w:p>
    <w:p w:rsidR="00611A63" w:rsidRDefault="00611A63" w:rsidP="00307664">
      <w:pPr>
        <w:rPr>
          <w:b/>
          <w:sz w:val="22"/>
          <w:szCs w:val="22"/>
        </w:rPr>
      </w:pPr>
    </w:p>
    <w:p w:rsidR="00307664" w:rsidRPr="00FC232E" w:rsidRDefault="00307664" w:rsidP="00307664">
      <w:pPr>
        <w:rPr>
          <w:sz w:val="22"/>
          <w:szCs w:val="22"/>
        </w:rPr>
      </w:pPr>
      <w:r w:rsidRPr="00FC232E">
        <w:rPr>
          <w:b/>
          <w:sz w:val="22"/>
          <w:szCs w:val="22"/>
        </w:rPr>
        <w:t>Eligible Study Designs</w:t>
      </w:r>
    </w:p>
    <w:p w:rsidR="00307664" w:rsidRPr="00FC232E" w:rsidRDefault="00307664" w:rsidP="00307664">
      <w:pPr>
        <w:rPr>
          <w:sz w:val="22"/>
          <w:szCs w:val="22"/>
        </w:rPr>
      </w:pPr>
      <w:r w:rsidRPr="00FC232E">
        <w:rPr>
          <w:sz w:val="22"/>
          <w:szCs w:val="22"/>
        </w:rPr>
        <w:t>Systematic reviews with or without meta-analyses, randomized controlled trials (RCTs), cohort studies, case-control studies, case series, and method comparisons</w:t>
      </w:r>
      <w:r w:rsidR="008A35DD">
        <w:rPr>
          <w:sz w:val="22"/>
          <w:szCs w:val="22"/>
        </w:rPr>
        <w:t xml:space="preserve"> </w:t>
      </w:r>
      <w:r w:rsidR="00AC081E" w:rsidRPr="00AC081E">
        <w:rPr>
          <w:rFonts w:eastAsia="Calibri"/>
          <w:color w:val="000000"/>
          <w:sz w:val="22"/>
          <w:szCs w:val="22"/>
        </w:rPr>
        <w:t>were eligible for this study</w:t>
      </w:r>
      <w:r w:rsidRPr="00FC232E">
        <w:rPr>
          <w:sz w:val="22"/>
          <w:szCs w:val="22"/>
        </w:rPr>
        <w:t xml:space="preserve">.  Also included were testing guidelines and proficiency testing strategies of various U.S. and international organizations. </w:t>
      </w:r>
    </w:p>
    <w:p w:rsidR="00307664" w:rsidRPr="00A21238" w:rsidRDefault="00307664" w:rsidP="00307664">
      <w:pPr>
        <w:rPr>
          <w:rFonts w:ascii="Century Gothic" w:hAnsi="Century Gothic" w:cs="Helvetica"/>
          <w:sz w:val="20"/>
          <w:szCs w:val="20"/>
        </w:rPr>
      </w:pPr>
    </w:p>
    <w:p w:rsidR="00307664" w:rsidRPr="00FC232E" w:rsidRDefault="00307664" w:rsidP="00307664">
      <w:pPr>
        <w:rPr>
          <w:b/>
          <w:sz w:val="22"/>
          <w:szCs w:val="22"/>
        </w:rPr>
      </w:pPr>
      <w:r w:rsidRPr="00FC232E">
        <w:rPr>
          <w:b/>
          <w:sz w:val="22"/>
          <w:szCs w:val="22"/>
        </w:rPr>
        <w:t>Inclusion Criteria:</w:t>
      </w:r>
    </w:p>
    <w:p w:rsidR="00307664" w:rsidRPr="00FC232E" w:rsidRDefault="00307664" w:rsidP="00307664">
      <w:pPr>
        <w:rPr>
          <w:sz w:val="22"/>
          <w:szCs w:val="22"/>
        </w:rPr>
      </w:pPr>
      <w:r w:rsidRPr="00FC232E">
        <w:rPr>
          <w:sz w:val="22"/>
          <w:szCs w:val="22"/>
        </w:rPr>
        <w:t xml:space="preserve">Articles were eligible for inclusion if they met the following criteria: </w:t>
      </w:r>
    </w:p>
    <w:p w:rsidR="00307664" w:rsidRPr="00FC232E" w:rsidRDefault="00E16408" w:rsidP="00DA7A37">
      <w:pPr>
        <w:numPr>
          <w:ilvl w:val="0"/>
          <w:numId w:val="24"/>
        </w:numPr>
        <w:ind w:left="540" w:hanging="540"/>
        <w:rPr>
          <w:sz w:val="22"/>
          <w:szCs w:val="22"/>
        </w:rPr>
      </w:pPr>
      <w:r>
        <w:rPr>
          <w:sz w:val="22"/>
          <w:szCs w:val="22"/>
        </w:rPr>
        <w:t>T</w:t>
      </w:r>
      <w:r w:rsidR="00307664" w:rsidRPr="00FC232E">
        <w:rPr>
          <w:sz w:val="22"/>
          <w:szCs w:val="22"/>
        </w:rPr>
        <w:t>he study compared, prospectively or retrospectively, the sensitivity, specificity,</w:t>
      </w:r>
      <w:r>
        <w:rPr>
          <w:sz w:val="22"/>
          <w:szCs w:val="22"/>
        </w:rPr>
        <w:t xml:space="preserve"> negative predictive value </w:t>
      </w:r>
      <w:r w:rsidR="00307664" w:rsidRPr="00FC232E">
        <w:rPr>
          <w:sz w:val="22"/>
          <w:szCs w:val="22"/>
        </w:rPr>
        <w:t xml:space="preserve">or </w:t>
      </w:r>
      <w:r>
        <w:rPr>
          <w:sz w:val="22"/>
          <w:szCs w:val="22"/>
        </w:rPr>
        <w:t xml:space="preserve">positive predictive value </w:t>
      </w:r>
      <w:r w:rsidR="00307664" w:rsidRPr="00FC232E">
        <w:rPr>
          <w:sz w:val="22"/>
          <w:szCs w:val="22"/>
        </w:rPr>
        <w:t xml:space="preserve">of </w:t>
      </w:r>
      <w:r w:rsidR="00307664" w:rsidRPr="00FC232E">
        <w:rPr>
          <w:i/>
          <w:sz w:val="22"/>
          <w:szCs w:val="22"/>
        </w:rPr>
        <w:t>EGFR</w:t>
      </w:r>
      <w:r w:rsidR="00307664" w:rsidRPr="00FC232E">
        <w:rPr>
          <w:sz w:val="22"/>
          <w:szCs w:val="22"/>
        </w:rPr>
        <w:t xml:space="preserve"> or </w:t>
      </w:r>
      <w:r w:rsidR="00307664" w:rsidRPr="00FC232E">
        <w:rPr>
          <w:i/>
          <w:sz w:val="22"/>
          <w:szCs w:val="22"/>
        </w:rPr>
        <w:t>ALK</w:t>
      </w:r>
      <w:r w:rsidR="00307664" w:rsidRPr="00FC232E">
        <w:rPr>
          <w:sz w:val="22"/>
          <w:szCs w:val="22"/>
        </w:rPr>
        <w:t xml:space="preserve"> tests for detection of an </w:t>
      </w:r>
      <w:r w:rsidR="00307664" w:rsidRPr="00FC232E">
        <w:rPr>
          <w:i/>
          <w:sz w:val="22"/>
          <w:szCs w:val="22"/>
        </w:rPr>
        <w:t>EGFR</w:t>
      </w:r>
      <w:r w:rsidR="00307664" w:rsidRPr="00FC232E">
        <w:rPr>
          <w:sz w:val="22"/>
          <w:szCs w:val="22"/>
        </w:rPr>
        <w:t xml:space="preserve"> mutation, </w:t>
      </w:r>
      <w:r w:rsidR="00307664" w:rsidRPr="00FC232E">
        <w:rPr>
          <w:i/>
          <w:sz w:val="22"/>
          <w:szCs w:val="22"/>
        </w:rPr>
        <w:t>ALK</w:t>
      </w:r>
      <w:r w:rsidR="00307664" w:rsidRPr="00FC232E">
        <w:rPr>
          <w:sz w:val="22"/>
          <w:szCs w:val="22"/>
        </w:rPr>
        <w:t xml:space="preserve"> rearrangement, or response to a target</w:t>
      </w:r>
      <w:r w:rsidR="00F15F6D">
        <w:rPr>
          <w:sz w:val="22"/>
          <w:szCs w:val="22"/>
        </w:rPr>
        <w:t>ed</w:t>
      </w:r>
      <w:r w:rsidR="00307664" w:rsidRPr="00FC232E">
        <w:rPr>
          <w:sz w:val="22"/>
          <w:szCs w:val="22"/>
        </w:rPr>
        <w:t xml:space="preserve"> EGFR or ALK </w:t>
      </w:r>
      <w:r w:rsidR="00F15F6D">
        <w:rPr>
          <w:sz w:val="22"/>
          <w:szCs w:val="22"/>
        </w:rPr>
        <w:t>TKI</w:t>
      </w:r>
      <w:r w:rsidR="00307664" w:rsidRPr="00FC232E">
        <w:rPr>
          <w:sz w:val="22"/>
          <w:szCs w:val="22"/>
        </w:rPr>
        <w:t xml:space="preserve">; the study described technical comparisons across various assay platforms; the study examined potential testing algorithms for NSCLC molecular testing; or the study examined the correlation of </w:t>
      </w:r>
      <w:r w:rsidR="00307664" w:rsidRPr="00FC232E">
        <w:rPr>
          <w:i/>
          <w:sz w:val="22"/>
          <w:szCs w:val="22"/>
        </w:rPr>
        <w:t>EGFR</w:t>
      </w:r>
      <w:r w:rsidR="00307664" w:rsidRPr="00FC232E">
        <w:rPr>
          <w:sz w:val="22"/>
          <w:szCs w:val="22"/>
        </w:rPr>
        <w:t xml:space="preserve"> or </w:t>
      </w:r>
      <w:r w:rsidR="00307664" w:rsidRPr="00FC232E">
        <w:rPr>
          <w:i/>
          <w:sz w:val="22"/>
          <w:szCs w:val="22"/>
        </w:rPr>
        <w:t>ALK</w:t>
      </w:r>
      <w:r w:rsidR="00307664" w:rsidRPr="00FC232E">
        <w:rPr>
          <w:sz w:val="22"/>
          <w:szCs w:val="22"/>
        </w:rPr>
        <w:t xml:space="preserve"> status in primary versus metastatic tumors from the same patients</w:t>
      </w:r>
    </w:p>
    <w:p w:rsidR="00307664" w:rsidRPr="00FC232E" w:rsidRDefault="00E16408" w:rsidP="00DA7A37">
      <w:pPr>
        <w:numPr>
          <w:ilvl w:val="0"/>
          <w:numId w:val="24"/>
        </w:numPr>
        <w:ind w:left="540" w:hanging="540"/>
        <w:rPr>
          <w:sz w:val="22"/>
          <w:szCs w:val="22"/>
        </w:rPr>
      </w:pPr>
      <w:r>
        <w:rPr>
          <w:sz w:val="22"/>
          <w:szCs w:val="22"/>
        </w:rPr>
        <w:t>T</w:t>
      </w:r>
      <w:r w:rsidR="00307664" w:rsidRPr="00FC232E">
        <w:rPr>
          <w:sz w:val="22"/>
          <w:szCs w:val="22"/>
        </w:rPr>
        <w:t>he study population consisted of patients with a diagnosis of NSCLC</w:t>
      </w:r>
    </w:p>
    <w:p w:rsidR="00307664" w:rsidRPr="00FC232E" w:rsidRDefault="00E16408" w:rsidP="00DA7A37">
      <w:pPr>
        <w:numPr>
          <w:ilvl w:val="0"/>
          <w:numId w:val="24"/>
        </w:numPr>
        <w:ind w:left="540" w:hanging="540"/>
        <w:rPr>
          <w:sz w:val="22"/>
          <w:szCs w:val="22"/>
        </w:rPr>
      </w:pPr>
      <w:r>
        <w:rPr>
          <w:sz w:val="22"/>
          <w:szCs w:val="22"/>
        </w:rPr>
        <w:t>T</w:t>
      </w:r>
      <w:r w:rsidR="00307664" w:rsidRPr="00FC232E">
        <w:rPr>
          <w:sz w:val="22"/>
          <w:szCs w:val="22"/>
        </w:rPr>
        <w:t xml:space="preserve">he primary outcomes included the sensitivity, specificity, </w:t>
      </w:r>
      <w:r>
        <w:rPr>
          <w:sz w:val="22"/>
          <w:szCs w:val="22"/>
        </w:rPr>
        <w:t xml:space="preserve">positive predictive value </w:t>
      </w:r>
      <w:r w:rsidR="00307664" w:rsidRPr="00FC232E">
        <w:rPr>
          <w:sz w:val="22"/>
          <w:szCs w:val="22"/>
        </w:rPr>
        <w:t xml:space="preserve">and </w:t>
      </w:r>
      <w:r>
        <w:rPr>
          <w:sz w:val="22"/>
          <w:szCs w:val="22"/>
        </w:rPr>
        <w:t xml:space="preserve">negative predictive value </w:t>
      </w:r>
      <w:r w:rsidR="00307664" w:rsidRPr="00FC232E">
        <w:rPr>
          <w:sz w:val="22"/>
          <w:szCs w:val="22"/>
        </w:rPr>
        <w:t xml:space="preserve">of tests to determine </w:t>
      </w:r>
      <w:r w:rsidR="00307664" w:rsidRPr="00FC232E">
        <w:rPr>
          <w:i/>
          <w:sz w:val="22"/>
          <w:szCs w:val="22"/>
        </w:rPr>
        <w:t>EGFR</w:t>
      </w:r>
      <w:r w:rsidR="00307664" w:rsidRPr="00FC232E">
        <w:rPr>
          <w:sz w:val="22"/>
          <w:szCs w:val="22"/>
        </w:rPr>
        <w:t xml:space="preserve"> or </w:t>
      </w:r>
      <w:r w:rsidR="00307664" w:rsidRPr="00FC232E">
        <w:rPr>
          <w:i/>
          <w:sz w:val="22"/>
          <w:szCs w:val="22"/>
        </w:rPr>
        <w:t>ALK</w:t>
      </w:r>
      <w:r w:rsidR="00307664" w:rsidRPr="00FC232E">
        <w:rPr>
          <w:sz w:val="22"/>
          <w:szCs w:val="22"/>
        </w:rPr>
        <w:t xml:space="preserve"> status or treatment response, alone and in combination; concordance across platforms; </w:t>
      </w:r>
      <w:r>
        <w:rPr>
          <w:sz w:val="22"/>
          <w:szCs w:val="22"/>
        </w:rPr>
        <w:t xml:space="preserve">and </w:t>
      </w:r>
      <w:r w:rsidR="00307664" w:rsidRPr="00FC232E">
        <w:rPr>
          <w:sz w:val="22"/>
          <w:szCs w:val="22"/>
        </w:rPr>
        <w:t xml:space="preserve">accuracy in determining </w:t>
      </w:r>
      <w:r w:rsidR="00307664" w:rsidRPr="00FC232E">
        <w:rPr>
          <w:i/>
          <w:sz w:val="22"/>
          <w:szCs w:val="22"/>
        </w:rPr>
        <w:t>EGFR</w:t>
      </w:r>
      <w:r w:rsidR="00307664" w:rsidRPr="00FC232E">
        <w:rPr>
          <w:sz w:val="22"/>
          <w:szCs w:val="22"/>
        </w:rPr>
        <w:t xml:space="preserve"> or </w:t>
      </w:r>
      <w:r w:rsidR="00307664" w:rsidRPr="00FC232E">
        <w:rPr>
          <w:i/>
          <w:sz w:val="22"/>
          <w:szCs w:val="22"/>
        </w:rPr>
        <w:t>ALK</w:t>
      </w:r>
      <w:r w:rsidR="00307664" w:rsidRPr="00FC232E">
        <w:rPr>
          <w:sz w:val="22"/>
          <w:szCs w:val="22"/>
        </w:rPr>
        <w:t xml:space="preserve"> status and benefit from anti-</w:t>
      </w:r>
      <w:r w:rsidR="00307664" w:rsidRPr="00FC232E">
        <w:rPr>
          <w:i/>
          <w:sz w:val="22"/>
          <w:szCs w:val="22"/>
        </w:rPr>
        <w:t xml:space="preserve"> </w:t>
      </w:r>
      <w:r w:rsidR="00307664" w:rsidRPr="00B8122E">
        <w:rPr>
          <w:sz w:val="22"/>
          <w:szCs w:val="22"/>
        </w:rPr>
        <w:t>EGFR</w:t>
      </w:r>
      <w:r w:rsidR="00307664" w:rsidRPr="00FC232E">
        <w:rPr>
          <w:sz w:val="22"/>
          <w:szCs w:val="22"/>
        </w:rPr>
        <w:t xml:space="preserve"> or </w:t>
      </w:r>
      <w:r w:rsidR="00307664" w:rsidRPr="00B8122E">
        <w:rPr>
          <w:sz w:val="22"/>
          <w:szCs w:val="22"/>
        </w:rPr>
        <w:t>ALK</w:t>
      </w:r>
      <w:r w:rsidR="00307664" w:rsidRPr="00FC232E">
        <w:rPr>
          <w:i/>
          <w:sz w:val="22"/>
          <w:szCs w:val="22"/>
        </w:rPr>
        <w:t xml:space="preserve"> </w:t>
      </w:r>
      <w:r w:rsidR="00307664" w:rsidRPr="00FC232E">
        <w:rPr>
          <w:sz w:val="22"/>
          <w:szCs w:val="22"/>
        </w:rPr>
        <w:t xml:space="preserve">TKI therapy. </w:t>
      </w:r>
    </w:p>
    <w:p w:rsidR="00307664" w:rsidRPr="00A21238" w:rsidRDefault="00307664" w:rsidP="00307664">
      <w:pPr>
        <w:rPr>
          <w:rFonts w:ascii="Century Gothic" w:hAnsi="Century Gothic" w:cs="Helvetica"/>
          <w:b/>
          <w:sz w:val="20"/>
          <w:szCs w:val="20"/>
        </w:rPr>
      </w:pPr>
    </w:p>
    <w:p w:rsidR="00307664" w:rsidRPr="00FC232E" w:rsidRDefault="00307664" w:rsidP="00307664">
      <w:pPr>
        <w:rPr>
          <w:b/>
          <w:sz w:val="22"/>
          <w:szCs w:val="22"/>
        </w:rPr>
      </w:pPr>
      <w:r w:rsidRPr="00FC232E">
        <w:rPr>
          <w:b/>
          <w:sz w:val="22"/>
          <w:szCs w:val="22"/>
        </w:rPr>
        <w:t>Exclusion Criteria</w:t>
      </w:r>
    </w:p>
    <w:p w:rsidR="00307664" w:rsidRPr="00FC232E" w:rsidRDefault="00307664" w:rsidP="00307664">
      <w:pPr>
        <w:rPr>
          <w:b/>
          <w:sz w:val="22"/>
          <w:szCs w:val="22"/>
        </w:rPr>
      </w:pPr>
      <w:r w:rsidRPr="00FC232E">
        <w:rPr>
          <w:sz w:val="22"/>
          <w:szCs w:val="22"/>
        </w:rPr>
        <w:t xml:space="preserve">Letters, commentaries, editorials, reviews, and case reports </w:t>
      </w:r>
      <w:proofErr w:type="gramStart"/>
      <w:r w:rsidRPr="00FC232E">
        <w:rPr>
          <w:sz w:val="22"/>
          <w:szCs w:val="22"/>
        </w:rPr>
        <w:t>were excluded</w:t>
      </w:r>
      <w:proofErr w:type="gramEnd"/>
      <w:r w:rsidRPr="00FC232E">
        <w:rPr>
          <w:sz w:val="22"/>
          <w:szCs w:val="22"/>
        </w:rPr>
        <w:t xml:space="preserve">. </w:t>
      </w:r>
    </w:p>
    <w:p w:rsidR="00307664" w:rsidRPr="00FC232E" w:rsidRDefault="00307664" w:rsidP="00307664">
      <w:pPr>
        <w:rPr>
          <w:b/>
          <w:sz w:val="22"/>
          <w:szCs w:val="22"/>
        </w:rPr>
      </w:pPr>
    </w:p>
    <w:p w:rsidR="00307664" w:rsidRPr="00FC232E" w:rsidRDefault="00307664" w:rsidP="00307664">
      <w:pPr>
        <w:rPr>
          <w:b/>
          <w:sz w:val="22"/>
          <w:szCs w:val="22"/>
        </w:rPr>
      </w:pPr>
      <w:r w:rsidRPr="00FC232E">
        <w:rPr>
          <w:b/>
          <w:sz w:val="22"/>
          <w:szCs w:val="22"/>
        </w:rPr>
        <w:t>Tests Examined</w:t>
      </w:r>
    </w:p>
    <w:p w:rsidR="00307664" w:rsidRPr="00FC232E" w:rsidRDefault="00307664" w:rsidP="00307664">
      <w:pPr>
        <w:rPr>
          <w:sz w:val="22"/>
          <w:szCs w:val="22"/>
        </w:rPr>
      </w:pPr>
      <w:r w:rsidRPr="00FC232E">
        <w:rPr>
          <w:sz w:val="22"/>
          <w:szCs w:val="22"/>
        </w:rPr>
        <w:t xml:space="preserve">Additional test methods considered included </w:t>
      </w:r>
      <w:r w:rsidRPr="00FC232E">
        <w:rPr>
          <w:i/>
          <w:sz w:val="22"/>
          <w:szCs w:val="22"/>
        </w:rPr>
        <w:t>EGFR</w:t>
      </w:r>
      <w:r w:rsidRPr="00FC232E">
        <w:rPr>
          <w:sz w:val="22"/>
          <w:szCs w:val="22"/>
        </w:rPr>
        <w:t xml:space="preserve"> copy number by fluorescence </w:t>
      </w:r>
      <w:r w:rsidRPr="00FC232E">
        <w:rPr>
          <w:i/>
          <w:sz w:val="22"/>
          <w:szCs w:val="22"/>
        </w:rPr>
        <w:t>in situ</w:t>
      </w:r>
      <w:r w:rsidRPr="00FC232E">
        <w:rPr>
          <w:sz w:val="22"/>
          <w:szCs w:val="22"/>
        </w:rPr>
        <w:t xml:space="preserve"> hybridization (FISH) or bright field </w:t>
      </w:r>
      <w:proofErr w:type="spellStart"/>
      <w:r w:rsidRPr="00FC232E">
        <w:rPr>
          <w:sz w:val="22"/>
          <w:szCs w:val="22"/>
        </w:rPr>
        <w:t>chromogenic</w:t>
      </w:r>
      <w:proofErr w:type="spellEnd"/>
      <w:r w:rsidRPr="00FC232E">
        <w:rPr>
          <w:sz w:val="22"/>
          <w:szCs w:val="22"/>
        </w:rPr>
        <w:t xml:space="preserve"> </w:t>
      </w:r>
      <w:r w:rsidRPr="00FC232E">
        <w:rPr>
          <w:i/>
          <w:sz w:val="22"/>
          <w:szCs w:val="22"/>
        </w:rPr>
        <w:t>in situ</w:t>
      </w:r>
      <w:r w:rsidRPr="00FC232E">
        <w:rPr>
          <w:sz w:val="22"/>
          <w:szCs w:val="22"/>
        </w:rPr>
        <w:t xml:space="preserve"> hybridization (CISH), immunohistochemistry for expression of ALK (kinase domain or carboxy-terminal) or mutated EGFR protein, and reverse transcription </w:t>
      </w:r>
      <w:r w:rsidR="00E16408">
        <w:rPr>
          <w:sz w:val="22"/>
          <w:szCs w:val="22"/>
        </w:rPr>
        <w:t xml:space="preserve">polymerase chain reaction </w:t>
      </w:r>
      <w:r w:rsidRPr="00FC232E">
        <w:rPr>
          <w:sz w:val="22"/>
          <w:szCs w:val="22"/>
        </w:rPr>
        <w:t xml:space="preserve">(RT-PCR) detection of EML4-ALK fusion transcript. Alterations in other genes, including </w:t>
      </w:r>
      <w:r w:rsidRPr="00FC232E">
        <w:rPr>
          <w:i/>
          <w:sz w:val="22"/>
          <w:szCs w:val="22"/>
        </w:rPr>
        <w:t>KRAS</w:t>
      </w:r>
      <w:r w:rsidRPr="00FC232E">
        <w:rPr>
          <w:sz w:val="22"/>
          <w:szCs w:val="22"/>
        </w:rPr>
        <w:t xml:space="preserve">, </w:t>
      </w:r>
      <w:r w:rsidRPr="00FC232E">
        <w:rPr>
          <w:i/>
          <w:sz w:val="22"/>
          <w:szCs w:val="22"/>
        </w:rPr>
        <w:t>BRAF</w:t>
      </w:r>
      <w:r w:rsidRPr="00FC232E">
        <w:rPr>
          <w:sz w:val="22"/>
          <w:szCs w:val="22"/>
        </w:rPr>
        <w:t xml:space="preserve">, and </w:t>
      </w:r>
      <w:proofErr w:type="gramStart"/>
      <w:r w:rsidRPr="00FC232E">
        <w:rPr>
          <w:i/>
          <w:sz w:val="22"/>
          <w:szCs w:val="22"/>
        </w:rPr>
        <w:t>MET</w:t>
      </w:r>
      <w:proofErr w:type="gramEnd"/>
      <w:r w:rsidRPr="00FC232E">
        <w:rPr>
          <w:sz w:val="22"/>
          <w:szCs w:val="22"/>
        </w:rPr>
        <w:t xml:space="preserve"> were also considered</w:t>
      </w:r>
      <w:r w:rsidR="005E0D7C" w:rsidRPr="00FC232E">
        <w:rPr>
          <w:sz w:val="22"/>
          <w:szCs w:val="22"/>
        </w:rPr>
        <w:t>.</w:t>
      </w:r>
    </w:p>
    <w:p w:rsidR="00307664" w:rsidRPr="00A21238" w:rsidRDefault="00307664" w:rsidP="00307664">
      <w:pPr>
        <w:rPr>
          <w:rFonts w:ascii="Century Gothic" w:hAnsi="Century Gothic" w:cs="Helvetica"/>
          <w:sz w:val="20"/>
          <w:szCs w:val="20"/>
        </w:rPr>
      </w:pPr>
    </w:p>
    <w:p w:rsidR="00307664" w:rsidRPr="00FC232E" w:rsidRDefault="00307664" w:rsidP="00307664">
      <w:pPr>
        <w:rPr>
          <w:b/>
          <w:sz w:val="22"/>
          <w:szCs w:val="22"/>
        </w:rPr>
      </w:pPr>
      <w:r w:rsidRPr="00FC232E">
        <w:rPr>
          <w:b/>
          <w:sz w:val="22"/>
          <w:szCs w:val="22"/>
        </w:rPr>
        <w:t>Outcomes of Interest:</w:t>
      </w:r>
    </w:p>
    <w:p w:rsidR="00307664" w:rsidRPr="00FC232E" w:rsidRDefault="00307664" w:rsidP="00307664">
      <w:pPr>
        <w:rPr>
          <w:sz w:val="22"/>
          <w:szCs w:val="22"/>
        </w:rPr>
      </w:pPr>
      <w:r w:rsidRPr="00FC232E">
        <w:rPr>
          <w:sz w:val="22"/>
          <w:szCs w:val="22"/>
        </w:rPr>
        <w:t xml:space="preserve">The primary outcomes of interest were the correlations between </w:t>
      </w:r>
      <w:r w:rsidRPr="00FC232E">
        <w:rPr>
          <w:i/>
          <w:sz w:val="22"/>
          <w:szCs w:val="22"/>
        </w:rPr>
        <w:t xml:space="preserve">EGFR </w:t>
      </w:r>
      <w:r w:rsidRPr="00FC232E">
        <w:rPr>
          <w:sz w:val="22"/>
          <w:szCs w:val="22"/>
        </w:rPr>
        <w:t xml:space="preserve">mutation or </w:t>
      </w:r>
      <w:r w:rsidRPr="00FC232E">
        <w:rPr>
          <w:i/>
          <w:sz w:val="22"/>
          <w:szCs w:val="22"/>
        </w:rPr>
        <w:t xml:space="preserve">ALK </w:t>
      </w:r>
      <w:r w:rsidRPr="00FC232E">
        <w:rPr>
          <w:sz w:val="22"/>
          <w:szCs w:val="22"/>
        </w:rPr>
        <w:t xml:space="preserve">rearrangement and benefit from </w:t>
      </w:r>
      <w:r w:rsidRPr="00B8122E">
        <w:rPr>
          <w:sz w:val="22"/>
          <w:szCs w:val="22"/>
        </w:rPr>
        <w:t xml:space="preserve">EGFR </w:t>
      </w:r>
      <w:r w:rsidRPr="00FC232E">
        <w:rPr>
          <w:sz w:val="22"/>
          <w:szCs w:val="22"/>
        </w:rPr>
        <w:t xml:space="preserve">or </w:t>
      </w:r>
      <w:r w:rsidRPr="00B8122E">
        <w:rPr>
          <w:sz w:val="22"/>
          <w:szCs w:val="22"/>
        </w:rPr>
        <w:t xml:space="preserve">ALK </w:t>
      </w:r>
      <w:r w:rsidR="00F15F6D">
        <w:rPr>
          <w:sz w:val="22"/>
          <w:szCs w:val="22"/>
        </w:rPr>
        <w:t xml:space="preserve">TKI </w:t>
      </w:r>
      <w:r w:rsidRPr="00FC232E">
        <w:rPr>
          <w:sz w:val="22"/>
          <w:szCs w:val="22"/>
        </w:rPr>
        <w:t xml:space="preserve">therapies, respectively. Other outcomes of interest included accuracy in determining </w:t>
      </w:r>
      <w:r w:rsidRPr="00FC232E">
        <w:rPr>
          <w:i/>
          <w:sz w:val="22"/>
          <w:szCs w:val="22"/>
        </w:rPr>
        <w:t xml:space="preserve">EGFR </w:t>
      </w:r>
      <w:r w:rsidRPr="00FC232E">
        <w:rPr>
          <w:sz w:val="22"/>
          <w:szCs w:val="22"/>
        </w:rPr>
        <w:t xml:space="preserve">or </w:t>
      </w:r>
      <w:r w:rsidRPr="00FC232E">
        <w:rPr>
          <w:i/>
          <w:sz w:val="22"/>
          <w:szCs w:val="22"/>
        </w:rPr>
        <w:t>ALK</w:t>
      </w:r>
      <w:r w:rsidRPr="00FC232E">
        <w:rPr>
          <w:sz w:val="22"/>
          <w:szCs w:val="22"/>
        </w:rPr>
        <w:t xml:space="preserve"> status, concordance across technical platforms, sensitivity, and specificity of different tests.  After careful consideration of each of these, the</w:t>
      </w:r>
      <w:r w:rsidR="00890DF2" w:rsidRPr="00FC232E">
        <w:rPr>
          <w:sz w:val="22"/>
          <w:szCs w:val="22"/>
        </w:rPr>
        <w:t xml:space="preserve"> expert and advisory panels</w:t>
      </w:r>
      <w:r w:rsidRPr="00FC232E">
        <w:rPr>
          <w:sz w:val="22"/>
          <w:szCs w:val="22"/>
        </w:rPr>
        <w:t xml:space="preserve"> </w:t>
      </w:r>
      <w:r w:rsidRPr="00FC232E">
        <w:rPr>
          <w:sz w:val="22"/>
          <w:szCs w:val="22"/>
        </w:rPr>
        <w:lastRenderedPageBreak/>
        <w:t xml:space="preserve">agreed that the primary recommendations of this guideline should focus on </w:t>
      </w:r>
      <w:r w:rsidRPr="00FC232E">
        <w:rPr>
          <w:i/>
          <w:sz w:val="22"/>
          <w:szCs w:val="22"/>
        </w:rPr>
        <w:t>EGFR</w:t>
      </w:r>
      <w:r w:rsidRPr="00FC232E">
        <w:rPr>
          <w:sz w:val="22"/>
          <w:szCs w:val="22"/>
        </w:rPr>
        <w:t xml:space="preserve"> mutation assays and </w:t>
      </w:r>
      <w:r w:rsidRPr="00FC232E">
        <w:rPr>
          <w:i/>
          <w:sz w:val="22"/>
          <w:szCs w:val="22"/>
        </w:rPr>
        <w:t>ALK</w:t>
      </w:r>
      <w:r w:rsidRPr="00FC232E">
        <w:rPr>
          <w:sz w:val="22"/>
          <w:szCs w:val="22"/>
        </w:rPr>
        <w:t xml:space="preserve"> FISH assays. </w:t>
      </w:r>
    </w:p>
    <w:p w:rsidR="00307664" w:rsidRPr="00FC232E" w:rsidRDefault="00307664" w:rsidP="00307664">
      <w:pPr>
        <w:spacing w:before="223" w:after="223"/>
        <w:rPr>
          <w:sz w:val="22"/>
          <w:szCs w:val="22"/>
        </w:rPr>
      </w:pPr>
      <w:r w:rsidRPr="00FC232E">
        <w:rPr>
          <w:sz w:val="22"/>
          <w:szCs w:val="22"/>
        </w:rPr>
        <w:t>The panel reviewed the results of randomized controlled trials in lung cancer testing anti-</w:t>
      </w:r>
      <w:r w:rsidRPr="00FC232E">
        <w:rPr>
          <w:i/>
          <w:sz w:val="22"/>
          <w:szCs w:val="22"/>
        </w:rPr>
        <w:t xml:space="preserve"> </w:t>
      </w:r>
      <w:r w:rsidRPr="00B8122E">
        <w:rPr>
          <w:sz w:val="22"/>
          <w:szCs w:val="22"/>
        </w:rPr>
        <w:t>EGFR</w:t>
      </w:r>
      <w:r w:rsidRPr="00FC232E">
        <w:rPr>
          <w:sz w:val="22"/>
          <w:szCs w:val="22"/>
        </w:rPr>
        <w:t xml:space="preserve"> or </w:t>
      </w:r>
      <w:r w:rsidRPr="00B8122E">
        <w:rPr>
          <w:sz w:val="22"/>
          <w:szCs w:val="22"/>
        </w:rPr>
        <w:t>ALK</w:t>
      </w:r>
      <w:r w:rsidR="00E16408">
        <w:rPr>
          <w:sz w:val="22"/>
          <w:szCs w:val="22"/>
        </w:rPr>
        <w:t xml:space="preserve"> therapies such as</w:t>
      </w:r>
      <w:r w:rsidRPr="00FC232E">
        <w:rPr>
          <w:sz w:val="22"/>
          <w:szCs w:val="22"/>
        </w:rPr>
        <w:t xml:space="preserve"> gefitinib, erlotinib and crizotinib. The panel also reviewed </w:t>
      </w:r>
      <w:proofErr w:type="spellStart"/>
      <w:r w:rsidRPr="00FC232E">
        <w:rPr>
          <w:sz w:val="22"/>
          <w:szCs w:val="22"/>
        </w:rPr>
        <w:t>unblinded</w:t>
      </w:r>
      <w:proofErr w:type="spellEnd"/>
      <w:r w:rsidRPr="00FC232E">
        <w:rPr>
          <w:sz w:val="22"/>
          <w:szCs w:val="22"/>
        </w:rPr>
        <w:t xml:space="preserve"> trials comparing various testing methods, describing test characteristics, and defining strategies for quality assurance of testing in the literature. </w:t>
      </w:r>
    </w:p>
    <w:p w:rsidR="00307664" w:rsidRPr="00FC232E" w:rsidRDefault="00307664" w:rsidP="00307664">
      <w:pPr>
        <w:rPr>
          <w:b/>
          <w:sz w:val="22"/>
          <w:szCs w:val="22"/>
        </w:rPr>
      </w:pPr>
      <w:r w:rsidRPr="00FC232E">
        <w:rPr>
          <w:b/>
          <w:sz w:val="22"/>
          <w:szCs w:val="22"/>
        </w:rPr>
        <w:t>Environmental Scan</w:t>
      </w:r>
    </w:p>
    <w:p w:rsidR="00307664" w:rsidRPr="00FC232E" w:rsidRDefault="00307664" w:rsidP="00307664">
      <w:pPr>
        <w:rPr>
          <w:b/>
          <w:sz w:val="22"/>
          <w:szCs w:val="22"/>
        </w:rPr>
      </w:pPr>
      <w:r w:rsidRPr="00FC232E">
        <w:rPr>
          <w:sz w:val="22"/>
          <w:szCs w:val="22"/>
        </w:rPr>
        <w:t>Individuals representing regulatory agencies (</w:t>
      </w:r>
      <w:r w:rsidR="00132FB4" w:rsidRPr="00FC232E">
        <w:rPr>
          <w:sz w:val="22"/>
          <w:szCs w:val="22"/>
        </w:rPr>
        <w:t>United States Food and Drug Administration</w:t>
      </w:r>
      <w:r w:rsidRPr="00FC232E">
        <w:rPr>
          <w:sz w:val="22"/>
          <w:szCs w:val="22"/>
        </w:rPr>
        <w:t xml:space="preserve">) also provided information about the regulatory framework. Individuals involved with quality assurance in the United States (CAP), </w:t>
      </w:r>
      <w:r w:rsidR="00E16408">
        <w:rPr>
          <w:sz w:val="22"/>
          <w:szCs w:val="22"/>
        </w:rPr>
        <w:t xml:space="preserve">the </w:t>
      </w:r>
      <w:r w:rsidRPr="00FC232E">
        <w:rPr>
          <w:sz w:val="22"/>
          <w:szCs w:val="22"/>
        </w:rPr>
        <w:t>Netherlands, and Canada (Province</w:t>
      </w:r>
      <w:r w:rsidR="005E0D7C" w:rsidRPr="00FC232E">
        <w:rPr>
          <w:sz w:val="22"/>
          <w:szCs w:val="22"/>
        </w:rPr>
        <w:t xml:space="preserve"> of Ontario) provided</w:t>
      </w:r>
      <w:r w:rsidRPr="00FC232E">
        <w:rPr>
          <w:sz w:val="22"/>
          <w:szCs w:val="22"/>
        </w:rPr>
        <w:t xml:space="preserve"> information about programs to measure and improve </w:t>
      </w:r>
      <w:r w:rsidRPr="00FC232E">
        <w:rPr>
          <w:i/>
          <w:sz w:val="22"/>
          <w:szCs w:val="22"/>
        </w:rPr>
        <w:t>EGFR</w:t>
      </w:r>
      <w:r w:rsidRPr="00FC232E">
        <w:rPr>
          <w:sz w:val="22"/>
          <w:szCs w:val="22"/>
        </w:rPr>
        <w:t xml:space="preserve"> and </w:t>
      </w:r>
      <w:r w:rsidRPr="00FC232E">
        <w:rPr>
          <w:i/>
          <w:sz w:val="22"/>
          <w:szCs w:val="22"/>
        </w:rPr>
        <w:t>ALK</w:t>
      </w:r>
      <w:r w:rsidRPr="00FC232E">
        <w:rPr>
          <w:sz w:val="22"/>
          <w:szCs w:val="22"/>
        </w:rPr>
        <w:t xml:space="preserve"> testing. This information was used to help the panel define the best algorithm for testing, specify testing requirements and exclusions, and the necessary quality assurance monitoring that will make the testing less variable and more accurate. </w:t>
      </w:r>
    </w:p>
    <w:p w:rsidR="00307664" w:rsidRPr="00A21238" w:rsidRDefault="00307664" w:rsidP="00307664">
      <w:pPr>
        <w:rPr>
          <w:rFonts w:ascii="Century Gothic" w:hAnsi="Century Gothic" w:cs="Helvetica"/>
          <w:sz w:val="20"/>
          <w:szCs w:val="20"/>
          <w:lang w:val="en-GB"/>
        </w:rPr>
      </w:pPr>
    </w:p>
    <w:p w:rsidR="00104E08" w:rsidRPr="00FC232E" w:rsidRDefault="00307664" w:rsidP="00104E08">
      <w:pPr>
        <w:rPr>
          <w:b/>
          <w:iCs/>
          <w:sz w:val="22"/>
          <w:szCs w:val="22"/>
        </w:rPr>
      </w:pPr>
      <w:r w:rsidRPr="00FC232E">
        <w:rPr>
          <w:b/>
          <w:iCs/>
          <w:sz w:val="22"/>
          <w:szCs w:val="22"/>
        </w:rPr>
        <w:t>Quality Assessment and Grading of the Included Evidence</w:t>
      </w:r>
    </w:p>
    <w:p w:rsidR="00A1044E" w:rsidRPr="00A21238" w:rsidRDefault="00307664" w:rsidP="00890DF2">
      <w:pPr>
        <w:rPr>
          <w:rFonts w:ascii="Century Gothic" w:hAnsi="Century Gothic" w:cs="Helvetica"/>
          <w:b/>
          <w:iCs/>
          <w:sz w:val="20"/>
          <w:szCs w:val="20"/>
        </w:rPr>
      </w:pPr>
      <w:proofErr w:type="gramStart"/>
      <w:r w:rsidRPr="00FC232E">
        <w:rPr>
          <w:sz w:val="22"/>
          <w:szCs w:val="22"/>
        </w:rPr>
        <w:t xml:space="preserve">Grading of recommendations was based on overall ratings of individual components of the evidence, such as strength of evidence, its consistency, clinical impact, </w:t>
      </w:r>
      <w:proofErr w:type="spellStart"/>
      <w:r w:rsidRPr="00FC232E">
        <w:rPr>
          <w:sz w:val="22"/>
          <w:szCs w:val="22"/>
        </w:rPr>
        <w:t>generalizability</w:t>
      </w:r>
      <w:proofErr w:type="spellEnd"/>
      <w:r w:rsidRPr="00FC232E">
        <w:rPr>
          <w:sz w:val="22"/>
          <w:szCs w:val="22"/>
        </w:rPr>
        <w:t>, and applicability to the international health care system.</w:t>
      </w:r>
      <w:r w:rsidR="0002496E" w:rsidRPr="00A21238">
        <w:rPr>
          <w:rFonts w:ascii="Century Gothic" w:hAnsi="Century Gothic"/>
          <w:noProof/>
          <w:sz w:val="20"/>
          <w:szCs w:val="20"/>
          <w:vertAlign w:val="superscript"/>
        </w:rPr>
        <w:t>1</w:t>
      </w:r>
      <w:r w:rsidR="004C5168" w:rsidRPr="00A21238">
        <w:rPr>
          <w:rFonts w:ascii="Century Gothic" w:hAnsi="Century Gothic"/>
          <w:noProof/>
          <w:sz w:val="20"/>
          <w:szCs w:val="20"/>
          <w:vertAlign w:val="superscript"/>
        </w:rPr>
        <w:t xml:space="preserve">, </w:t>
      </w:r>
      <w:r w:rsidR="0002496E" w:rsidRPr="00A21238">
        <w:rPr>
          <w:rFonts w:ascii="Century Gothic" w:hAnsi="Century Gothic"/>
          <w:noProof/>
          <w:sz w:val="20"/>
          <w:szCs w:val="20"/>
          <w:vertAlign w:val="superscript"/>
        </w:rPr>
        <w:t>2</w:t>
      </w:r>
      <w:r w:rsidRPr="00A21238">
        <w:rPr>
          <w:rFonts w:ascii="Century Gothic" w:hAnsi="Century Gothic"/>
          <w:sz w:val="20"/>
          <w:szCs w:val="20"/>
        </w:rPr>
        <w:t xml:space="preserve"> </w:t>
      </w:r>
      <w:r w:rsidRPr="00FC232E">
        <w:rPr>
          <w:sz w:val="22"/>
          <w:szCs w:val="22"/>
        </w:rPr>
        <w:t>For strength of the evidence, we considered the level of evidence base</w:t>
      </w:r>
      <w:r w:rsidR="00A1044E" w:rsidRPr="00FC232E">
        <w:rPr>
          <w:sz w:val="22"/>
          <w:szCs w:val="22"/>
        </w:rPr>
        <w:t>d on its hierarchy (Table 1</w:t>
      </w:r>
      <w:r w:rsidRPr="00FC232E">
        <w:rPr>
          <w:sz w:val="22"/>
          <w:szCs w:val="22"/>
        </w:rPr>
        <w:t>), number of studies and number of patients, magnitude of effect from the weighted mean difference or risk ratio, statistical precision measured as a point estimate or confidence interval, and methodological quality of included studies.</w:t>
      </w:r>
      <w:proofErr w:type="gramEnd"/>
      <w:r w:rsidRPr="00FC232E">
        <w:rPr>
          <w:sz w:val="22"/>
          <w:szCs w:val="22"/>
        </w:rPr>
        <w:t xml:space="preserve"> The quality of systematic reviews, randomized control trial</w:t>
      </w:r>
      <w:r w:rsidR="00E16408">
        <w:rPr>
          <w:sz w:val="22"/>
          <w:szCs w:val="22"/>
        </w:rPr>
        <w:t>s (RCTs), and cohort studies were</w:t>
      </w:r>
      <w:r w:rsidRPr="00FC232E">
        <w:rPr>
          <w:sz w:val="22"/>
          <w:szCs w:val="22"/>
        </w:rPr>
        <w:t xml:space="preserve"> assessed by using the </w:t>
      </w:r>
      <w:r w:rsidRPr="00C353FE">
        <w:rPr>
          <w:sz w:val="22"/>
          <w:szCs w:val="22"/>
        </w:rPr>
        <w:t>AMSTAR</w:t>
      </w:r>
      <w:r w:rsidR="00C353FE">
        <w:rPr>
          <w:sz w:val="22"/>
          <w:szCs w:val="22"/>
        </w:rPr>
        <w:t xml:space="preserve"> </w:t>
      </w:r>
      <w:r w:rsidR="00C353FE" w:rsidRPr="00C353FE">
        <w:rPr>
          <w:sz w:val="22"/>
          <w:szCs w:val="22"/>
        </w:rPr>
        <w:t>(Assessment of Multiple Systematic Reviews)</w:t>
      </w:r>
      <w:r w:rsidR="00C353FE">
        <w:t xml:space="preserve"> </w:t>
      </w:r>
      <w:r w:rsidRPr="00FC232E">
        <w:rPr>
          <w:sz w:val="22"/>
          <w:szCs w:val="22"/>
        </w:rPr>
        <w:t>instrument</w:t>
      </w:r>
      <w:r w:rsidR="00B04060" w:rsidRPr="00FC232E">
        <w:rPr>
          <w:sz w:val="22"/>
          <w:szCs w:val="22"/>
        </w:rPr>
        <w:t xml:space="preserve"> </w:t>
      </w:r>
      <w:r w:rsidRPr="00FC232E">
        <w:rPr>
          <w:sz w:val="22"/>
          <w:szCs w:val="22"/>
        </w:rPr>
        <w:t xml:space="preserve">and </w:t>
      </w:r>
      <w:r w:rsidR="00E16408">
        <w:rPr>
          <w:sz w:val="22"/>
          <w:szCs w:val="22"/>
        </w:rPr>
        <w:t>SIGN (</w:t>
      </w:r>
      <w:r w:rsidRPr="00FC232E">
        <w:rPr>
          <w:sz w:val="22"/>
          <w:szCs w:val="22"/>
        </w:rPr>
        <w:t>Scottish Intercollegiate Guidelines Network</w:t>
      </w:r>
      <w:r w:rsidR="00E16408">
        <w:rPr>
          <w:sz w:val="22"/>
          <w:szCs w:val="22"/>
        </w:rPr>
        <w:t xml:space="preserve">) </w:t>
      </w:r>
      <w:r w:rsidRPr="00FC232E">
        <w:rPr>
          <w:sz w:val="22"/>
          <w:szCs w:val="22"/>
        </w:rPr>
        <w:t>50 checklists respectively</w:t>
      </w:r>
      <w:r w:rsidR="002A2102" w:rsidRPr="00FC232E">
        <w:rPr>
          <w:sz w:val="22"/>
          <w:szCs w:val="22"/>
        </w:rPr>
        <w:t>.</w:t>
      </w:r>
      <w:r w:rsidR="0002496E" w:rsidRPr="00A21238">
        <w:rPr>
          <w:rFonts w:ascii="Century Gothic" w:hAnsi="Century Gothic"/>
          <w:noProof/>
          <w:sz w:val="20"/>
          <w:szCs w:val="20"/>
          <w:vertAlign w:val="superscript"/>
        </w:rPr>
        <w:t>3</w:t>
      </w:r>
      <w:r w:rsidR="004C5168" w:rsidRPr="00A21238">
        <w:rPr>
          <w:rFonts w:ascii="Century Gothic" w:hAnsi="Century Gothic"/>
          <w:noProof/>
          <w:sz w:val="20"/>
          <w:szCs w:val="20"/>
          <w:vertAlign w:val="superscript"/>
        </w:rPr>
        <w:t xml:space="preserve">, </w:t>
      </w:r>
      <w:r w:rsidR="0002496E" w:rsidRPr="00A21238">
        <w:rPr>
          <w:rFonts w:ascii="Century Gothic" w:hAnsi="Century Gothic"/>
          <w:noProof/>
          <w:sz w:val="20"/>
          <w:szCs w:val="20"/>
          <w:vertAlign w:val="superscript"/>
        </w:rPr>
        <w:t>4</w:t>
      </w:r>
      <w:r w:rsidRPr="00A21238">
        <w:rPr>
          <w:rFonts w:ascii="Century Gothic" w:hAnsi="Century Gothic"/>
          <w:sz w:val="20"/>
          <w:szCs w:val="20"/>
        </w:rPr>
        <w:t xml:space="preserve"> </w:t>
      </w:r>
    </w:p>
    <w:p w:rsidR="00A1044E" w:rsidRPr="00A21238" w:rsidRDefault="00A1044E" w:rsidP="00A1044E">
      <w:pPr>
        <w:spacing w:before="120" w:after="120"/>
        <w:rPr>
          <w:rFonts w:ascii="Century Gothic" w:hAnsi="Century Gothic" w:cs="Arial"/>
          <w:b/>
          <w:sz w:val="20"/>
          <w:szCs w:val="20"/>
        </w:rPr>
      </w:pPr>
      <w:r w:rsidRPr="00FC232E">
        <w:rPr>
          <w:b/>
          <w:sz w:val="22"/>
          <w:szCs w:val="22"/>
        </w:rPr>
        <w:t>Table 1: Hierarchy</w:t>
      </w:r>
      <w:r w:rsidRPr="00FC232E">
        <w:rPr>
          <w:sz w:val="22"/>
          <w:szCs w:val="22"/>
        </w:rPr>
        <w:t xml:space="preserve"> </w:t>
      </w:r>
      <w:r w:rsidRPr="00FC232E">
        <w:rPr>
          <w:b/>
          <w:sz w:val="22"/>
          <w:szCs w:val="22"/>
        </w:rPr>
        <w:t>of evidence</w:t>
      </w:r>
      <w:r w:rsidR="0002496E" w:rsidRPr="0002496E">
        <w:rPr>
          <w:rFonts w:ascii="Century Gothic" w:hAnsi="Century Gothic" w:cs="Arial"/>
          <w:b/>
          <w:noProof/>
          <w:sz w:val="20"/>
          <w:szCs w:val="20"/>
          <w:vertAlign w:val="superscript"/>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8598"/>
      </w:tblGrid>
      <w:tr w:rsidR="00A1044E" w:rsidRPr="00A21238" w:rsidTr="00B35E87">
        <w:tc>
          <w:tcPr>
            <w:tcW w:w="622" w:type="dxa"/>
          </w:tcPr>
          <w:p w:rsidR="00A1044E" w:rsidRPr="00FC232E" w:rsidRDefault="00A1044E" w:rsidP="00E57285">
            <w:pPr>
              <w:rPr>
                <w:b/>
                <w:sz w:val="22"/>
                <w:szCs w:val="22"/>
              </w:rPr>
            </w:pPr>
            <w:r w:rsidRPr="00FC232E">
              <w:rPr>
                <w:b/>
                <w:sz w:val="22"/>
                <w:szCs w:val="22"/>
              </w:rPr>
              <w:t>Level</w:t>
            </w:r>
          </w:p>
        </w:tc>
        <w:tc>
          <w:tcPr>
            <w:tcW w:w="0" w:type="auto"/>
          </w:tcPr>
          <w:p w:rsidR="00A1044E" w:rsidRPr="00FC232E" w:rsidRDefault="00A1044E" w:rsidP="00E57285">
            <w:pPr>
              <w:rPr>
                <w:sz w:val="22"/>
                <w:szCs w:val="22"/>
              </w:rPr>
            </w:pPr>
            <w:r w:rsidRPr="00FC232E">
              <w:rPr>
                <w:b/>
                <w:bCs/>
                <w:sz w:val="22"/>
                <w:szCs w:val="22"/>
                <w:lang w:eastAsia="en-CA"/>
              </w:rPr>
              <w:t>Intervention</w:t>
            </w:r>
          </w:p>
        </w:tc>
      </w:tr>
      <w:tr w:rsidR="00A1044E" w:rsidRPr="00A21238" w:rsidTr="00B35E87">
        <w:tc>
          <w:tcPr>
            <w:tcW w:w="622" w:type="dxa"/>
          </w:tcPr>
          <w:p w:rsidR="00A1044E" w:rsidRPr="00FC232E" w:rsidRDefault="00A1044E" w:rsidP="00E57285">
            <w:pPr>
              <w:rPr>
                <w:b/>
                <w:sz w:val="22"/>
                <w:szCs w:val="22"/>
              </w:rPr>
            </w:pPr>
            <w:r w:rsidRPr="00FC232E">
              <w:rPr>
                <w:b/>
                <w:sz w:val="22"/>
                <w:szCs w:val="22"/>
              </w:rPr>
              <w:t>I</w:t>
            </w:r>
          </w:p>
        </w:tc>
        <w:tc>
          <w:tcPr>
            <w:tcW w:w="0" w:type="auto"/>
          </w:tcPr>
          <w:p w:rsidR="00A1044E" w:rsidRPr="00FC232E" w:rsidRDefault="00A1044E" w:rsidP="00E57285">
            <w:pPr>
              <w:autoSpaceDE w:val="0"/>
              <w:autoSpaceDN w:val="0"/>
              <w:adjustRightInd w:val="0"/>
              <w:rPr>
                <w:sz w:val="22"/>
                <w:szCs w:val="22"/>
              </w:rPr>
            </w:pPr>
            <w:r w:rsidRPr="00FC232E">
              <w:rPr>
                <w:sz w:val="22"/>
                <w:szCs w:val="22"/>
                <w:lang w:eastAsia="en-CA"/>
              </w:rPr>
              <w:t>A systematic review of level II studies</w:t>
            </w:r>
          </w:p>
        </w:tc>
      </w:tr>
      <w:tr w:rsidR="00A1044E" w:rsidRPr="00A21238" w:rsidTr="00B35E87">
        <w:tc>
          <w:tcPr>
            <w:tcW w:w="622" w:type="dxa"/>
          </w:tcPr>
          <w:p w:rsidR="00A1044E" w:rsidRPr="00FC232E" w:rsidRDefault="00A1044E" w:rsidP="00E57285">
            <w:pPr>
              <w:rPr>
                <w:b/>
                <w:sz w:val="22"/>
                <w:szCs w:val="22"/>
              </w:rPr>
            </w:pPr>
            <w:r w:rsidRPr="00FC232E">
              <w:rPr>
                <w:b/>
                <w:sz w:val="22"/>
                <w:szCs w:val="22"/>
              </w:rPr>
              <w:t>II</w:t>
            </w:r>
          </w:p>
        </w:tc>
        <w:tc>
          <w:tcPr>
            <w:tcW w:w="0" w:type="auto"/>
          </w:tcPr>
          <w:p w:rsidR="00A1044E" w:rsidRPr="00FC232E" w:rsidRDefault="004C785A" w:rsidP="00E57285">
            <w:pPr>
              <w:rPr>
                <w:sz w:val="22"/>
                <w:szCs w:val="22"/>
              </w:rPr>
            </w:pPr>
            <w:r w:rsidRPr="00FC232E">
              <w:rPr>
                <w:sz w:val="22"/>
                <w:szCs w:val="22"/>
                <w:lang w:eastAsia="en-CA"/>
              </w:rPr>
              <w:t>Randomi</w:t>
            </w:r>
            <w:r w:rsidR="00271EA5" w:rsidRPr="00FC232E">
              <w:rPr>
                <w:sz w:val="22"/>
                <w:szCs w:val="22"/>
                <w:lang w:eastAsia="en-CA"/>
              </w:rPr>
              <w:t>z</w:t>
            </w:r>
            <w:r w:rsidR="00A1044E" w:rsidRPr="00FC232E">
              <w:rPr>
                <w:sz w:val="22"/>
                <w:szCs w:val="22"/>
                <w:lang w:eastAsia="en-CA"/>
              </w:rPr>
              <w:t>ed Clinical Trial (RCT) (Good Quality)</w:t>
            </w:r>
          </w:p>
        </w:tc>
      </w:tr>
      <w:tr w:rsidR="00A1044E" w:rsidRPr="00A21238" w:rsidTr="00B35E87">
        <w:tc>
          <w:tcPr>
            <w:tcW w:w="622" w:type="dxa"/>
          </w:tcPr>
          <w:p w:rsidR="00A1044E" w:rsidRPr="00FC232E" w:rsidRDefault="00A1044E" w:rsidP="00E57285">
            <w:pPr>
              <w:rPr>
                <w:b/>
                <w:sz w:val="22"/>
                <w:szCs w:val="22"/>
              </w:rPr>
            </w:pPr>
            <w:r w:rsidRPr="00FC232E">
              <w:rPr>
                <w:b/>
                <w:sz w:val="22"/>
                <w:szCs w:val="22"/>
              </w:rPr>
              <w:t>III-1</w:t>
            </w:r>
          </w:p>
        </w:tc>
        <w:tc>
          <w:tcPr>
            <w:tcW w:w="0" w:type="auto"/>
          </w:tcPr>
          <w:p w:rsidR="00A1044E" w:rsidRPr="00FC232E" w:rsidRDefault="00A1044E" w:rsidP="00E57285">
            <w:pPr>
              <w:autoSpaceDE w:val="0"/>
              <w:autoSpaceDN w:val="0"/>
              <w:adjustRightInd w:val="0"/>
              <w:rPr>
                <w:sz w:val="22"/>
                <w:szCs w:val="22"/>
              </w:rPr>
            </w:pPr>
            <w:r w:rsidRPr="00FC232E">
              <w:rPr>
                <w:sz w:val="22"/>
                <w:szCs w:val="22"/>
                <w:lang w:eastAsia="en-CA"/>
              </w:rPr>
              <w:t>A pseudo-</w:t>
            </w:r>
            <w:r w:rsidRPr="00FC232E" w:rsidDel="0048601D">
              <w:rPr>
                <w:sz w:val="22"/>
                <w:szCs w:val="22"/>
                <w:lang w:eastAsia="en-CA"/>
              </w:rPr>
              <w:t xml:space="preserve"> </w:t>
            </w:r>
            <w:r w:rsidRPr="00FC232E">
              <w:rPr>
                <w:sz w:val="22"/>
                <w:szCs w:val="22"/>
                <w:lang w:eastAsia="en-CA"/>
              </w:rPr>
              <w:t xml:space="preserve">RCT (i.e. alternate allocation or some other method) or RCT </w:t>
            </w:r>
            <w:r w:rsidRPr="00FC232E">
              <w:rPr>
                <w:sz w:val="22"/>
                <w:szCs w:val="22"/>
              </w:rPr>
              <w:t>(Poor Quality)</w:t>
            </w:r>
          </w:p>
        </w:tc>
      </w:tr>
      <w:tr w:rsidR="00A1044E" w:rsidRPr="00A21238" w:rsidTr="00B35E87">
        <w:tc>
          <w:tcPr>
            <w:tcW w:w="622" w:type="dxa"/>
          </w:tcPr>
          <w:p w:rsidR="00A1044E" w:rsidRPr="00FC232E" w:rsidRDefault="00A1044E" w:rsidP="00E57285">
            <w:pPr>
              <w:rPr>
                <w:b/>
                <w:sz w:val="22"/>
                <w:szCs w:val="22"/>
              </w:rPr>
            </w:pPr>
            <w:r w:rsidRPr="00FC232E">
              <w:rPr>
                <w:b/>
                <w:sz w:val="22"/>
                <w:szCs w:val="22"/>
              </w:rPr>
              <w:t>III-2</w:t>
            </w:r>
          </w:p>
        </w:tc>
        <w:tc>
          <w:tcPr>
            <w:tcW w:w="0" w:type="auto"/>
          </w:tcPr>
          <w:p w:rsidR="00A1044E" w:rsidRPr="00FC232E" w:rsidRDefault="00A1044E" w:rsidP="00E57285">
            <w:pPr>
              <w:autoSpaceDE w:val="0"/>
              <w:autoSpaceDN w:val="0"/>
              <w:adjustRightInd w:val="0"/>
              <w:rPr>
                <w:sz w:val="22"/>
                <w:szCs w:val="22"/>
                <w:lang w:eastAsia="en-CA"/>
              </w:rPr>
            </w:pPr>
            <w:r w:rsidRPr="00FC232E">
              <w:rPr>
                <w:sz w:val="22"/>
                <w:szCs w:val="22"/>
                <w:lang w:eastAsia="en-CA"/>
              </w:rPr>
              <w:t>A comparative study with concurrent controls:</w:t>
            </w:r>
          </w:p>
          <w:p w:rsidR="00A1044E" w:rsidRPr="00FC232E" w:rsidRDefault="00A1044E" w:rsidP="00E57285">
            <w:pPr>
              <w:autoSpaceDE w:val="0"/>
              <w:autoSpaceDN w:val="0"/>
              <w:adjustRightInd w:val="0"/>
              <w:rPr>
                <w:sz w:val="22"/>
                <w:szCs w:val="22"/>
                <w:lang w:eastAsia="en-CA"/>
              </w:rPr>
            </w:pPr>
            <w:r w:rsidRPr="00FC232E">
              <w:rPr>
                <w:sz w:val="22"/>
                <w:szCs w:val="22"/>
                <w:lang w:eastAsia="en-CA"/>
              </w:rPr>
              <w:t>▪ Non-randomi</w:t>
            </w:r>
            <w:r w:rsidR="00271EA5" w:rsidRPr="00FC232E">
              <w:rPr>
                <w:sz w:val="22"/>
                <w:szCs w:val="22"/>
                <w:lang w:eastAsia="en-CA"/>
              </w:rPr>
              <w:t>z</w:t>
            </w:r>
            <w:r w:rsidRPr="00FC232E">
              <w:rPr>
                <w:sz w:val="22"/>
                <w:szCs w:val="22"/>
                <w:lang w:eastAsia="en-CA"/>
              </w:rPr>
              <w:t xml:space="preserve">ed, experimental trial </w:t>
            </w:r>
          </w:p>
          <w:p w:rsidR="00A1044E" w:rsidRPr="00FC232E" w:rsidRDefault="00A1044E" w:rsidP="00E57285">
            <w:pPr>
              <w:autoSpaceDE w:val="0"/>
              <w:autoSpaceDN w:val="0"/>
              <w:adjustRightInd w:val="0"/>
              <w:rPr>
                <w:sz w:val="22"/>
                <w:szCs w:val="22"/>
              </w:rPr>
            </w:pPr>
            <w:r w:rsidRPr="00FC232E">
              <w:rPr>
                <w:sz w:val="22"/>
                <w:szCs w:val="22"/>
                <w:lang w:eastAsia="en-CA"/>
              </w:rPr>
              <w:t>▪</w:t>
            </w:r>
            <w:r w:rsidRPr="00FC232E">
              <w:rPr>
                <w:b/>
                <w:sz w:val="22"/>
                <w:szCs w:val="22"/>
                <w:lang w:eastAsia="en-CA"/>
              </w:rPr>
              <w:t xml:space="preserve"> </w:t>
            </w:r>
            <w:r w:rsidRPr="00FC232E">
              <w:rPr>
                <w:sz w:val="22"/>
                <w:szCs w:val="22"/>
                <w:lang w:eastAsia="en-CA"/>
              </w:rPr>
              <w:t>Cohort study, Case-control study, Interrupted time series with a control group</w:t>
            </w:r>
            <w:r w:rsidRPr="00FC232E">
              <w:rPr>
                <w:b/>
                <w:sz w:val="22"/>
                <w:szCs w:val="22"/>
                <w:lang w:eastAsia="en-CA"/>
              </w:rPr>
              <w:t xml:space="preserve"> </w:t>
            </w:r>
            <w:r w:rsidRPr="00FC232E">
              <w:rPr>
                <w:sz w:val="22"/>
                <w:szCs w:val="22"/>
                <w:lang w:eastAsia="en-CA"/>
              </w:rPr>
              <w:t>(Good Quality)</w:t>
            </w:r>
          </w:p>
        </w:tc>
      </w:tr>
      <w:tr w:rsidR="00A1044E" w:rsidRPr="00A21238" w:rsidTr="00B35E87">
        <w:tc>
          <w:tcPr>
            <w:tcW w:w="622" w:type="dxa"/>
          </w:tcPr>
          <w:p w:rsidR="00A1044E" w:rsidRPr="00FC232E" w:rsidRDefault="00A1044E" w:rsidP="00E57285">
            <w:pPr>
              <w:rPr>
                <w:b/>
                <w:sz w:val="22"/>
                <w:szCs w:val="22"/>
              </w:rPr>
            </w:pPr>
            <w:r w:rsidRPr="00FC232E">
              <w:rPr>
                <w:b/>
                <w:sz w:val="22"/>
                <w:szCs w:val="22"/>
              </w:rPr>
              <w:t>III-3</w:t>
            </w:r>
          </w:p>
        </w:tc>
        <w:tc>
          <w:tcPr>
            <w:tcW w:w="0" w:type="auto"/>
          </w:tcPr>
          <w:p w:rsidR="00A1044E" w:rsidRPr="00FC232E" w:rsidRDefault="00A1044E" w:rsidP="00E57285">
            <w:pPr>
              <w:autoSpaceDE w:val="0"/>
              <w:autoSpaceDN w:val="0"/>
              <w:adjustRightInd w:val="0"/>
              <w:rPr>
                <w:sz w:val="22"/>
                <w:szCs w:val="22"/>
                <w:lang w:eastAsia="en-CA"/>
              </w:rPr>
            </w:pPr>
            <w:r w:rsidRPr="00FC232E">
              <w:rPr>
                <w:sz w:val="22"/>
                <w:szCs w:val="22"/>
                <w:lang w:eastAsia="en-CA"/>
              </w:rPr>
              <w:t>A comparative study without concurrent controls:</w:t>
            </w:r>
          </w:p>
          <w:p w:rsidR="00A1044E" w:rsidRPr="00FC232E" w:rsidRDefault="00A1044E" w:rsidP="00E57285">
            <w:pPr>
              <w:autoSpaceDE w:val="0"/>
              <w:autoSpaceDN w:val="0"/>
              <w:adjustRightInd w:val="0"/>
              <w:rPr>
                <w:sz w:val="22"/>
                <w:szCs w:val="22"/>
                <w:lang w:eastAsia="en-CA"/>
              </w:rPr>
            </w:pPr>
            <w:r w:rsidRPr="00FC232E">
              <w:rPr>
                <w:sz w:val="22"/>
                <w:szCs w:val="22"/>
                <w:lang w:eastAsia="en-CA"/>
              </w:rPr>
              <w:t>▪ Historical control study</w:t>
            </w:r>
          </w:p>
          <w:p w:rsidR="00A1044E" w:rsidRPr="00FC232E" w:rsidRDefault="00A1044E" w:rsidP="00E57285">
            <w:pPr>
              <w:autoSpaceDE w:val="0"/>
              <w:autoSpaceDN w:val="0"/>
              <w:adjustRightInd w:val="0"/>
              <w:rPr>
                <w:sz w:val="22"/>
                <w:szCs w:val="22"/>
                <w:lang w:eastAsia="en-CA"/>
              </w:rPr>
            </w:pPr>
            <w:r w:rsidRPr="00FC232E">
              <w:rPr>
                <w:sz w:val="22"/>
                <w:szCs w:val="22"/>
                <w:lang w:eastAsia="en-CA"/>
              </w:rPr>
              <w:t xml:space="preserve">▪ Cohort study, Case-control study, Interrupted time series with a control group (Poor quality) </w:t>
            </w:r>
          </w:p>
          <w:p w:rsidR="00A1044E" w:rsidRPr="00FC232E" w:rsidRDefault="00A1044E" w:rsidP="00E57285">
            <w:pPr>
              <w:autoSpaceDE w:val="0"/>
              <w:autoSpaceDN w:val="0"/>
              <w:adjustRightInd w:val="0"/>
              <w:rPr>
                <w:sz w:val="22"/>
                <w:szCs w:val="22"/>
                <w:lang w:eastAsia="en-CA"/>
              </w:rPr>
            </w:pPr>
            <w:r w:rsidRPr="00FC232E">
              <w:rPr>
                <w:sz w:val="22"/>
                <w:szCs w:val="22"/>
                <w:lang w:eastAsia="en-CA"/>
              </w:rPr>
              <w:t xml:space="preserve">▪ Interrupted time series without a parallel control group </w:t>
            </w:r>
          </w:p>
          <w:p w:rsidR="00A1044E" w:rsidRPr="00FC232E" w:rsidRDefault="00A1044E" w:rsidP="00E57285">
            <w:pPr>
              <w:autoSpaceDE w:val="0"/>
              <w:autoSpaceDN w:val="0"/>
              <w:adjustRightInd w:val="0"/>
              <w:rPr>
                <w:sz w:val="22"/>
                <w:szCs w:val="22"/>
              </w:rPr>
            </w:pPr>
            <w:r w:rsidRPr="00FC232E">
              <w:rPr>
                <w:sz w:val="22"/>
                <w:szCs w:val="22"/>
                <w:lang w:eastAsia="en-CA"/>
              </w:rPr>
              <w:t>▪ Two or more single arm studies</w:t>
            </w:r>
          </w:p>
        </w:tc>
      </w:tr>
      <w:tr w:rsidR="00A1044E" w:rsidRPr="00A21238" w:rsidTr="00B35E87">
        <w:tc>
          <w:tcPr>
            <w:tcW w:w="622" w:type="dxa"/>
          </w:tcPr>
          <w:p w:rsidR="00A1044E" w:rsidRPr="00FC232E" w:rsidRDefault="00A1044E" w:rsidP="00E57285">
            <w:pPr>
              <w:rPr>
                <w:b/>
                <w:sz w:val="22"/>
                <w:szCs w:val="22"/>
              </w:rPr>
            </w:pPr>
            <w:r w:rsidRPr="00FC232E">
              <w:rPr>
                <w:b/>
                <w:sz w:val="22"/>
                <w:szCs w:val="22"/>
              </w:rPr>
              <w:t>IV</w:t>
            </w:r>
          </w:p>
        </w:tc>
        <w:tc>
          <w:tcPr>
            <w:tcW w:w="0" w:type="auto"/>
          </w:tcPr>
          <w:p w:rsidR="00A1044E" w:rsidRPr="00FC232E" w:rsidRDefault="00A1044E" w:rsidP="00E57285">
            <w:pPr>
              <w:autoSpaceDE w:val="0"/>
              <w:autoSpaceDN w:val="0"/>
              <w:adjustRightInd w:val="0"/>
              <w:rPr>
                <w:sz w:val="22"/>
                <w:szCs w:val="22"/>
              </w:rPr>
            </w:pPr>
            <w:r w:rsidRPr="00FC232E">
              <w:rPr>
                <w:sz w:val="22"/>
                <w:szCs w:val="22"/>
                <w:lang w:eastAsia="en-CA"/>
              </w:rPr>
              <w:t>Case series with either post-test or pre-test/post-test outcomes</w:t>
            </w:r>
          </w:p>
        </w:tc>
      </w:tr>
    </w:tbl>
    <w:p w:rsidR="005D15DA" w:rsidRPr="00FC232E" w:rsidRDefault="00104E08" w:rsidP="00FC232E">
      <w:pPr>
        <w:pStyle w:val="Default"/>
        <w:spacing w:before="120" w:after="120"/>
        <w:ind w:right="-20"/>
        <w:rPr>
          <w:color w:val="auto"/>
          <w:sz w:val="22"/>
          <w:szCs w:val="22"/>
        </w:rPr>
      </w:pPr>
      <w:r w:rsidRPr="00FC232E">
        <w:rPr>
          <w:color w:val="auto"/>
          <w:sz w:val="22"/>
          <w:szCs w:val="22"/>
        </w:rPr>
        <w:t xml:space="preserve">Both clinical (variation in patients, intervention, comparator, outcome) and statistical heterogeneity (measured as </w:t>
      </w:r>
      <w:r w:rsidR="007F34E3" w:rsidRPr="00FC232E">
        <w:rPr>
          <w:i/>
          <w:color w:val="auto"/>
          <w:sz w:val="22"/>
          <w:szCs w:val="22"/>
        </w:rPr>
        <w:t>P</w:t>
      </w:r>
      <w:r w:rsidRPr="00FC232E">
        <w:rPr>
          <w:color w:val="auto"/>
          <w:sz w:val="22"/>
          <w:szCs w:val="22"/>
        </w:rPr>
        <w:t xml:space="preserve"> value and I</w:t>
      </w:r>
      <w:r w:rsidRPr="00FC232E">
        <w:rPr>
          <w:color w:val="auto"/>
          <w:sz w:val="22"/>
          <w:szCs w:val="22"/>
          <w:vertAlign w:val="superscript"/>
        </w:rPr>
        <w:t>2</w:t>
      </w:r>
      <w:r w:rsidRPr="00FC232E">
        <w:rPr>
          <w:color w:val="auto"/>
          <w:sz w:val="22"/>
          <w:szCs w:val="22"/>
        </w:rPr>
        <w:t>)</w:t>
      </w:r>
      <w:r w:rsidRPr="00FC232E">
        <w:rPr>
          <w:color w:val="auto"/>
          <w:sz w:val="22"/>
          <w:szCs w:val="22"/>
          <w:vertAlign w:val="superscript"/>
        </w:rPr>
        <w:t xml:space="preserve"> </w:t>
      </w:r>
      <w:r w:rsidRPr="00FC232E">
        <w:rPr>
          <w:color w:val="auto"/>
          <w:sz w:val="22"/>
          <w:szCs w:val="22"/>
        </w:rPr>
        <w:t>were assessed.</w:t>
      </w:r>
      <w:r w:rsidR="00FC232E">
        <w:rPr>
          <w:color w:val="auto"/>
          <w:sz w:val="22"/>
          <w:szCs w:val="22"/>
        </w:rPr>
        <w:t xml:space="preserve"> </w:t>
      </w:r>
      <w:r w:rsidRPr="00FC232E">
        <w:rPr>
          <w:sz w:val="22"/>
          <w:szCs w:val="22"/>
        </w:rPr>
        <w:t>The score</w:t>
      </w:r>
      <w:r w:rsidR="00132FB4" w:rsidRPr="00FC232E">
        <w:rPr>
          <w:sz w:val="22"/>
          <w:szCs w:val="22"/>
        </w:rPr>
        <w:t>s</w:t>
      </w:r>
      <w:r w:rsidRPr="00FC232E">
        <w:rPr>
          <w:sz w:val="22"/>
          <w:szCs w:val="22"/>
        </w:rPr>
        <w:t xml:space="preserve"> </w:t>
      </w:r>
      <w:r w:rsidR="00132FB4" w:rsidRPr="00FC232E">
        <w:rPr>
          <w:sz w:val="22"/>
          <w:szCs w:val="22"/>
        </w:rPr>
        <w:t>from</w:t>
      </w:r>
      <w:r w:rsidRPr="00FC232E">
        <w:rPr>
          <w:sz w:val="22"/>
          <w:szCs w:val="22"/>
        </w:rPr>
        <w:t xml:space="preserve"> evidence base and consistency w</w:t>
      </w:r>
      <w:r w:rsidR="00132FB4" w:rsidRPr="00FC232E">
        <w:rPr>
          <w:sz w:val="22"/>
          <w:szCs w:val="22"/>
        </w:rPr>
        <w:t>ere</w:t>
      </w:r>
      <w:r w:rsidRPr="00FC232E">
        <w:rPr>
          <w:sz w:val="22"/>
          <w:szCs w:val="22"/>
        </w:rPr>
        <w:t xml:space="preserve"> obtained based on individual components. An emphasis was given to patient-oriented outcomes rather than disease-oriented outcomes</w:t>
      </w:r>
      <w:r w:rsidR="00B04060" w:rsidRPr="00FC232E">
        <w:rPr>
          <w:sz w:val="22"/>
          <w:szCs w:val="22"/>
        </w:rPr>
        <w:t>.</w:t>
      </w:r>
      <w:r w:rsidR="0002496E" w:rsidRPr="00A21238">
        <w:rPr>
          <w:rFonts w:ascii="Century Gothic" w:hAnsi="Century Gothic" w:cs="Arial"/>
          <w:noProof/>
          <w:sz w:val="20"/>
          <w:szCs w:val="20"/>
          <w:vertAlign w:val="superscript"/>
        </w:rPr>
        <w:t>5</w:t>
      </w:r>
      <w:r w:rsidRPr="00A21238">
        <w:rPr>
          <w:rFonts w:ascii="Century Gothic" w:hAnsi="Century Gothic" w:cs="Arial"/>
          <w:sz w:val="20"/>
          <w:szCs w:val="20"/>
        </w:rPr>
        <w:t xml:space="preserve"> </w:t>
      </w:r>
      <w:r w:rsidRPr="00FC232E">
        <w:rPr>
          <w:sz w:val="22"/>
          <w:szCs w:val="22"/>
        </w:rPr>
        <w:t>These scores were presented to panel members</w:t>
      </w:r>
      <w:r w:rsidR="00132FB4" w:rsidRPr="00FC232E">
        <w:rPr>
          <w:sz w:val="22"/>
          <w:szCs w:val="22"/>
        </w:rPr>
        <w:t>,</w:t>
      </w:r>
      <w:r w:rsidRPr="00FC232E">
        <w:rPr>
          <w:sz w:val="22"/>
          <w:szCs w:val="22"/>
        </w:rPr>
        <w:t xml:space="preserve"> </w:t>
      </w:r>
      <w:r w:rsidR="00132FB4" w:rsidRPr="00FC232E">
        <w:rPr>
          <w:sz w:val="22"/>
          <w:szCs w:val="22"/>
        </w:rPr>
        <w:t>w</w:t>
      </w:r>
      <w:r w:rsidRPr="00FC232E">
        <w:rPr>
          <w:sz w:val="22"/>
          <w:szCs w:val="22"/>
        </w:rPr>
        <w:t xml:space="preserve">ho then provided scores </w:t>
      </w:r>
      <w:r w:rsidR="005E0D7C" w:rsidRPr="00FC232E">
        <w:rPr>
          <w:sz w:val="22"/>
          <w:szCs w:val="22"/>
        </w:rPr>
        <w:t>for clinical</w:t>
      </w:r>
      <w:r w:rsidRPr="00FC232E">
        <w:rPr>
          <w:bCs/>
          <w:iCs/>
          <w:sz w:val="22"/>
          <w:szCs w:val="22"/>
        </w:rPr>
        <w:t xml:space="preserve"> impact, </w:t>
      </w:r>
      <w:proofErr w:type="spellStart"/>
      <w:r w:rsidRPr="00FC232E">
        <w:rPr>
          <w:bCs/>
          <w:iCs/>
          <w:sz w:val="22"/>
          <w:szCs w:val="22"/>
        </w:rPr>
        <w:t>generalizability</w:t>
      </w:r>
      <w:proofErr w:type="spellEnd"/>
      <w:r w:rsidRPr="00FC232E">
        <w:rPr>
          <w:bCs/>
          <w:iCs/>
          <w:sz w:val="22"/>
          <w:szCs w:val="22"/>
        </w:rPr>
        <w:t xml:space="preserve">, and applicability of the evidence (as explained briefly in Table 2); </w:t>
      </w:r>
      <w:r w:rsidR="00132FB4" w:rsidRPr="00FC232E">
        <w:rPr>
          <w:bCs/>
          <w:iCs/>
          <w:sz w:val="22"/>
          <w:szCs w:val="22"/>
        </w:rPr>
        <w:t xml:space="preserve">all </w:t>
      </w:r>
      <w:r w:rsidRPr="00FC232E">
        <w:rPr>
          <w:bCs/>
          <w:iCs/>
          <w:sz w:val="22"/>
          <w:szCs w:val="22"/>
        </w:rPr>
        <w:t xml:space="preserve">scores were then </w:t>
      </w:r>
      <w:r w:rsidRPr="00FC232E">
        <w:rPr>
          <w:sz w:val="22"/>
          <w:szCs w:val="22"/>
        </w:rPr>
        <w:t xml:space="preserve">collated. </w:t>
      </w:r>
    </w:p>
    <w:p w:rsidR="00654EBF" w:rsidRPr="00A21238" w:rsidRDefault="00654EBF" w:rsidP="005D15DA">
      <w:pPr>
        <w:pStyle w:val="Default"/>
        <w:ind w:left="200" w:right="-20"/>
        <w:rPr>
          <w:rFonts w:ascii="Century Gothic" w:hAnsi="Century Gothic" w:cs="Arial"/>
          <w:b/>
          <w:bCs/>
          <w:color w:val="auto"/>
          <w:sz w:val="20"/>
          <w:szCs w:val="20"/>
        </w:rPr>
      </w:pPr>
    </w:p>
    <w:p w:rsidR="00654EBF" w:rsidRPr="00A21238" w:rsidRDefault="00654EBF" w:rsidP="005D15DA">
      <w:pPr>
        <w:pStyle w:val="Default"/>
        <w:ind w:left="200" w:right="-20"/>
        <w:rPr>
          <w:rFonts w:ascii="Century Gothic" w:hAnsi="Century Gothic" w:cs="Arial"/>
          <w:b/>
          <w:bCs/>
          <w:color w:val="auto"/>
          <w:sz w:val="20"/>
          <w:szCs w:val="20"/>
        </w:rPr>
      </w:pPr>
    </w:p>
    <w:p w:rsidR="004C5168" w:rsidRPr="00A21238" w:rsidRDefault="004C5168" w:rsidP="005D15DA">
      <w:pPr>
        <w:pStyle w:val="Default"/>
        <w:ind w:left="200" w:right="-20"/>
        <w:rPr>
          <w:rFonts w:ascii="Century Gothic" w:hAnsi="Century Gothic" w:cs="Arial"/>
          <w:b/>
          <w:bCs/>
          <w:color w:val="auto"/>
          <w:sz w:val="20"/>
          <w:szCs w:val="20"/>
        </w:rPr>
      </w:pPr>
    </w:p>
    <w:p w:rsidR="00654EBF" w:rsidRPr="00A21238" w:rsidRDefault="00654EBF" w:rsidP="005D15DA">
      <w:pPr>
        <w:pStyle w:val="Default"/>
        <w:ind w:left="200" w:right="-20"/>
        <w:rPr>
          <w:rFonts w:ascii="Century Gothic" w:hAnsi="Century Gothic" w:cs="Arial"/>
          <w:b/>
          <w:bCs/>
          <w:color w:val="auto"/>
          <w:sz w:val="20"/>
          <w:szCs w:val="20"/>
        </w:rPr>
      </w:pPr>
    </w:p>
    <w:p w:rsidR="005D15DA" w:rsidRPr="00A21238" w:rsidRDefault="005D15DA" w:rsidP="005D15DA">
      <w:pPr>
        <w:pStyle w:val="Default"/>
        <w:ind w:left="200" w:right="-20"/>
        <w:rPr>
          <w:rFonts w:ascii="Century Gothic" w:hAnsi="Century Gothic" w:cs="Arial"/>
          <w:b/>
          <w:bCs/>
          <w:color w:val="auto"/>
          <w:sz w:val="20"/>
          <w:szCs w:val="20"/>
        </w:rPr>
      </w:pPr>
      <w:r w:rsidRPr="00FC232E">
        <w:rPr>
          <w:b/>
          <w:bCs/>
          <w:color w:val="auto"/>
          <w:sz w:val="22"/>
          <w:szCs w:val="22"/>
        </w:rPr>
        <w:t>Table 2: Body of Evidence Matrix Component</w:t>
      </w:r>
      <w:r w:rsidR="0002496E" w:rsidRPr="0002496E">
        <w:rPr>
          <w:rFonts w:ascii="Century Gothic" w:hAnsi="Century Gothic" w:cs="Arial"/>
          <w:b/>
          <w:bCs/>
          <w:noProof/>
          <w:color w:val="auto"/>
          <w:sz w:val="20"/>
          <w:szCs w:val="20"/>
          <w:vertAlign w:val="superscript"/>
        </w:rPr>
        <w:t>2</w:t>
      </w:r>
      <w:r w:rsidRPr="00A21238">
        <w:rPr>
          <w:rFonts w:ascii="Century Gothic" w:hAnsi="Century Gothic" w:cs="Arial"/>
          <w:color w:val="auto"/>
          <w:sz w:val="20"/>
          <w:szCs w:val="20"/>
        </w:rPr>
        <w:t xml:space="preserve"> </w:t>
      </w:r>
    </w:p>
    <w:tbl>
      <w:tblPr>
        <w:tblW w:w="4944" w:type="pct"/>
        <w:tblInd w:w="108" w:type="dxa"/>
        <w:tblBorders>
          <w:top w:val="nil"/>
          <w:left w:val="nil"/>
          <w:bottom w:val="nil"/>
          <w:right w:val="nil"/>
        </w:tblBorders>
        <w:tblLook w:val="0000"/>
      </w:tblPr>
      <w:tblGrid>
        <w:gridCol w:w="1784"/>
        <w:gridCol w:w="1759"/>
        <w:gridCol w:w="1894"/>
        <w:gridCol w:w="2098"/>
        <w:gridCol w:w="1934"/>
      </w:tblGrid>
      <w:tr w:rsidR="005D15DA" w:rsidRPr="00A21238" w:rsidTr="00B35E87">
        <w:trPr>
          <w:trHeight w:val="258"/>
        </w:trPr>
        <w:tc>
          <w:tcPr>
            <w:tcW w:w="942" w:type="pct"/>
            <w:vMerge w:val="restart"/>
            <w:tcBorders>
              <w:top w:val="single" w:sz="8" w:space="0" w:color="000000"/>
              <w:left w:val="single" w:sz="8" w:space="0" w:color="000000"/>
              <w:right w:val="single" w:sz="8" w:space="0" w:color="000000"/>
            </w:tcBorders>
          </w:tcPr>
          <w:p w:rsidR="005D15DA" w:rsidRPr="00FC232E" w:rsidRDefault="005D15DA" w:rsidP="00AF5CEB">
            <w:pPr>
              <w:pStyle w:val="Default"/>
              <w:rPr>
                <w:b/>
                <w:bCs/>
                <w:color w:val="auto"/>
                <w:sz w:val="22"/>
                <w:szCs w:val="22"/>
              </w:rPr>
            </w:pPr>
          </w:p>
        </w:tc>
        <w:tc>
          <w:tcPr>
            <w:tcW w:w="929" w:type="pct"/>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jc w:val="center"/>
              <w:rPr>
                <w:color w:val="auto"/>
                <w:sz w:val="22"/>
                <w:szCs w:val="22"/>
              </w:rPr>
            </w:pPr>
            <w:r w:rsidRPr="00FC232E">
              <w:rPr>
                <w:b/>
                <w:bCs/>
                <w:color w:val="auto"/>
                <w:sz w:val="22"/>
                <w:szCs w:val="22"/>
              </w:rPr>
              <w:t>A</w:t>
            </w:r>
          </w:p>
        </w:tc>
        <w:tc>
          <w:tcPr>
            <w:tcW w:w="1000" w:type="pct"/>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jc w:val="center"/>
              <w:rPr>
                <w:color w:val="auto"/>
                <w:sz w:val="22"/>
                <w:szCs w:val="22"/>
              </w:rPr>
            </w:pPr>
            <w:r w:rsidRPr="00FC232E">
              <w:rPr>
                <w:b/>
                <w:bCs/>
                <w:color w:val="auto"/>
                <w:sz w:val="22"/>
                <w:szCs w:val="22"/>
              </w:rPr>
              <w:t>B</w:t>
            </w:r>
          </w:p>
        </w:tc>
        <w:tc>
          <w:tcPr>
            <w:tcW w:w="1108" w:type="pct"/>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jc w:val="center"/>
              <w:rPr>
                <w:color w:val="auto"/>
                <w:sz w:val="22"/>
                <w:szCs w:val="22"/>
              </w:rPr>
            </w:pPr>
            <w:r w:rsidRPr="00FC232E">
              <w:rPr>
                <w:b/>
                <w:bCs/>
                <w:color w:val="auto"/>
                <w:sz w:val="22"/>
                <w:szCs w:val="22"/>
              </w:rPr>
              <w:t>C</w:t>
            </w:r>
          </w:p>
        </w:tc>
        <w:tc>
          <w:tcPr>
            <w:tcW w:w="1021" w:type="pct"/>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jc w:val="center"/>
              <w:rPr>
                <w:color w:val="auto"/>
                <w:sz w:val="22"/>
                <w:szCs w:val="22"/>
              </w:rPr>
            </w:pPr>
            <w:r w:rsidRPr="00FC232E">
              <w:rPr>
                <w:b/>
                <w:bCs/>
                <w:color w:val="auto"/>
                <w:sz w:val="22"/>
                <w:szCs w:val="22"/>
              </w:rPr>
              <w:t>D</w:t>
            </w:r>
          </w:p>
        </w:tc>
      </w:tr>
      <w:tr w:rsidR="005D15DA" w:rsidRPr="00A21238" w:rsidTr="00B35E87">
        <w:trPr>
          <w:trHeight w:val="275"/>
        </w:trPr>
        <w:tc>
          <w:tcPr>
            <w:tcW w:w="942" w:type="pct"/>
            <w:vMerge/>
            <w:tcBorders>
              <w:left w:val="single" w:sz="8" w:space="0" w:color="000000"/>
              <w:bottom w:val="single" w:sz="8" w:space="0" w:color="000000"/>
              <w:right w:val="single" w:sz="8" w:space="0" w:color="000000"/>
            </w:tcBorders>
          </w:tcPr>
          <w:p w:rsidR="005D15DA" w:rsidRPr="00FC232E" w:rsidRDefault="005D15DA" w:rsidP="00AF5CEB">
            <w:pPr>
              <w:pStyle w:val="Default"/>
              <w:rPr>
                <w:b/>
                <w:bCs/>
                <w:color w:val="auto"/>
                <w:sz w:val="22"/>
                <w:szCs w:val="22"/>
              </w:rPr>
            </w:pPr>
          </w:p>
        </w:tc>
        <w:tc>
          <w:tcPr>
            <w:tcW w:w="929" w:type="pct"/>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jc w:val="center"/>
              <w:rPr>
                <w:color w:val="auto"/>
                <w:sz w:val="22"/>
                <w:szCs w:val="22"/>
              </w:rPr>
            </w:pPr>
            <w:r w:rsidRPr="00FC232E">
              <w:rPr>
                <w:b/>
                <w:bCs/>
                <w:color w:val="auto"/>
                <w:sz w:val="22"/>
                <w:szCs w:val="22"/>
              </w:rPr>
              <w:t>Excellent</w:t>
            </w:r>
          </w:p>
        </w:tc>
        <w:tc>
          <w:tcPr>
            <w:tcW w:w="1000" w:type="pct"/>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jc w:val="center"/>
              <w:rPr>
                <w:color w:val="auto"/>
                <w:sz w:val="22"/>
                <w:szCs w:val="22"/>
              </w:rPr>
            </w:pPr>
            <w:r w:rsidRPr="00FC232E">
              <w:rPr>
                <w:b/>
                <w:bCs/>
                <w:color w:val="auto"/>
                <w:sz w:val="22"/>
                <w:szCs w:val="22"/>
              </w:rPr>
              <w:t>Good</w:t>
            </w:r>
          </w:p>
        </w:tc>
        <w:tc>
          <w:tcPr>
            <w:tcW w:w="1108" w:type="pct"/>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jc w:val="center"/>
              <w:rPr>
                <w:color w:val="auto"/>
                <w:sz w:val="22"/>
                <w:szCs w:val="22"/>
              </w:rPr>
            </w:pPr>
            <w:r w:rsidRPr="00FC232E">
              <w:rPr>
                <w:b/>
                <w:bCs/>
                <w:color w:val="auto"/>
                <w:sz w:val="22"/>
                <w:szCs w:val="22"/>
              </w:rPr>
              <w:t>Satisfactory</w:t>
            </w:r>
          </w:p>
        </w:tc>
        <w:tc>
          <w:tcPr>
            <w:tcW w:w="1021" w:type="pct"/>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jc w:val="center"/>
              <w:rPr>
                <w:color w:val="auto"/>
                <w:sz w:val="22"/>
                <w:szCs w:val="22"/>
              </w:rPr>
            </w:pPr>
            <w:r w:rsidRPr="00FC232E">
              <w:rPr>
                <w:b/>
                <w:bCs/>
                <w:color w:val="auto"/>
                <w:sz w:val="22"/>
                <w:szCs w:val="22"/>
              </w:rPr>
              <w:t>Poor</w:t>
            </w:r>
          </w:p>
        </w:tc>
      </w:tr>
      <w:tr w:rsidR="005D15DA" w:rsidRPr="00A21238" w:rsidTr="00B35E87">
        <w:trPr>
          <w:trHeight w:val="664"/>
        </w:trPr>
        <w:tc>
          <w:tcPr>
            <w:tcW w:w="942" w:type="pct"/>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rPr>
                <w:color w:val="auto"/>
                <w:sz w:val="22"/>
                <w:szCs w:val="22"/>
              </w:rPr>
            </w:pPr>
            <w:r w:rsidRPr="00FC232E">
              <w:rPr>
                <w:b/>
                <w:bCs/>
                <w:color w:val="auto"/>
                <w:sz w:val="22"/>
                <w:szCs w:val="22"/>
              </w:rPr>
              <w:t>Evidence base</w:t>
            </w:r>
          </w:p>
        </w:tc>
        <w:tc>
          <w:tcPr>
            <w:tcW w:w="929" w:type="pct"/>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rPr>
                <w:color w:val="auto"/>
                <w:sz w:val="22"/>
                <w:szCs w:val="22"/>
              </w:rPr>
            </w:pPr>
            <w:r w:rsidRPr="00FC232E">
              <w:rPr>
                <w:color w:val="auto"/>
                <w:sz w:val="22"/>
                <w:szCs w:val="22"/>
              </w:rPr>
              <w:t xml:space="preserve">several level I or </w:t>
            </w:r>
          </w:p>
          <w:p w:rsidR="005D15DA" w:rsidRPr="00FC232E" w:rsidRDefault="005D15DA" w:rsidP="00AF5CEB">
            <w:pPr>
              <w:pStyle w:val="Default"/>
              <w:rPr>
                <w:color w:val="auto"/>
                <w:sz w:val="22"/>
                <w:szCs w:val="22"/>
              </w:rPr>
            </w:pPr>
            <w:r w:rsidRPr="00FC232E">
              <w:rPr>
                <w:color w:val="auto"/>
                <w:sz w:val="22"/>
                <w:szCs w:val="22"/>
              </w:rPr>
              <w:t xml:space="preserve">level II studies with low risk of bias </w:t>
            </w:r>
          </w:p>
        </w:tc>
        <w:tc>
          <w:tcPr>
            <w:tcW w:w="1000" w:type="pct"/>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rPr>
                <w:color w:val="auto"/>
                <w:sz w:val="22"/>
                <w:szCs w:val="22"/>
              </w:rPr>
            </w:pPr>
            <w:r w:rsidRPr="00FC232E">
              <w:rPr>
                <w:color w:val="auto"/>
                <w:sz w:val="22"/>
                <w:szCs w:val="22"/>
              </w:rPr>
              <w:t xml:space="preserve">one or two level II studies with low risk of bias or a systematic review/multiple </w:t>
            </w:r>
          </w:p>
          <w:p w:rsidR="005D15DA" w:rsidRPr="00FC232E" w:rsidRDefault="005D15DA" w:rsidP="00AF5CEB">
            <w:pPr>
              <w:pStyle w:val="Default"/>
              <w:rPr>
                <w:color w:val="auto"/>
                <w:sz w:val="22"/>
                <w:szCs w:val="22"/>
              </w:rPr>
            </w:pPr>
            <w:r w:rsidRPr="00FC232E">
              <w:rPr>
                <w:color w:val="auto"/>
                <w:sz w:val="22"/>
                <w:szCs w:val="22"/>
              </w:rPr>
              <w:t xml:space="preserve">level III studies with low risk of bias </w:t>
            </w:r>
          </w:p>
        </w:tc>
        <w:tc>
          <w:tcPr>
            <w:tcW w:w="1108" w:type="pct"/>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rPr>
                <w:color w:val="auto"/>
                <w:sz w:val="22"/>
                <w:szCs w:val="22"/>
              </w:rPr>
            </w:pPr>
            <w:r w:rsidRPr="00FC232E">
              <w:rPr>
                <w:color w:val="auto"/>
                <w:sz w:val="22"/>
                <w:szCs w:val="22"/>
              </w:rPr>
              <w:t xml:space="preserve">level III studies with low risk of bias, or </w:t>
            </w:r>
          </w:p>
          <w:p w:rsidR="005D15DA" w:rsidRPr="00FC232E" w:rsidRDefault="005D15DA" w:rsidP="00AF5CEB">
            <w:pPr>
              <w:pStyle w:val="Default"/>
              <w:rPr>
                <w:color w:val="auto"/>
                <w:sz w:val="22"/>
                <w:szCs w:val="22"/>
              </w:rPr>
            </w:pPr>
            <w:r w:rsidRPr="00FC232E">
              <w:rPr>
                <w:color w:val="auto"/>
                <w:sz w:val="22"/>
                <w:szCs w:val="22"/>
              </w:rPr>
              <w:t xml:space="preserve">level I or II studies with moderate risk of bias </w:t>
            </w:r>
          </w:p>
        </w:tc>
        <w:tc>
          <w:tcPr>
            <w:tcW w:w="1021" w:type="pct"/>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rPr>
                <w:color w:val="auto"/>
                <w:sz w:val="22"/>
                <w:szCs w:val="22"/>
              </w:rPr>
            </w:pPr>
            <w:r w:rsidRPr="00FC232E">
              <w:rPr>
                <w:color w:val="auto"/>
                <w:sz w:val="22"/>
                <w:szCs w:val="22"/>
              </w:rPr>
              <w:t xml:space="preserve">level IV studies, or </w:t>
            </w:r>
          </w:p>
          <w:p w:rsidR="005D15DA" w:rsidRPr="00FC232E" w:rsidRDefault="005D15DA" w:rsidP="00AF5CEB">
            <w:pPr>
              <w:pStyle w:val="Default"/>
              <w:rPr>
                <w:color w:val="auto"/>
                <w:sz w:val="22"/>
                <w:szCs w:val="22"/>
              </w:rPr>
            </w:pPr>
            <w:r w:rsidRPr="00FC232E">
              <w:rPr>
                <w:color w:val="auto"/>
                <w:sz w:val="22"/>
                <w:szCs w:val="22"/>
              </w:rPr>
              <w:t xml:space="preserve">level I to III studies with high risk of bias </w:t>
            </w:r>
          </w:p>
        </w:tc>
      </w:tr>
      <w:tr w:rsidR="005D15DA" w:rsidRPr="00A21238" w:rsidTr="00B35E87">
        <w:trPr>
          <w:trHeight w:val="437"/>
        </w:trPr>
        <w:tc>
          <w:tcPr>
            <w:tcW w:w="942" w:type="pct"/>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rPr>
                <w:color w:val="auto"/>
                <w:sz w:val="22"/>
                <w:szCs w:val="22"/>
              </w:rPr>
            </w:pPr>
            <w:r w:rsidRPr="00FC232E">
              <w:rPr>
                <w:b/>
                <w:bCs/>
                <w:color w:val="auto"/>
                <w:sz w:val="22"/>
                <w:szCs w:val="22"/>
              </w:rPr>
              <w:t>Consistency</w:t>
            </w:r>
          </w:p>
        </w:tc>
        <w:tc>
          <w:tcPr>
            <w:tcW w:w="929" w:type="pct"/>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rPr>
                <w:color w:val="auto"/>
                <w:sz w:val="22"/>
                <w:szCs w:val="22"/>
              </w:rPr>
            </w:pPr>
            <w:r w:rsidRPr="00FC232E">
              <w:rPr>
                <w:color w:val="auto"/>
                <w:sz w:val="22"/>
                <w:szCs w:val="22"/>
              </w:rPr>
              <w:t xml:space="preserve">all studies consistent </w:t>
            </w:r>
          </w:p>
        </w:tc>
        <w:tc>
          <w:tcPr>
            <w:tcW w:w="1000" w:type="pct"/>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rPr>
                <w:color w:val="auto"/>
                <w:sz w:val="22"/>
                <w:szCs w:val="22"/>
              </w:rPr>
            </w:pPr>
            <w:r w:rsidRPr="00FC232E">
              <w:rPr>
                <w:color w:val="auto"/>
                <w:sz w:val="22"/>
                <w:szCs w:val="22"/>
              </w:rPr>
              <w:t xml:space="preserve">most studies consistent and inconsistency may be explained </w:t>
            </w:r>
          </w:p>
        </w:tc>
        <w:tc>
          <w:tcPr>
            <w:tcW w:w="1108" w:type="pct"/>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rPr>
                <w:color w:val="auto"/>
                <w:sz w:val="22"/>
                <w:szCs w:val="22"/>
              </w:rPr>
            </w:pPr>
            <w:r w:rsidRPr="00FC232E">
              <w:rPr>
                <w:color w:val="auto"/>
                <w:sz w:val="22"/>
                <w:szCs w:val="22"/>
              </w:rPr>
              <w:t xml:space="preserve">some inconsistency reflecting genuine uncertainty around clinical question </w:t>
            </w:r>
          </w:p>
        </w:tc>
        <w:tc>
          <w:tcPr>
            <w:tcW w:w="1021" w:type="pct"/>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rPr>
                <w:color w:val="auto"/>
                <w:sz w:val="22"/>
                <w:szCs w:val="22"/>
              </w:rPr>
            </w:pPr>
            <w:r w:rsidRPr="00FC232E">
              <w:rPr>
                <w:color w:val="auto"/>
                <w:sz w:val="22"/>
                <w:szCs w:val="22"/>
              </w:rPr>
              <w:t xml:space="preserve">evidence is inconsistent </w:t>
            </w:r>
          </w:p>
        </w:tc>
      </w:tr>
      <w:tr w:rsidR="005D15DA" w:rsidRPr="00A21238" w:rsidTr="00B35E87">
        <w:trPr>
          <w:trHeight w:val="141"/>
        </w:trPr>
        <w:tc>
          <w:tcPr>
            <w:tcW w:w="942" w:type="pct"/>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rPr>
                <w:color w:val="auto"/>
                <w:sz w:val="22"/>
                <w:szCs w:val="22"/>
              </w:rPr>
            </w:pPr>
            <w:r w:rsidRPr="00FC232E">
              <w:rPr>
                <w:b/>
                <w:bCs/>
                <w:color w:val="auto"/>
                <w:sz w:val="22"/>
                <w:szCs w:val="22"/>
              </w:rPr>
              <w:t xml:space="preserve">Clinical impact </w:t>
            </w:r>
          </w:p>
        </w:tc>
        <w:tc>
          <w:tcPr>
            <w:tcW w:w="929" w:type="pct"/>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rPr>
                <w:color w:val="auto"/>
                <w:sz w:val="22"/>
                <w:szCs w:val="22"/>
              </w:rPr>
            </w:pPr>
            <w:r w:rsidRPr="00FC232E">
              <w:rPr>
                <w:color w:val="auto"/>
                <w:sz w:val="22"/>
                <w:szCs w:val="22"/>
              </w:rPr>
              <w:t xml:space="preserve">very large </w:t>
            </w:r>
          </w:p>
        </w:tc>
        <w:tc>
          <w:tcPr>
            <w:tcW w:w="1000" w:type="pct"/>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rPr>
                <w:color w:val="auto"/>
                <w:sz w:val="22"/>
                <w:szCs w:val="22"/>
              </w:rPr>
            </w:pPr>
            <w:r w:rsidRPr="00FC232E">
              <w:rPr>
                <w:color w:val="auto"/>
                <w:sz w:val="22"/>
                <w:szCs w:val="22"/>
              </w:rPr>
              <w:t xml:space="preserve">substantial </w:t>
            </w:r>
          </w:p>
        </w:tc>
        <w:tc>
          <w:tcPr>
            <w:tcW w:w="1108" w:type="pct"/>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rPr>
                <w:color w:val="auto"/>
                <w:sz w:val="22"/>
                <w:szCs w:val="22"/>
              </w:rPr>
            </w:pPr>
            <w:r w:rsidRPr="00FC232E">
              <w:rPr>
                <w:color w:val="auto"/>
                <w:sz w:val="22"/>
                <w:szCs w:val="22"/>
              </w:rPr>
              <w:t xml:space="preserve">moderate </w:t>
            </w:r>
          </w:p>
        </w:tc>
        <w:tc>
          <w:tcPr>
            <w:tcW w:w="1021" w:type="pct"/>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rPr>
                <w:color w:val="auto"/>
                <w:sz w:val="22"/>
                <w:szCs w:val="22"/>
              </w:rPr>
            </w:pPr>
            <w:r w:rsidRPr="00FC232E">
              <w:rPr>
                <w:color w:val="auto"/>
                <w:sz w:val="22"/>
                <w:szCs w:val="22"/>
              </w:rPr>
              <w:t xml:space="preserve">slight or restricted </w:t>
            </w:r>
          </w:p>
        </w:tc>
      </w:tr>
      <w:tr w:rsidR="005D15DA" w:rsidRPr="00A21238" w:rsidTr="00B35E87">
        <w:trPr>
          <w:trHeight w:val="747"/>
        </w:trPr>
        <w:tc>
          <w:tcPr>
            <w:tcW w:w="942" w:type="pct"/>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rPr>
                <w:color w:val="auto"/>
                <w:sz w:val="22"/>
                <w:szCs w:val="22"/>
              </w:rPr>
            </w:pPr>
            <w:proofErr w:type="spellStart"/>
            <w:r w:rsidRPr="00FC232E">
              <w:rPr>
                <w:b/>
                <w:bCs/>
                <w:color w:val="auto"/>
                <w:sz w:val="22"/>
                <w:szCs w:val="22"/>
              </w:rPr>
              <w:t>Generalizability</w:t>
            </w:r>
            <w:proofErr w:type="spellEnd"/>
            <w:r w:rsidRPr="00FC232E">
              <w:rPr>
                <w:b/>
                <w:bCs/>
                <w:color w:val="auto"/>
                <w:sz w:val="22"/>
                <w:szCs w:val="22"/>
              </w:rPr>
              <w:t xml:space="preserve"> </w:t>
            </w:r>
          </w:p>
        </w:tc>
        <w:tc>
          <w:tcPr>
            <w:tcW w:w="929" w:type="pct"/>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rPr>
                <w:color w:val="auto"/>
                <w:sz w:val="22"/>
                <w:szCs w:val="22"/>
              </w:rPr>
            </w:pPr>
            <w:r w:rsidRPr="00FC232E">
              <w:rPr>
                <w:color w:val="auto"/>
                <w:sz w:val="22"/>
                <w:szCs w:val="22"/>
              </w:rPr>
              <w:t xml:space="preserve">population/s studied in body of evidence are the same as the target population for the guideline </w:t>
            </w:r>
          </w:p>
        </w:tc>
        <w:tc>
          <w:tcPr>
            <w:tcW w:w="1000" w:type="pct"/>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rPr>
                <w:color w:val="auto"/>
                <w:sz w:val="22"/>
                <w:szCs w:val="22"/>
              </w:rPr>
            </w:pPr>
            <w:r w:rsidRPr="00FC232E">
              <w:rPr>
                <w:color w:val="auto"/>
                <w:sz w:val="22"/>
                <w:szCs w:val="22"/>
              </w:rPr>
              <w:t xml:space="preserve">population/s studied in the body of evidence are similar to the target population for the guideline </w:t>
            </w:r>
          </w:p>
        </w:tc>
        <w:tc>
          <w:tcPr>
            <w:tcW w:w="1108" w:type="pct"/>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rPr>
                <w:color w:val="auto"/>
                <w:sz w:val="22"/>
                <w:szCs w:val="22"/>
              </w:rPr>
            </w:pPr>
            <w:r w:rsidRPr="00FC232E">
              <w:rPr>
                <w:color w:val="auto"/>
                <w:sz w:val="22"/>
                <w:szCs w:val="22"/>
              </w:rPr>
              <w:t>population/s studied in body of evidence differ from target population for guideline but it is clinically sensible to apply this evidence to target population</w:t>
            </w:r>
          </w:p>
        </w:tc>
        <w:tc>
          <w:tcPr>
            <w:tcW w:w="1021" w:type="pct"/>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rPr>
                <w:color w:val="auto"/>
                <w:sz w:val="22"/>
                <w:szCs w:val="22"/>
              </w:rPr>
            </w:pPr>
            <w:r w:rsidRPr="00FC232E">
              <w:rPr>
                <w:color w:val="auto"/>
                <w:sz w:val="22"/>
                <w:szCs w:val="22"/>
              </w:rPr>
              <w:t xml:space="preserve">population/s studied in body of evidence differ from target population and hard to judge whether it is sensible to generalise to target population </w:t>
            </w:r>
          </w:p>
        </w:tc>
      </w:tr>
      <w:tr w:rsidR="005D15DA" w:rsidRPr="00A21238" w:rsidTr="00B35E87">
        <w:trPr>
          <w:trHeight w:val="438"/>
        </w:trPr>
        <w:tc>
          <w:tcPr>
            <w:tcW w:w="942" w:type="pct"/>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rPr>
                <w:color w:val="auto"/>
                <w:sz w:val="22"/>
                <w:szCs w:val="22"/>
              </w:rPr>
            </w:pPr>
            <w:r w:rsidRPr="00FC232E">
              <w:rPr>
                <w:b/>
                <w:bCs/>
                <w:color w:val="auto"/>
                <w:sz w:val="22"/>
                <w:szCs w:val="22"/>
              </w:rPr>
              <w:t xml:space="preserve">Applicability </w:t>
            </w:r>
          </w:p>
        </w:tc>
        <w:tc>
          <w:tcPr>
            <w:tcW w:w="929" w:type="pct"/>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rPr>
                <w:color w:val="auto"/>
                <w:sz w:val="22"/>
                <w:szCs w:val="22"/>
              </w:rPr>
            </w:pPr>
            <w:r w:rsidRPr="00FC232E">
              <w:rPr>
                <w:color w:val="auto"/>
                <w:sz w:val="22"/>
                <w:szCs w:val="22"/>
              </w:rPr>
              <w:t xml:space="preserve">directly applicable to international healthcare context </w:t>
            </w:r>
          </w:p>
        </w:tc>
        <w:tc>
          <w:tcPr>
            <w:tcW w:w="1000" w:type="pct"/>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rPr>
                <w:color w:val="auto"/>
                <w:sz w:val="22"/>
                <w:szCs w:val="22"/>
              </w:rPr>
            </w:pPr>
            <w:r w:rsidRPr="00FC232E">
              <w:rPr>
                <w:color w:val="auto"/>
                <w:sz w:val="22"/>
                <w:szCs w:val="22"/>
              </w:rPr>
              <w:t xml:space="preserve">applicable to international healthcare context with few caveats </w:t>
            </w:r>
          </w:p>
        </w:tc>
        <w:tc>
          <w:tcPr>
            <w:tcW w:w="1108" w:type="pct"/>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rPr>
                <w:color w:val="auto"/>
                <w:sz w:val="22"/>
                <w:szCs w:val="22"/>
              </w:rPr>
            </w:pPr>
            <w:r w:rsidRPr="00FC232E">
              <w:rPr>
                <w:color w:val="auto"/>
                <w:sz w:val="22"/>
                <w:szCs w:val="22"/>
              </w:rPr>
              <w:t xml:space="preserve">probably applicable to international  healthcare context with some caveats </w:t>
            </w:r>
          </w:p>
        </w:tc>
        <w:tc>
          <w:tcPr>
            <w:tcW w:w="1021" w:type="pct"/>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rPr>
                <w:color w:val="auto"/>
                <w:sz w:val="22"/>
                <w:szCs w:val="22"/>
              </w:rPr>
            </w:pPr>
            <w:r w:rsidRPr="00FC232E">
              <w:rPr>
                <w:color w:val="auto"/>
                <w:sz w:val="22"/>
                <w:szCs w:val="22"/>
              </w:rPr>
              <w:t xml:space="preserve">not applicable to international healthcare context </w:t>
            </w:r>
          </w:p>
        </w:tc>
      </w:tr>
    </w:tbl>
    <w:p w:rsidR="005D15DA" w:rsidRPr="00A21238" w:rsidRDefault="005D15DA" w:rsidP="005D15DA">
      <w:pPr>
        <w:pStyle w:val="Default"/>
        <w:ind w:left="200" w:right="-20"/>
        <w:rPr>
          <w:rFonts w:ascii="Century Gothic" w:hAnsi="Century Gothic" w:cs="Arial"/>
          <w:b/>
          <w:bCs/>
          <w:color w:val="auto"/>
          <w:sz w:val="20"/>
          <w:szCs w:val="20"/>
        </w:rPr>
      </w:pPr>
    </w:p>
    <w:p w:rsidR="00B10CEE" w:rsidRPr="00FC232E" w:rsidRDefault="00A1044E" w:rsidP="00A566D8">
      <w:pPr>
        <w:rPr>
          <w:bCs/>
          <w:sz w:val="22"/>
          <w:szCs w:val="22"/>
        </w:rPr>
      </w:pPr>
      <w:r w:rsidRPr="00FC232E">
        <w:rPr>
          <w:sz w:val="22"/>
          <w:szCs w:val="22"/>
        </w:rPr>
        <w:t>The over</w:t>
      </w:r>
      <w:r w:rsidR="00E906F9" w:rsidRPr="00FC232E">
        <w:rPr>
          <w:sz w:val="22"/>
          <w:szCs w:val="22"/>
        </w:rPr>
        <w:t xml:space="preserve">all grade of the recommendation </w:t>
      </w:r>
      <w:proofErr w:type="gramStart"/>
      <w:r w:rsidRPr="00FC232E">
        <w:rPr>
          <w:sz w:val="22"/>
          <w:szCs w:val="22"/>
        </w:rPr>
        <w:t>was obtained</w:t>
      </w:r>
      <w:proofErr w:type="gramEnd"/>
      <w:r w:rsidRPr="00FC232E">
        <w:rPr>
          <w:sz w:val="22"/>
          <w:szCs w:val="22"/>
        </w:rPr>
        <w:t xml:space="preserve"> by rating all components of the evidence. The overall grade indicates the strength of the body of evidence to assist the users of clinical practice guidelines </w:t>
      </w:r>
      <w:r w:rsidR="00E16408">
        <w:rPr>
          <w:sz w:val="22"/>
          <w:szCs w:val="22"/>
        </w:rPr>
        <w:t xml:space="preserve">into making </w:t>
      </w:r>
      <w:r w:rsidRPr="00FC232E">
        <w:rPr>
          <w:sz w:val="22"/>
          <w:szCs w:val="22"/>
        </w:rPr>
        <w:t>appropriate and informed clinical judgments (Table 2)</w:t>
      </w:r>
      <w:r w:rsidR="007F34E3" w:rsidRPr="00FC232E">
        <w:rPr>
          <w:sz w:val="22"/>
          <w:szCs w:val="22"/>
        </w:rPr>
        <w:t>.</w:t>
      </w:r>
      <w:r w:rsidRPr="00FC232E">
        <w:rPr>
          <w:sz w:val="22"/>
          <w:szCs w:val="22"/>
        </w:rPr>
        <w:t xml:space="preserve"> </w:t>
      </w:r>
      <w:r w:rsidR="00C167F1" w:rsidRPr="00FC232E">
        <w:rPr>
          <w:sz w:val="22"/>
          <w:szCs w:val="22"/>
        </w:rPr>
        <w:t>Grade A or B evidence supports “recommendations</w:t>
      </w:r>
      <w:r w:rsidR="00E16408">
        <w:rPr>
          <w:sz w:val="22"/>
          <w:szCs w:val="22"/>
        </w:rPr>
        <w:t>,”</w:t>
      </w:r>
      <w:r w:rsidR="00C167F1" w:rsidRPr="00FC232E">
        <w:rPr>
          <w:sz w:val="22"/>
          <w:szCs w:val="22"/>
        </w:rPr>
        <w:t xml:space="preserve"> which are generally based on a body of evidence that can be trusted to guide clinical practice in a</w:t>
      </w:r>
      <w:r w:rsidR="00E16408">
        <w:rPr>
          <w:sz w:val="22"/>
          <w:szCs w:val="22"/>
        </w:rPr>
        <w:t>ll or in most situations. Grade</w:t>
      </w:r>
      <w:r w:rsidR="00C167F1" w:rsidRPr="00FC232E">
        <w:rPr>
          <w:sz w:val="22"/>
          <w:szCs w:val="22"/>
        </w:rPr>
        <w:t xml:space="preserve"> C evidence is insufficient for a “recommendation” and provides support for “suggestions</w:t>
      </w:r>
      <w:r w:rsidR="00E16408">
        <w:rPr>
          <w:sz w:val="22"/>
          <w:szCs w:val="22"/>
        </w:rPr>
        <w:t xml:space="preserve">,” </w:t>
      </w:r>
      <w:r w:rsidR="00C167F1" w:rsidRPr="00FC232E">
        <w:rPr>
          <w:sz w:val="22"/>
          <w:szCs w:val="22"/>
        </w:rPr>
        <w:t xml:space="preserve">for which care should be taken in application. Grade D evidence is weak and does not provide support for “recommendations” or “suggestions”. </w:t>
      </w:r>
      <w:r w:rsidR="00C167F1" w:rsidRPr="00FC232E">
        <w:rPr>
          <w:bCs/>
          <w:sz w:val="22"/>
          <w:szCs w:val="22"/>
        </w:rPr>
        <w:t xml:space="preserve">Expert consensus opinion </w:t>
      </w:r>
      <w:proofErr w:type="gramStart"/>
      <w:r w:rsidR="00C167F1" w:rsidRPr="00FC232E">
        <w:rPr>
          <w:bCs/>
          <w:sz w:val="22"/>
          <w:szCs w:val="22"/>
        </w:rPr>
        <w:t>was used</w:t>
      </w:r>
      <w:proofErr w:type="gramEnd"/>
      <w:r w:rsidR="00C167F1" w:rsidRPr="00FC232E">
        <w:rPr>
          <w:bCs/>
          <w:sz w:val="22"/>
          <w:szCs w:val="22"/>
        </w:rPr>
        <w:t xml:space="preserve"> where grade C or above evidence was lacking.</w:t>
      </w:r>
      <w:r w:rsidRPr="00FC232E">
        <w:rPr>
          <w:sz w:val="22"/>
          <w:szCs w:val="22"/>
        </w:rPr>
        <w:t xml:space="preserve"> </w:t>
      </w:r>
    </w:p>
    <w:p w:rsidR="00FC232E" w:rsidRDefault="00FC232E">
      <w:r>
        <w:br w:type="page"/>
      </w:r>
    </w:p>
    <w:p w:rsidR="005D15DA" w:rsidRPr="00A21238" w:rsidRDefault="005D15DA" w:rsidP="005D15DA">
      <w:pPr>
        <w:rPr>
          <w:rFonts w:ascii="Century Gothic" w:hAnsi="Century Gothic" w:cs="Arial"/>
          <w:sz w:val="20"/>
          <w:szCs w:val="20"/>
          <w:vertAlign w:val="superscript"/>
        </w:rPr>
      </w:pPr>
      <w:r w:rsidRPr="00FC232E">
        <w:rPr>
          <w:b/>
          <w:bCs/>
          <w:sz w:val="22"/>
          <w:szCs w:val="22"/>
        </w:rPr>
        <w:lastRenderedPageBreak/>
        <w:t>Table 3:  Definition of grades of recommendations</w:t>
      </w:r>
      <w:r w:rsidR="0002496E" w:rsidRPr="0002496E">
        <w:rPr>
          <w:b/>
          <w:bCs/>
          <w:noProof/>
          <w:sz w:val="22"/>
          <w:szCs w:val="22"/>
          <w:vertAlign w:val="superscript"/>
        </w:rPr>
        <w:t>2</w:t>
      </w:r>
    </w:p>
    <w:tbl>
      <w:tblPr>
        <w:tblW w:w="0" w:type="auto"/>
        <w:tblInd w:w="108" w:type="dxa"/>
        <w:tblBorders>
          <w:top w:val="nil"/>
          <w:left w:val="nil"/>
          <w:bottom w:val="nil"/>
          <w:right w:val="nil"/>
        </w:tblBorders>
        <w:tblLayout w:type="fixed"/>
        <w:tblLook w:val="0000"/>
      </w:tblPr>
      <w:tblGrid>
        <w:gridCol w:w="1890"/>
        <w:gridCol w:w="7560"/>
      </w:tblGrid>
      <w:tr w:rsidR="005D15DA" w:rsidRPr="00A21238" w:rsidTr="00B35E87">
        <w:trPr>
          <w:trHeight w:val="307"/>
        </w:trPr>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5D15DA" w:rsidRPr="00FC232E" w:rsidRDefault="005D15DA" w:rsidP="00AF5CEB">
            <w:pPr>
              <w:pStyle w:val="Default"/>
              <w:rPr>
                <w:color w:val="auto"/>
                <w:sz w:val="22"/>
                <w:szCs w:val="22"/>
              </w:rPr>
            </w:pPr>
            <w:r w:rsidRPr="00FC232E">
              <w:rPr>
                <w:b/>
                <w:bCs/>
                <w:color w:val="auto"/>
                <w:sz w:val="22"/>
                <w:szCs w:val="22"/>
              </w:rPr>
              <w:t xml:space="preserve">Grade of recommendation </w:t>
            </w:r>
          </w:p>
        </w:tc>
        <w:tc>
          <w:tcPr>
            <w:tcW w:w="7560" w:type="dxa"/>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rPr>
                <w:color w:val="auto"/>
                <w:sz w:val="22"/>
                <w:szCs w:val="22"/>
              </w:rPr>
            </w:pPr>
            <w:r w:rsidRPr="00FC232E">
              <w:rPr>
                <w:b/>
                <w:bCs/>
                <w:color w:val="auto"/>
                <w:sz w:val="22"/>
                <w:szCs w:val="22"/>
              </w:rPr>
              <w:t xml:space="preserve">Description </w:t>
            </w:r>
          </w:p>
        </w:tc>
      </w:tr>
      <w:tr w:rsidR="005D15DA" w:rsidRPr="00A21238" w:rsidTr="00B35E87">
        <w:trPr>
          <w:trHeight w:val="169"/>
        </w:trPr>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5D15DA" w:rsidRPr="00FC232E" w:rsidRDefault="005D15DA" w:rsidP="00AF5CEB">
            <w:pPr>
              <w:pStyle w:val="Default"/>
              <w:jc w:val="center"/>
              <w:rPr>
                <w:color w:val="auto"/>
                <w:sz w:val="22"/>
                <w:szCs w:val="22"/>
              </w:rPr>
            </w:pPr>
            <w:r w:rsidRPr="00FC232E">
              <w:rPr>
                <w:b/>
                <w:bCs/>
                <w:color w:val="auto"/>
                <w:sz w:val="22"/>
                <w:szCs w:val="22"/>
              </w:rPr>
              <w:t xml:space="preserve">A </w:t>
            </w:r>
          </w:p>
        </w:tc>
        <w:tc>
          <w:tcPr>
            <w:tcW w:w="7560" w:type="dxa"/>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rPr>
                <w:color w:val="auto"/>
                <w:sz w:val="22"/>
                <w:szCs w:val="22"/>
              </w:rPr>
            </w:pPr>
            <w:r w:rsidRPr="00FC232E">
              <w:rPr>
                <w:color w:val="auto"/>
                <w:sz w:val="22"/>
                <w:szCs w:val="22"/>
              </w:rPr>
              <w:t xml:space="preserve">Body of evidence can be trusted to guide practice </w:t>
            </w:r>
          </w:p>
        </w:tc>
      </w:tr>
      <w:tr w:rsidR="005D15DA" w:rsidRPr="00A21238" w:rsidTr="00B35E87">
        <w:trPr>
          <w:trHeight w:val="305"/>
        </w:trPr>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5D15DA" w:rsidRPr="00FC232E" w:rsidRDefault="005D15DA" w:rsidP="00AF5CEB">
            <w:pPr>
              <w:pStyle w:val="Default"/>
              <w:jc w:val="center"/>
              <w:rPr>
                <w:color w:val="auto"/>
                <w:sz w:val="22"/>
                <w:szCs w:val="22"/>
              </w:rPr>
            </w:pPr>
            <w:r w:rsidRPr="00FC232E">
              <w:rPr>
                <w:b/>
                <w:bCs/>
                <w:color w:val="auto"/>
                <w:sz w:val="22"/>
                <w:szCs w:val="22"/>
              </w:rPr>
              <w:t xml:space="preserve">B </w:t>
            </w:r>
          </w:p>
        </w:tc>
        <w:tc>
          <w:tcPr>
            <w:tcW w:w="7560" w:type="dxa"/>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rPr>
                <w:color w:val="auto"/>
                <w:sz w:val="22"/>
                <w:szCs w:val="22"/>
              </w:rPr>
            </w:pPr>
            <w:r w:rsidRPr="00FC232E">
              <w:rPr>
                <w:color w:val="auto"/>
                <w:sz w:val="22"/>
                <w:szCs w:val="22"/>
              </w:rPr>
              <w:t xml:space="preserve">Body of evidence can be trusted to guide practice in most situations </w:t>
            </w:r>
          </w:p>
        </w:tc>
      </w:tr>
      <w:tr w:rsidR="005D15DA" w:rsidRPr="00A21238" w:rsidTr="00B35E87">
        <w:trPr>
          <w:trHeight w:val="441"/>
        </w:trPr>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5D15DA" w:rsidRPr="00FC232E" w:rsidRDefault="005D15DA" w:rsidP="00AF5CEB">
            <w:pPr>
              <w:pStyle w:val="Default"/>
              <w:jc w:val="center"/>
              <w:rPr>
                <w:color w:val="auto"/>
                <w:sz w:val="22"/>
                <w:szCs w:val="22"/>
              </w:rPr>
            </w:pPr>
            <w:r w:rsidRPr="00FC232E">
              <w:rPr>
                <w:b/>
                <w:bCs/>
                <w:color w:val="auto"/>
                <w:sz w:val="22"/>
                <w:szCs w:val="22"/>
              </w:rPr>
              <w:t xml:space="preserve">C </w:t>
            </w:r>
          </w:p>
        </w:tc>
        <w:tc>
          <w:tcPr>
            <w:tcW w:w="7560" w:type="dxa"/>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rPr>
                <w:color w:val="auto"/>
                <w:sz w:val="22"/>
                <w:szCs w:val="22"/>
              </w:rPr>
            </w:pPr>
            <w:r w:rsidRPr="00FC232E">
              <w:rPr>
                <w:color w:val="auto"/>
                <w:sz w:val="22"/>
                <w:szCs w:val="22"/>
              </w:rPr>
              <w:t xml:space="preserve">Body of evidence provides some support for recommendation(s) but care should be taken in its application </w:t>
            </w:r>
          </w:p>
        </w:tc>
      </w:tr>
      <w:tr w:rsidR="005D15DA" w:rsidRPr="00A21238" w:rsidTr="00B35E87">
        <w:trPr>
          <w:trHeight w:val="304"/>
        </w:trPr>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5D15DA" w:rsidRPr="00FC232E" w:rsidRDefault="005D15DA" w:rsidP="00AF5CEB">
            <w:pPr>
              <w:pStyle w:val="Default"/>
              <w:jc w:val="center"/>
              <w:rPr>
                <w:color w:val="auto"/>
                <w:sz w:val="22"/>
                <w:szCs w:val="22"/>
              </w:rPr>
            </w:pPr>
            <w:r w:rsidRPr="00FC232E">
              <w:rPr>
                <w:b/>
                <w:bCs/>
                <w:color w:val="auto"/>
                <w:sz w:val="22"/>
                <w:szCs w:val="22"/>
              </w:rPr>
              <w:t xml:space="preserve">D </w:t>
            </w:r>
          </w:p>
        </w:tc>
        <w:tc>
          <w:tcPr>
            <w:tcW w:w="7560" w:type="dxa"/>
            <w:tcBorders>
              <w:top w:val="single" w:sz="8" w:space="0" w:color="000000"/>
              <w:left w:val="single" w:sz="8" w:space="0" w:color="000000"/>
              <w:bottom w:val="single" w:sz="8" w:space="0" w:color="000000"/>
              <w:right w:val="single" w:sz="8" w:space="0" w:color="000000"/>
            </w:tcBorders>
          </w:tcPr>
          <w:p w:rsidR="005D15DA" w:rsidRPr="00FC232E" w:rsidRDefault="005D15DA" w:rsidP="00AF5CEB">
            <w:pPr>
              <w:pStyle w:val="Default"/>
              <w:rPr>
                <w:color w:val="auto"/>
                <w:sz w:val="22"/>
                <w:szCs w:val="22"/>
              </w:rPr>
            </w:pPr>
            <w:r w:rsidRPr="00FC232E">
              <w:rPr>
                <w:color w:val="auto"/>
                <w:sz w:val="22"/>
                <w:szCs w:val="22"/>
              </w:rPr>
              <w:t xml:space="preserve">Body of evidence is weak and recommendation must be applied with caution </w:t>
            </w:r>
          </w:p>
        </w:tc>
      </w:tr>
    </w:tbl>
    <w:p w:rsidR="00307664" w:rsidRPr="00FC232E" w:rsidRDefault="00307664" w:rsidP="00307664">
      <w:pPr>
        <w:spacing w:before="223" w:after="223"/>
        <w:rPr>
          <w:sz w:val="22"/>
          <w:szCs w:val="22"/>
        </w:rPr>
      </w:pPr>
      <w:r w:rsidRPr="00FC232E">
        <w:rPr>
          <w:b/>
          <w:bCs/>
          <w:sz w:val="22"/>
          <w:szCs w:val="22"/>
        </w:rPr>
        <w:t>Revision Dates</w:t>
      </w:r>
      <w:r w:rsidRPr="00FC232E">
        <w:rPr>
          <w:sz w:val="22"/>
          <w:szCs w:val="22"/>
        </w:rPr>
        <w:br/>
      </w:r>
      <w:proofErr w:type="gramStart"/>
      <w:r w:rsidRPr="00FC232E">
        <w:rPr>
          <w:sz w:val="22"/>
          <w:szCs w:val="22"/>
        </w:rPr>
        <w:t>This</w:t>
      </w:r>
      <w:proofErr w:type="gramEnd"/>
      <w:r w:rsidRPr="00FC232E">
        <w:rPr>
          <w:sz w:val="22"/>
          <w:szCs w:val="22"/>
        </w:rPr>
        <w:t xml:space="preserve"> guideline will be reviewed </w:t>
      </w:r>
      <w:r w:rsidR="00AC081E" w:rsidRPr="00AC081E">
        <w:rPr>
          <w:rFonts w:eastAsia="Calibri"/>
          <w:color w:val="000000"/>
          <w:sz w:val="22"/>
          <w:szCs w:val="22"/>
        </w:rPr>
        <w:t>regularly, as mandated by</w:t>
      </w:r>
      <w:r w:rsidR="008A35DD">
        <w:rPr>
          <w:rFonts w:ascii="Tahoma" w:eastAsia="Calibri" w:hAnsi="Tahoma" w:cs="Tahoma"/>
          <w:color w:val="000000"/>
          <w:sz w:val="20"/>
          <w:szCs w:val="20"/>
        </w:rPr>
        <w:t xml:space="preserve"> </w:t>
      </w:r>
      <w:r w:rsidRPr="00FC232E">
        <w:rPr>
          <w:sz w:val="22"/>
          <w:szCs w:val="22"/>
        </w:rPr>
        <w:t xml:space="preserve">publication of substantive and high-quality medical evidence that could potentially alter the original guideline recommendations.  If necessary, the entire panel will reconvene to discuss potential changes. When appropriate, </w:t>
      </w:r>
      <w:r w:rsidR="00AC081E" w:rsidRPr="00AC081E">
        <w:rPr>
          <w:rFonts w:eastAsia="Calibri"/>
          <w:color w:val="000000"/>
          <w:sz w:val="22"/>
          <w:szCs w:val="22"/>
        </w:rPr>
        <w:t>panel members</w:t>
      </w:r>
      <w:r w:rsidR="008A35DD">
        <w:rPr>
          <w:rFonts w:ascii="Tahoma" w:eastAsia="Calibri" w:hAnsi="Tahoma" w:cs="Tahoma"/>
          <w:color w:val="000000"/>
          <w:sz w:val="20"/>
          <w:szCs w:val="20"/>
        </w:rPr>
        <w:t xml:space="preserve"> </w:t>
      </w:r>
      <w:r w:rsidRPr="00FC232E">
        <w:rPr>
          <w:sz w:val="22"/>
          <w:szCs w:val="22"/>
        </w:rPr>
        <w:t xml:space="preserve">will recommend revision of the guideline to their respective organizations for review and approval. </w:t>
      </w:r>
    </w:p>
    <w:p w:rsidR="00307664" w:rsidRPr="00595D6F" w:rsidRDefault="00307664" w:rsidP="00307664">
      <w:pPr>
        <w:spacing w:before="223"/>
        <w:rPr>
          <w:b/>
          <w:bCs/>
          <w:sz w:val="22"/>
          <w:szCs w:val="22"/>
        </w:rPr>
      </w:pPr>
      <w:r w:rsidRPr="00595D6F">
        <w:rPr>
          <w:b/>
          <w:bCs/>
          <w:sz w:val="22"/>
          <w:szCs w:val="22"/>
        </w:rPr>
        <w:t>OUTCOMES</w:t>
      </w:r>
    </w:p>
    <w:p w:rsidR="00F57604" w:rsidRPr="00595D6F" w:rsidRDefault="00A923EA" w:rsidP="00F57604">
      <w:pPr>
        <w:spacing w:before="223" w:after="223"/>
        <w:rPr>
          <w:b/>
          <w:sz w:val="22"/>
          <w:szCs w:val="22"/>
        </w:rPr>
      </w:pPr>
      <w:r w:rsidRPr="00595D6F">
        <w:rPr>
          <w:b/>
          <w:iCs/>
          <w:sz w:val="22"/>
          <w:szCs w:val="22"/>
        </w:rPr>
        <w:t>CAP/IASLC/AMP Expert Panel Literature Review and A</w:t>
      </w:r>
      <w:r w:rsidR="00307664" w:rsidRPr="00595D6F">
        <w:rPr>
          <w:b/>
          <w:iCs/>
          <w:sz w:val="22"/>
          <w:szCs w:val="22"/>
        </w:rPr>
        <w:t>nalysis</w:t>
      </w:r>
      <w:r w:rsidR="00307664" w:rsidRPr="00595D6F">
        <w:rPr>
          <w:b/>
          <w:sz w:val="22"/>
          <w:szCs w:val="22"/>
        </w:rPr>
        <w:t xml:space="preserve"> </w:t>
      </w:r>
    </w:p>
    <w:p w:rsidR="00307664" w:rsidRPr="00595D6F" w:rsidRDefault="00890DF2" w:rsidP="00F57604">
      <w:pPr>
        <w:spacing w:before="223" w:after="223"/>
        <w:rPr>
          <w:b/>
          <w:sz w:val="22"/>
          <w:szCs w:val="22"/>
        </w:rPr>
      </w:pPr>
      <w:proofErr w:type="gramStart"/>
      <w:r w:rsidRPr="00595D6F">
        <w:rPr>
          <w:sz w:val="22"/>
          <w:szCs w:val="22"/>
        </w:rPr>
        <w:t xml:space="preserve">The expert </w:t>
      </w:r>
      <w:r w:rsidR="00307664" w:rsidRPr="00595D6F">
        <w:rPr>
          <w:sz w:val="22"/>
          <w:szCs w:val="22"/>
        </w:rPr>
        <w:t xml:space="preserve">panel co-chairs </w:t>
      </w:r>
      <w:r w:rsidR="00D67A20">
        <w:rPr>
          <w:sz w:val="22"/>
          <w:szCs w:val="22"/>
        </w:rPr>
        <w:t>(</w:t>
      </w:r>
      <w:r w:rsidR="00D67A20" w:rsidRPr="00DE1827">
        <w:rPr>
          <w:sz w:val="22"/>
          <w:szCs w:val="22"/>
        </w:rPr>
        <w:t>N.I.L,</w:t>
      </w:r>
      <w:r w:rsidR="00D67A20">
        <w:rPr>
          <w:sz w:val="22"/>
          <w:szCs w:val="22"/>
        </w:rPr>
        <w:t xml:space="preserve"> P.T.C, M.L)</w:t>
      </w:r>
      <w:r w:rsidR="00DA4B97">
        <w:rPr>
          <w:sz w:val="22"/>
          <w:szCs w:val="22"/>
        </w:rPr>
        <w:t xml:space="preserve"> </w:t>
      </w:r>
      <w:r w:rsidR="00307664" w:rsidRPr="00595D6F">
        <w:rPr>
          <w:sz w:val="22"/>
          <w:szCs w:val="22"/>
        </w:rPr>
        <w:t xml:space="preserve">reviewed </w:t>
      </w:r>
      <w:r w:rsidR="00326700" w:rsidRPr="00595D6F">
        <w:rPr>
          <w:sz w:val="22"/>
          <w:szCs w:val="22"/>
        </w:rPr>
        <w:t>1533</w:t>
      </w:r>
      <w:r w:rsidR="00307664" w:rsidRPr="00595D6F">
        <w:rPr>
          <w:sz w:val="22"/>
          <w:szCs w:val="22"/>
        </w:rPr>
        <w:t xml:space="preserve"> potentially relevant abstracts identified in the original literature searches to select studies pertinent to the gu</w:t>
      </w:r>
      <w:r w:rsidR="00357441">
        <w:rPr>
          <w:sz w:val="22"/>
          <w:szCs w:val="22"/>
        </w:rPr>
        <w:t>ideline: 2</w:t>
      </w:r>
      <w:r w:rsidR="00104E08" w:rsidRPr="00595D6F">
        <w:rPr>
          <w:sz w:val="22"/>
          <w:szCs w:val="22"/>
        </w:rPr>
        <w:t xml:space="preserve"> co-chairs </w:t>
      </w:r>
      <w:r w:rsidR="00307664" w:rsidRPr="00595D6F">
        <w:rPr>
          <w:sz w:val="22"/>
          <w:szCs w:val="22"/>
        </w:rPr>
        <w:t xml:space="preserve"> independently reviewed each abstract, and disagreements were r</w:t>
      </w:r>
      <w:r w:rsidR="00104E08" w:rsidRPr="00595D6F">
        <w:rPr>
          <w:sz w:val="22"/>
          <w:szCs w:val="22"/>
        </w:rPr>
        <w:t xml:space="preserve">esolved by the third co-chair </w:t>
      </w:r>
      <w:r w:rsidR="00307664" w:rsidRPr="00595D6F">
        <w:rPr>
          <w:sz w:val="22"/>
          <w:szCs w:val="22"/>
        </w:rPr>
        <w:t xml:space="preserve"> Full-text articles (</w:t>
      </w:r>
      <w:r w:rsidR="00326700" w:rsidRPr="00595D6F">
        <w:rPr>
          <w:sz w:val="22"/>
          <w:szCs w:val="22"/>
        </w:rPr>
        <w:t>521</w:t>
      </w:r>
      <w:r w:rsidR="00307664" w:rsidRPr="00595D6F">
        <w:rPr>
          <w:sz w:val="22"/>
          <w:szCs w:val="22"/>
        </w:rPr>
        <w:t>) were then reviewed f</w:t>
      </w:r>
      <w:r w:rsidR="00357441">
        <w:rPr>
          <w:sz w:val="22"/>
          <w:szCs w:val="22"/>
        </w:rPr>
        <w:t>or all selected abstracts by 2</w:t>
      </w:r>
      <w:r w:rsidR="00307664" w:rsidRPr="00595D6F">
        <w:rPr>
          <w:sz w:val="22"/>
          <w:szCs w:val="22"/>
        </w:rPr>
        <w:t xml:space="preserve"> members of the expert author panel; discrepancies</w:t>
      </w:r>
      <w:r w:rsidR="00104E08" w:rsidRPr="00595D6F">
        <w:rPr>
          <w:sz w:val="22"/>
          <w:szCs w:val="22"/>
        </w:rPr>
        <w:t xml:space="preserve"> were resolved by a co-chair.</w:t>
      </w:r>
      <w:proofErr w:type="gramEnd"/>
      <w:r w:rsidR="00104E08" w:rsidRPr="00595D6F">
        <w:rPr>
          <w:sz w:val="22"/>
          <w:szCs w:val="22"/>
        </w:rPr>
        <w:t xml:space="preserve"> </w:t>
      </w:r>
      <w:r w:rsidR="00307664" w:rsidRPr="00595D6F">
        <w:rPr>
          <w:sz w:val="22"/>
          <w:szCs w:val="22"/>
        </w:rPr>
        <w:t xml:space="preserve">  Evidence tables </w:t>
      </w:r>
      <w:proofErr w:type="gramStart"/>
      <w:r w:rsidR="00307664" w:rsidRPr="00595D6F">
        <w:rPr>
          <w:sz w:val="22"/>
          <w:szCs w:val="22"/>
        </w:rPr>
        <w:t>were developed</w:t>
      </w:r>
      <w:proofErr w:type="gramEnd"/>
      <w:r w:rsidR="00307664" w:rsidRPr="00595D6F">
        <w:rPr>
          <w:sz w:val="22"/>
          <w:szCs w:val="22"/>
        </w:rPr>
        <w:t xml:space="preserve"> </w:t>
      </w:r>
      <w:r w:rsidR="00357441">
        <w:rPr>
          <w:sz w:val="22"/>
          <w:szCs w:val="22"/>
        </w:rPr>
        <w:t xml:space="preserve">from </w:t>
      </w:r>
      <w:r w:rsidR="00307664" w:rsidRPr="00595D6F">
        <w:rPr>
          <w:sz w:val="22"/>
          <w:szCs w:val="22"/>
        </w:rPr>
        <w:t xml:space="preserve">selected studies that met the criteria for inclusion.  A third literature review was performed by the authors of each section of the guideline, to verify that the highest levels of evidence supported each of their recommendations and, if not, to re-evaluate the recommendation and modify or defend it. </w:t>
      </w:r>
    </w:p>
    <w:p w:rsidR="00104E08" w:rsidRPr="00595D6F" w:rsidRDefault="00307664" w:rsidP="00104E08">
      <w:pPr>
        <w:spacing w:before="223" w:after="223"/>
        <w:rPr>
          <w:sz w:val="22"/>
          <w:szCs w:val="22"/>
        </w:rPr>
      </w:pPr>
      <w:proofErr w:type="gramStart"/>
      <w:r w:rsidRPr="00595D6F">
        <w:rPr>
          <w:sz w:val="22"/>
          <w:szCs w:val="22"/>
        </w:rPr>
        <w:t xml:space="preserve">A total of </w:t>
      </w:r>
      <w:r w:rsidR="00595D6F" w:rsidRPr="00595D6F">
        <w:rPr>
          <w:sz w:val="22"/>
          <w:szCs w:val="22"/>
        </w:rPr>
        <w:t>278</w:t>
      </w:r>
      <w:proofErr w:type="gramEnd"/>
      <w:r w:rsidRPr="00595D6F">
        <w:rPr>
          <w:sz w:val="22"/>
          <w:szCs w:val="22"/>
        </w:rPr>
        <w:t xml:space="preserve"> studies were selected.  In studies with duplicate data (companion publications), the original study, or the study reporting detailed or recent data (with a higher number of patients) was included. In cases where different outcomes </w:t>
      </w:r>
      <w:proofErr w:type="gramStart"/>
      <w:r w:rsidRPr="00595D6F">
        <w:rPr>
          <w:sz w:val="22"/>
          <w:szCs w:val="22"/>
        </w:rPr>
        <w:t>had been reported</w:t>
      </w:r>
      <w:proofErr w:type="gramEnd"/>
      <w:r w:rsidRPr="00595D6F">
        <w:rPr>
          <w:sz w:val="22"/>
          <w:szCs w:val="22"/>
        </w:rPr>
        <w:t xml:space="preserve">, </w:t>
      </w:r>
      <w:r w:rsidR="005E0D7C" w:rsidRPr="00595D6F">
        <w:rPr>
          <w:sz w:val="22"/>
          <w:szCs w:val="22"/>
        </w:rPr>
        <w:t>all studies</w:t>
      </w:r>
      <w:r w:rsidRPr="00595D6F">
        <w:rPr>
          <w:sz w:val="22"/>
          <w:szCs w:val="22"/>
        </w:rPr>
        <w:t xml:space="preserve"> were included.  </w:t>
      </w:r>
      <w:r w:rsidR="00094938" w:rsidRPr="00595D6F">
        <w:rPr>
          <w:sz w:val="22"/>
          <w:szCs w:val="22"/>
        </w:rPr>
        <w:t>(</w:t>
      </w:r>
      <w:r w:rsidR="00C5591E">
        <w:rPr>
          <w:sz w:val="22"/>
          <w:szCs w:val="22"/>
        </w:rPr>
        <w:t>See Figure 1</w:t>
      </w:r>
      <w:r w:rsidR="00094938" w:rsidRPr="00595D6F">
        <w:rPr>
          <w:sz w:val="22"/>
          <w:szCs w:val="22"/>
        </w:rPr>
        <w:t>)</w:t>
      </w:r>
      <w:r w:rsidR="00104E08" w:rsidRPr="00595D6F">
        <w:rPr>
          <w:sz w:val="22"/>
          <w:szCs w:val="22"/>
        </w:rPr>
        <w:t xml:space="preserve"> </w:t>
      </w:r>
    </w:p>
    <w:p w:rsidR="00FF1DFC" w:rsidRPr="00595D6F" w:rsidRDefault="00602433" w:rsidP="00FF1DFC">
      <w:pPr>
        <w:rPr>
          <w:sz w:val="22"/>
          <w:szCs w:val="22"/>
        </w:rPr>
      </w:pPr>
      <w:r w:rsidRPr="00595D6F">
        <w:rPr>
          <w:sz w:val="22"/>
          <w:szCs w:val="22"/>
        </w:rPr>
        <w:t xml:space="preserve">A methodologist performed the original data extraction, and </w:t>
      </w:r>
      <w:proofErr w:type="gramStart"/>
      <w:r w:rsidRPr="00595D6F">
        <w:rPr>
          <w:sz w:val="22"/>
          <w:szCs w:val="22"/>
        </w:rPr>
        <w:t>this was verified by CAP technical staff</w:t>
      </w:r>
      <w:proofErr w:type="gramEnd"/>
      <w:r w:rsidRPr="00595D6F">
        <w:rPr>
          <w:sz w:val="22"/>
          <w:szCs w:val="22"/>
        </w:rPr>
        <w:t xml:space="preserve">.  All analyses </w:t>
      </w:r>
      <w:proofErr w:type="gramStart"/>
      <w:r w:rsidRPr="00595D6F">
        <w:rPr>
          <w:sz w:val="22"/>
          <w:szCs w:val="22"/>
        </w:rPr>
        <w:t>were performed</w:t>
      </w:r>
      <w:proofErr w:type="gramEnd"/>
      <w:r w:rsidRPr="00595D6F">
        <w:rPr>
          <w:sz w:val="22"/>
          <w:szCs w:val="22"/>
        </w:rPr>
        <w:t xml:space="preserve"> using the Review Manager (</w:t>
      </w:r>
      <w:proofErr w:type="spellStart"/>
      <w:r w:rsidRPr="00595D6F">
        <w:rPr>
          <w:sz w:val="22"/>
          <w:szCs w:val="22"/>
        </w:rPr>
        <w:t>RevMan</w:t>
      </w:r>
      <w:proofErr w:type="spellEnd"/>
      <w:r w:rsidRPr="00595D6F">
        <w:rPr>
          <w:sz w:val="22"/>
          <w:szCs w:val="22"/>
        </w:rPr>
        <w:t>) computer program [</w:t>
      </w:r>
      <w:r w:rsidRPr="00595D6F">
        <w:rPr>
          <w:sz w:val="22"/>
          <w:szCs w:val="22"/>
          <w:lang w:val="en-CA"/>
        </w:rPr>
        <w:t>Version 5.1. Copenhagen: The Nordic Cochrane Centre, The Cochrane Collaboration, 2011]</w:t>
      </w:r>
      <w:r w:rsidRPr="00595D6F">
        <w:rPr>
          <w:sz w:val="22"/>
          <w:szCs w:val="22"/>
        </w:rPr>
        <w:t>.</w:t>
      </w:r>
      <w:proofErr w:type="gramStart"/>
      <w:r w:rsidR="0002496E" w:rsidRPr="0002496E">
        <w:rPr>
          <w:rFonts w:ascii="Century Gothic" w:hAnsi="Century Gothic"/>
          <w:noProof/>
          <w:sz w:val="20"/>
          <w:szCs w:val="20"/>
          <w:vertAlign w:val="superscript"/>
        </w:rPr>
        <w:t>6</w:t>
      </w:r>
      <w:r w:rsidRPr="00A21238">
        <w:rPr>
          <w:rFonts w:ascii="Century Gothic" w:hAnsi="Century Gothic"/>
          <w:sz w:val="20"/>
          <w:szCs w:val="20"/>
        </w:rPr>
        <w:t xml:space="preserve">  </w:t>
      </w:r>
      <w:r w:rsidRPr="00595D6F">
        <w:rPr>
          <w:sz w:val="22"/>
          <w:szCs w:val="22"/>
        </w:rPr>
        <w:t>Analyses</w:t>
      </w:r>
      <w:proofErr w:type="gramEnd"/>
      <w:r w:rsidRPr="00595D6F">
        <w:rPr>
          <w:sz w:val="22"/>
          <w:szCs w:val="22"/>
        </w:rPr>
        <w:t xml:space="preserve"> were performed for main comparisons as well as subgroup-analyses where warranted.  Intention-to-treat data </w:t>
      </w:r>
      <w:proofErr w:type="gramStart"/>
      <w:r w:rsidRPr="00595D6F">
        <w:rPr>
          <w:sz w:val="22"/>
          <w:szCs w:val="22"/>
        </w:rPr>
        <w:t>were analyzed</w:t>
      </w:r>
      <w:proofErr w:type="gramEnd"/>
      <w:r w:rsidRPr="00595D6F">
        <w:rPr>
          <w:sz w:val="22"/>
          <w:szCs w:val="22"/>
        </w:rPr>
        <w:t xml:space="preserve"> where </w:t>
      </w:r>
      <w:r w:rsidR="00665CB4" w:rsidRPr="00595D6F">
        <w:rPr>
          <w:sz w:val="22"/>
          <w:szCs w:val="22"/>
        </w:rPr>
        <w:t>possible;</w:t>
      </w:r>
      <w:r w:rsidRPr="00595D6F">
        <w:rPr>
          <w:sz w:val="22"/>
          <w:szCs w:val="22"/>
        </w:rPr>
        <w:t xml:space="preserve"> </w:t>
      </w:r>
      <w:r w:rsidR="00665CB4" w:rsidRPr="00595D6F">
        <w:rPr>
          <w:sz w:val="22"/>
          <w:szCs w:val="22"/>
        </w:rPr>
        <w:t>otherwise,</w:t>
      </w:r>
      <w:r w:rsidRPr="00595D6F">
        <w:rPr>
          <w:sz w:val="22"/>
          <w:szCs w:val="22"/>
        </w:rPr>
        <w:t xml:space="preserve"> per-protocol data were used.  Mean differences (MD) with 95% confidence intervals (CI) were calculated for continuous data and relative risk ratio (RR) with 95% CI were calculated for dichotomous data; values of </w:t>
      </w:r>
      <w:r w:rsidR="000953A5" w:rsidRPr="00595D6F">
        <w:rPr>
          <w:i/>
          <w:sz w:val="22"/>
          <w:szCs w:val="22"/>
        </w:rPr>
        <w:t>P</w:t>
      </w:r>
      <w:r w:rsidR="00E336DC">
        <w:rPr>
          <w:sz w:val="22"/>
          <w:szCs w:val="22"/>
        </w:rPr>
        <w:t>&lt;</w:t>
      </w:r>
      <w:r w:rsidRPr="00595D6F">
        <w:rPr>
          <w:sz w:val="22"/>
          <w:szCs w:val="22"/>
        </w:rPr>
        <w:t xml:space="preserve">.05 was considered to be statistically significant.  Where mean data were not available, median data were used based on the assumption of constant hazard, but were calculated and presented separately.  The random effects model </w:t>
      </w:r>
      <w:proofErr w:type="gramStart"/>
      <w:r w:rsidRPr="00595D6F">
        <w:rPr>
          <w:sz w:val="22"/>
          <w:szCs w:val="22"/>
        </w:rPr>
        <w:t>was used</w:t>
      </w:r>
      <w:proofErr w:type="gramEnd"/>
      <w:r w:rsidRPr="00595D6F">
        <w:rPr>
          <w:sz w:val="22"/>
          <w:szCs w:val="22"/>
        </w:rPr>
        <w:t xml:space="preserve"> for all analyses, as it is the more conservative estimate of treatment effect.  Comparative data </w:t>
      </w:r>
      <w:proofErr w:type="gramStart"/>
      <w:r w:rsidRPr="00595D6F">
        <w:rPr>
          <w:sz w:val="22"/>
          <w:szCs w:val="22"/>
        </w:rPr>
        <w:t>were pooled</w:t>
      </w:r>
      <w:proofErr w:type="gramEnd"/>
      <w:r w:rsidRPr="00595D6F">
        <w:rPr>
          <w:sz w:val="22"/>
          <w:szCs w:val="22"/>
        </w:rPr>
        <w:t xml:space="preserve"> where no clinical heterogeneity was present, as determined by the expert panel co-chairs.  </w:t>
      </w:r>
      <w:r w:rsidR="00FF1DFC" w:rsidRPr="00595D6F">
        <w:rPr>
          <w:sz w:val="22"/>
          <w:szCs w:val="22"/>
        </w:rPr>
        <w:t>The magnitude of statistical heterogeneity was calculated using the I</w:t>
      </w:r>
      <w:r w:rsidR="00FF1DFC" w:rsidRPr="00595D6F">
        <w:rPr>
          <w:sz w:val="22"/>
          <w:szCs w:val="22"/>
          <w:vertAlign w:val="superscript"/>
        </w:rPr>
        <w:t>2</w:t>
      </w:r>
      <w:r w:rsidR="00FF1DFC" w:rsidRPr="00595D6F">
        <w:rPr>
          <w:sz w:val="22"/>
          <w:szCs w:val="22"/>
        </w:rPr>
        <w:t xml:space="preserve"> statistic for all pooled comparisons using the methods described by </w:t>
      </w:r>
      <w:proofErr w:type="spellStart"/>
      <w:r w:rsidR="00FF1DFC" w:rsidRPr="00595D6F">
        <w:rPr>
          <w:sz w:val="22"/>
          <w:szCs w:val="22"/>
        </w:rPr>
        <w:t>Montori</w:t>
      </w:r>
      <w:proofErr w:type="spellEnd"/>
      <w:r w:rsidR="00FF1DFC" w:rsidRPr="00595D6F">
        <w:rPr>
          <w:sz w:val="22"/>
          <w:szCs w:val="22"/>
        </w:rPr>
        <w:t xml:space="preserve"> </w:t>
      </w:r>
      <w:r w:rsidR="00FF1DFC" w:rsidRPr="00595D6F">
        <w:rPr>
          <w:i/>
          <w:sz w:val="22"/>
          <w:szCs w:val="22"/>
        </w:rPr>
        <w:t>et al</w:t>
      </w:r>
      <w:r w:rsidR="00FF1DFC" w:rsidRPr="00595D6F">
        <w:rPr>
          <w:sz w:val="22"/>
          <w:szCs w:val="22"/>
        </w:rPr>
        <w:t xml:space="preserve"> (1) where a value of 0-25% indicated low, 26-50% indicated moderate, and greater than 51% indicated large heterogeneity.</w:t>
      </w:r>
      <w:r w:rsidR="0002496E" w:rsidRPr="0002496E">
        <w:rPr>
          <w:rFonts w:ascii="Century Gothic" w:hAnsi="Century Gothic"/>
          <w:noProof/>
          <w:sz w:val="20"/>
          <w:szCs w:val="20"/>
          <w:vertAlign w:val="superscript"/>
        </w:rPr>
        <w:t>7</w:t>
      </w:r>
      <w:r w:rsidR="00FF1DFC" w:rsidRPr="00FF1DFC">
        <w:rPr>
          <w:rFonts w:ascii="Century Gothic" w:hAnsi="Century Gothic"/>
          <w:sz w:val="20"/>
          <w:szCs w:val="20"/>
        </w:rPr>
        <w:t xml:space="preserve">  </w:t>
      </w:r>
      <w:r w:rsidR="00FF1DFC" w:rsidRPr="00595D6F">
        <w:rPr>
          <w:sz w:val="22"/>
          <w:szCs w:val="22"/>
        </w:rPr>
        <w:t>For I</w:t>
      </w:r>
      <w:r w:rsidR="00FF1DFC" w:rsidRPr="00595D6F">
        <w:rPr>
          <w:sz w:val="22"/>
          <w:szCs w:val="22"/>
          <w:vertAlign w:val="superscript"/>
        </w:rPr>
        <w:t xml:space="preserve">2 </w:t>
      </w:r>
      <w:r w:rsidR="00FF1DFC" w:rsidRPr="00595D6F">
        <w:rPr>
          <w:sz w:val="22"/>
          <w:szCs w:val="22"/>
        </w:rPr>
        <w:t>values greater than 75%, sub-group analysis to explore possible sources of heterogeneity would be co</w:t>
      </w:r>
      <w:r w:rsidR="0048674F" w:rsidRPr="00595D6F">
        <w:rPr>
          <w:sz w:val="22"/>
          <w:szCs w:val="22"/>
        </w:rPr>
        <w:t>nsidered.  See Table 4</w:t>
      </w:r>
      <w:r w:rsidR="00FF1DFC" w:rsidRPr="00595D6F">
        <w:rPr>
          <w:sz w:val="22"/>
          <w:szCs w:val="22"/>
        </w:rPr>
        <w:t xml:space="preserve"> for a summary of the I</w:t>
      </w:r>
      <w:r w:rsidR="00FF1DFC" w:rsidRPr="00595D6F">
        <w:rPr>
          <w:sz w:val="22"/>
          <w:szCs w:val="22"/>
          <w:vertAlign w:val="superscript"/>
        </w:rPr>
        <w:t>2</w:t>
      </w:r>
      <w:r w:rsidR="00FF1DFC" w:rsidRPr="00595D6F">
        <w:rPr>
          <w:sz w:val="22"/>
          <w:szCs w:val="22"/>
        </w:rPr>
        <w:t xml:space="preserve"> values obtained.</w:t>
      </w:r>
    </w:p>
    <w:p w:rsidR="00595D6F" w:rsidRDefault="00595D6F">
      <w:pPr>
        <w:rPr>
          <w:rFonts w:ascii="Century Gothic" w:hAnsi="Century Gothic"/>
          <w:sz w:val="20"/>
          <w:szCs w:val="20"/>
        </w:rPr>
      </w:pPr>
      <w:r>
        <w:rPr>
          <w:rFonts w:ascii="Century Gothic" w:hAnsi="Century Gothic"/>
          <w:sz w:val="20"/>
          <w:szCs w:val="20"/>
        </w:rPr>
        <w:br w:type="page"/>
      </w:r>
    </w:p>
    <w:p w:rsidR="00FF1DFC" w:rsidRPr="00595D6F" w:rsidRDefault="0048674F" w:rsidP="00FF1DFC">
      <w:pPr>
        <w:rPr>
          <w:b/>
          <w:sz w:val="22"/>
          <w:szCs w:val="22"/>
        </w:rPr>
      </w:pPr>
      <w:proofErr w:type="gramStart"/>
      <w:r w:rsidRPr="00595D6F">
        <w:rPr>
          <w:b/>
          <w:sz w:val="22"/>
          <w:szCs w:val="22"/>
        </w:rPr>
        <w:lastRenderedPageBreak/>
        <w:t>Table 4</w:t>
      </w:r>
      <w:r w:rsidR="00FF1DFC" w:rsidRPr="00595D6F">
        <w:rPr>
          <w:b/>
          <w:sz w:val="22"/>
          <w:szCs w:val="22"/>
        </w:rPr>
        <w:t>.</w:t>
      </w:r>
      <w:proofErr w:type="gramEnd"/>
      <w:r w:rsidR="00FF1DFC" w:rsidRPr="00595D6F">
        <w:rPr>
          <w:b/>
          <w:sz w:val="22"/>
          <w:szCs w:val="22"/>
        </w:rPr>
        <w:t xml:space="preserve"> I</w:t>
      </w:r>
      <w:r w:rsidR="00FF1DFC" w:rsidRPr="00595D6F">
        <w:rPr>
          <w:b/>
          <w:sz w:val="22"/>
          <w:szCs w:val="22"/>
          <w:vertAlign w:val="superscript"/>
        </w:rPr>
        <w:t>2</w:t>
      </w:r>
      <w:r w:rsidR="00FF1DFC" w:rsidRPr="00595D6F">
        <w:rPr>
          <w:b/>
          <w:sz w:val="22"/>
          <w:szCs w:val="22"/>
        </w:rPr>
        <w:t xml:space="preserve"> results by magnitude of statistical heterogeneity</w:t>
      </w:r>
    </w:p>
    <w:tbl>
      <w:tblPr>
        <w:tblStyle w:val="TableGrid"/>
        <w:tblW w:w="0" w:type="auto"/>
        <w:tblLook w:val="04A0"/>
      </w:tblPr>
      <w:tblGrid>
        <w:gridCol w:w="1098"/>
        <w:gridCol w:w="7470"/>
        <w:gridCol w:w="990"/>
      </w:tblGrid>
      <w:tr w:rsidR="00FF1DFC" w:rsidTr="0048674F">
        <w:tc>
          <w:tcPr>
            <w:tcW w:w="1098" w:type="dxa"/>
          </w:tcPr>
          <w:p w:rsidR="00FF1DFC" w:rsidRPr="00EC6C32" w:rsidRDefault="00FF1DFC" w:rsidP="0048674F">
            <w:pPr>
              <w:rPr>
                <w:rFonts w:ascii="Calibri" w:hAnsi="Calibri" w:cs="Calibri"/>
                <w:b/>
                <w:sz w:val="20"/>
                <w:szCs w:val="20"/>
              </w:rPr>
            </w:pPr>
            <w:r w:rsidRPr="00EC6C32">
              <w:rPr>
                <w:rFonts w:ascii="Calibri" w:hAnsi="Calibri" w:cs="Calibri"/>
                <w:b/>
                <w:sz w:val="20"/>
                <w:szCs w:val="20"/>
              </w:rPr>
              <w:t>I</w:t>
            </w:r>
            <w:r w:rsidRPr="00EC6C32">
              <w:rPr>
                <w:rFonts w:ascii="Calibri" w:hAnsi="Calibri" w:cs="Calibri"/>
                <w:b/>
                <w:sz w:val="20"/>
                <w:szCs w:val="20"/>
                <w:vertAlign w:val="superscript"/>
              </w:rPr>
              <w:t>2</w:t>
            </w:r>
            <w:r w:rsidRPr="00EC6C32">
              <w:rPr>
                <w:rFonts w:ascii="Calibri" w:hAnsi="Calibri" w:cs="Calibri"/>
                <w:b/>
                <w:sz w:val="20"/>
                <w:szCs w:val="20"/>
              </w:rPr>
              <w:t xml:space="preserve"> </w:t>
            </w:r>
          </w:p>
        </w:tc>
        <w:tc>
          <w:tcPr>
            <w:tcW w:w="7470" w:type="dxa"/>
          </w:tcPr>
          <w:p w:rsidR="00FF1DFC" w:rsidRPr="00EC6C32" w:rsidRDefault="00FF1DFC" w:rsidP="0048674F">
            <w:pPr>
              <w:rPr>
                <w:rFonts w:ascii="Calibri" w:hAnsi="Calibri" w:cs="Calibri"/>
                <w:b/>
                <w:sz w:val="20"/>
                <w:szCs w:val="20"/>
              </w:rPr>
            </w:pPr>
            <w:r w:rsidRPr="00EC6C32">
              <w:rPr>
                <w:rFonts w:ascii="Calibri" w:hAnsi="Calibri" w:cs="Calibri"/>
                <w:b/>
                <w:sz w:val="20"/>
                <w:szCs w:val="20"/>
              </w:rPr>
              <w:t>Comparison</w:t>
            </w:r>
          </w:p>
        </w:tc>
        <w:tc>
          <w:tcPr>
            <w:tcW w:w="990" w:type="dxa"/>
          </w:tcPr>
          <w:p w:rsidR="00FF1DFC" w:rsidRPr="00EC6C32" w:rsidRDefault="00FF1DFC" w:rsidP="0048674F">
            <w:pPr>
              <w:rPr>
                <w:rFonts w:ascii="Calibri" w:hAnsi="Calibri" w:cs="Calibri"/>
                <w:b/>
                <w:sz w:val="20"/>
                <w:szCs w:val="20"/>
              </w:rPr>
            </w:pPr>
            <w:r w:rsidRPr="00EC6C32">
              <w:rPr>
                <w:rFonts w:ascii="Calibri" w:hAnsi="Calibri" w:cs="Calibri"/>
                <w:b/>
                <w:sz w:val="20"/>
                <w:szCs w:val="20"/>
              </w:rPr>
              <w:t>I</w:t>
            </w:r>
            <w:r w:rsidRPr="00EC6C32">
              <w:rPr>
                <w:rFonts w:ascii="Calibri" w:hAnsi="Calibri" w:cs="Calibri"/>
                <w:b/>
                <w:sz w:val="20"/>
                <w:szCs w:val="20"/>
                <w:vertAlign w:val="superscript"/>
              </w:rPr>
              <w:t>2</w:t>
            </w:r>
            <w:r w:rsidRPr="00EC6C32">
              <w:rPr>
                <w:rFonts w:ascii="Calibri" w:hAnsi="Calibri" w:cs="Calibri"/>
                <w:b/>
                <w:sz w:val="20"/>
                <w:szCs w:val="20"/>
              </w:rPr>
              <w:t xml:space="preserve"> value, %</w:t>
            </w:r>
          </w:p>
        </w:tc>
      </w:tr>
      <w:tr w:rsidR="00FF1DFC" w:rsidTr="0048674F">
        <w:tc>
          <w:tcPr>
            <w:tcW w:w="1098" w:type="dxa"/>
            <w:vMerge w:val="restart"/>
          </w:tcPr>
          <w:p w:rsidR="00FF1DFC" w:rsidRPr="00EC6C32" w:rsidRDefault="00FF1DFC" w:rsidP="0048674F">
            <w:pPr>
              <w:rPr>
                <w:rFonts w:ascii="Calibri" w:hAnsi="Calibri" w:cs="Calibri"/>
                <w:sz w:val="20"/>
                <w:szCs w:val="20"/>
              </w:rPr>
            </w:pPr>
            <w:r w:rsidRPr="00EC6C32">
              <w:rPr>
                <w:rFonts w:ascii="Calibri" w:hAnsi="Calibri" w:cs="Calibri"/>
                <w:sz w:val="20"/>
                <w:szCs w:val="20"/>
              </w:rPr>
              <w:t>I</w:t>
            </w:r>
            <w:r w:rsidRPr="00EC6C32">
              <w:rPr>
                <w:rFonts w:ascii="Calibri" w:hAnsi="Calibri" w:cs="Calibri"/>
                <w:sz w:val="20"/>
                <w:szCs w:val="20"/>
                <w:vertAlign w:val="superscript"/>
              </w:rPr>
              <w:t>2</w:t>
            </w:r>
            <w:r w:rsidRPr="00EC6C32">
              <w:rPr>
                <w:rFonts w:ascii="Calibri" w:hAnsi="Calibri" w:cs="Calibri"/>
                <w:sz w:val="20"/>
                <w:szCs w:val="20"/>
              </w:rPr>
              <w:t>=0-25%</w:t>
            </w:r>
          </w:p>
        </w:tc>
        <w:tc>
          <w:tcPr>
            <w:tcW w:w="7470" w:type="dxa"/>
          </w:tcPr>
          <w:p w:rsidR="00FF1DFC" w:rsidRPr="00EC6C32" w:rsidRDefault="00FF1DFC" w:rsidP="0048674F">
            <w:pPr>
              <w:rPr>
                <w:rFonts w:ascii="Calibri" w:hAnsi="Calibri" w:cs="Calibri"/>
                <w:sz w:val="20"/>
                <w:szCs w:val="20"/>
              </w:rPr>
            </w:pPr>
            <w:r w:rsidRPr="00B8122E">
              <w:rPr>
                <w:rFonts w:ascii="Calibri" w:hAnsi="Calibri" w:cs="Calibri"/>
                <w:i/>
                <w:sz w:val="20"/>
                <w:szCs w:val="20"/>
              </w:rPr>
              <w:t>EGFR</w:t>
            </w:r>
            <w:r w:rsidRPr="00EC6C32">
              <w:rPr>
                <w:rFonts w:ascii="Calibri" w:hAnsi="Calibri" w:cs="Calibri"/>
                <w:sz w:val="20"/>
                <w:szCs w:val="20"/>
              </w:rPr>
              <w:t xml:space="preserve">+ Asian patients, Age &lt;65 vs. ≥65 years [Table </w:t>
            </w:r>
            <w:r w:rsidR="00A566D8" w:rsidRPr="00EC6C32">
              <w:rPr>
                <w:rFonts w:ascii="Calibri" w:hAnsi="Calibri" w:cs="Calibri"/>
                <w:sz w:val="20"/>
                <w:szCs w:val="20"/>
              </w:rPr>
              <w:t>9</w:t>
            </w:r>
            <w:r w:rsidRPr="00EC6C32">
              <w:rPr>
                <w:rFonts w:ascii="Calibri" w:hAnsi="Calibri" w:cs="Calibri"/>
                <w:sz w:val="20"/>
                <w:szCs w:val="20"/>
              </w:rPr>
              <w:t>]</w:t>
            </w:r>
          </w:p>
        </w:tc>
        <w:tc>
          <w:tcPr>
            <w:tcW w:w="990" w:type="dxa"/>
          </w:tcPr>
          <w:p w:rsidR="00FF1DFC" w:rsidRPr="00EC6C32" w:rsidRDefault="00FF1DFC" w:rsidP="0048674F">
            <w:pPr>
              <w:rPr>
                <w:rFonts w:ascii="Calibri" w:hAnsi="Calibri" w:cs="Calibri"/>
                <w:sz w:val="20"/>
                <w:szCs w:val="20"/>
              </w:rPr>
            </w:pPr>
            <w:r w:rsidRPr="00EC6C32">
              <w:rPr>
                <w:rFonts w:ascii="Calibri" w:hAnsi="Calibri" w:cs="Calibri"/>
                <w:sz w:val="20"/>
                <w:szCs w:val="20"/>
              </w:rPr>
              <w:t>0</w:t>
            </w:r>
          </w:p>
        </w:tc>
      </w:tr>
      <w:tr w:rsidR="00FF1DFC" w:rsidTr="0048674F">
        <w:tc>
          <w:tcPr>
            <w:tcW w:w="1098" w:type="dxa"/>
            <w:vMerge/>
          </w:tcPr>
          <w:p w:rsidR="00FF1DFC" w:rsidRPr="00EC6C32" w:rsidRDefault="00FF1DFC" w:rsidP="0048674F">
            <w:pPr>
              <w:rPr>
                <w:rFonts w:ascii="Calibri" w:hAnsi="Calibri" w:cs="Calibri"/>
                <w:sz w:val="20"/>
                <w:szCs w:val="20"/>
              </w:rPr>
            </w:pPr>
          </w:p>
        </w:tc>
        <w:tc>
          <w:tcPr>
            <w:tcW w:w="7470" w:type="dxa"/>
          </w:tcPr>
          <w:p w:rsidR="00FF1DFC" w:rsidRPr="00EC6C32" w:rsidRDefault="0044690D" w:rsidP="0048674F">
            <w:pPr>
              <w:rPr>
                <w:rFonts w:ascii="Calibri" w:hAnsi="Calibri" w:cs="Calibri"/>
                <w:sz w:val="20"/>
                <w:szCs w:val="20"/>
              </w:rPr>
            </w:pPr>
            <w:r w:rsidRPr="00B8122E">
              <w:rPr>
                <w:rFonts w:ascii="Calibri" w:hAnsi="Calibri" w:cs="Calibri"/>
                <w:i/>
                <w:sz w:val="20"/>
                <w:szCs w:val="20"/>
              </w:rPr>
              <w:t>EGFR</w:t>
            </w:r>
            <w:r w:rsidRPr="00EC6C32">
              <w:rPr>
                <w:rFonts w:ascii="Calibri" w:hAnsi="Calibri" w:cs="Calibri"/>
                <w:sz w:val="20"/>
                <w:szCs w:val="20"/>
              </w:rPr>
              <w:t xml:space="preserve">+ Asian patients, Differentiation two-grades, Well vs. Moderate/Poor [Table </w:t>
            </w:r>
            <w:r w:rsidR="00A566D8" w:rsidRPr="00EC6C32">
              <w:rPr>
                <w:rFonts w:ascii="Calibri" w:hAnsi="Calibri" w:cs="Calibri"/>
                <w:sz w:val="20"/>
                <w:szCs w:val="20"/>
              </w:rPr>
              <w:t>9</w:t>
            </w:r>
            <w:r w:rsidR="006403D2" w:rsidRPr="00EC6C32">
              <w:rPr>
                <w:rFonts w:ascii="Calibri" w:hAnsi="Calibri" w:cs="Calibri"/>
                <w:sz w:val="20"/>
                <w:szCs w:val="20"/>
              </w:rPr>
              <w:t>]</w:t>
            </w:r>
          </w:p>
        </w:tc>
        <w:tc>
          <w:tcPr>
            <w:tcW w:w="990" w:type="dxa"/>
          </w:tcPr>
          <w:p w:rsidR="00FF1DFC" w:rsidRPr="00EC6C32" w:rsidRDefault="006403D2" w:rsidP="0048674F">
            <w:pPr>
              <w:rPr>
                <w:rFonts w:ascii="Calibri" w:hAnsi="Calibri" w:cs="Calibri"/>
                <w:sz w:val="20"/>
                <w:szCs w:val="20"/>
              </w:rPr>
            </w:pPr>
            <w:r w:rsidRPr="00EC6C32">
              <w:rPr>
                <w:rFonts w:ascii="Calibri" w:hAnsi="Calibri" w:cs="Calibri"/>
                <w:sz w:val="20"/>
                <w:szCs w:val="20"/>
              </w:rPr>
              <w:t>13</w:t>
            </w:r>
          </w:p>
        </w:tc>
      </w:tr>
      <w:tr w:rsidR="00FF1DFC" w:rsidTr="0048674F">
        <w:tc>
          <w:tcPr>
            <w:tcW w:w="1098" w:type="dxa"/>
            <w:vMerge/>
          </w:tcPr>
          <w:p w:rsidR="00FF1DFC" w:rsidRPr="00EC6C32" w:rsidRDefault="00FF1DFC" w:rsidP="0048674F">
            <w:pPr>
              <w:rPr>
                <w:rFonts w:ascii="Calibri" w:hAnsi="Calibri" w:cs="Calibri"/>
                <w:sz w:val="20"/>
                <w:szCs w:val="20"/>
              </w:rPr>
            </w:pPr>
          </w:p>
        </w:tc>
        <w:tc>
          <w:tcPr>
            <w:tcW w:w="7470" w:type="dxa"/>
          </w:tcPr>
          <w:p w:rsidR="00FF1DFC" w:rsidRPr="00EC6C32" w:rsidRDefault="0044690D" w:rsidP="0048674F">
            <w:pPr>
              <w:rPr>
                <w:rFonts w:ascii="Calibri" w:hAnsi="Calibri" w:cs="Calibri"/>
                <w:sz w:val="20"/>
                <w:szCs w:val="20"/>
              </w:rPr>
            </w:pPr>
            <w:r w:rsidRPr="00B8122E">
              <w:rPr>
                <w:rFonts w:ascii="Calibri" w:hAnsi="Calibri" w:cs="Calibri"/>
                <w:i/>
                <w:sz w:val="20"/>
                <w:szCs w:val="20"/>
              </w:rPr>
              <w:t>EGFR</w:t>
            </w:r>
            <w:r w:rsidRPr="00EC6C32">
              <w:rPr>
                <w:rFonts w:ascii="Calibri" w:hAnsi="Calibri" w:cs="Calibri"/>
                <w:sz w:val="20"/>
                <w:szCs w:val="20"/>
              </w:rPr>
              <w:t xml:space="preserve">+ Asian patients, Differentiation three-grades, Well vs. Poor [Table </w:t>
            </w:r>
            <w:r w:rsidR="00A566D8" w:rsidRPr="00EC6C32">
              <w:rPr>
                <w:rFonts w:ascii="Calibri" w:hAnsi="Calibri" w:cs="Calibri"/>
                <w:sz w:val="20"/>
                <w:szCs w:val="20"/>
              </w:rPr>
              <w:t>9</w:t>
            </w:r>
            <w:r w:rsidR="006403D2" w:rsidRPr="00EC6C32">
              <w:rPr>
                <w:rFonts w:ascii="Calibri" w:hAnsi="Calibri" w:cs="Calibri"/>
                <w:sz w:val="20"/>
                <w:szCs w:val="20"/>
              </w:rPr>
              <w:t>]</w:t>
            </w:r>
          </w:p>
        </w:tc>
        <w:tc>
          <w:tcPr>
            <w:tcW w:w="990" w:type="dxa"/>
          </w:tcPr>
          <w:p w:rsidR="00FF1DFC" w:rsidRPr="00EC6C32" w:rsidRDefault="006403D2" w:rsidP="0048674F">
            <w:pPr>
              <w:rPr>
                <w:rFonts w:ascii="Calibri" w:hAnsi="Calibri" w:cs="Calibri"/>
                <w:sz w:val="20"/>
                <w:szCs w:val="20"/>
              </w:rPr>
            </w:pPr>
            <w:r w:rsidRPr="00EC6C32">
              <w:rPr>
                <w:rFonts w:ascii="Calibri" w:hAnsi="Calibri" w:cs="Calibri"/>
                <w:sz w:val="20"/>
                <w:szCs w:val="20"/>
              </w:rPr>
              <w:t>0</w:t>
            </w:r>
          </w:p>
        </w:tc>
      </w:tr>
      <w:tr w:rsidR="00FF1DFC" w:rsidTr="0048674F">
        <w:tc>
          <w:tcPr>
            <w:tcW w:w="1098" w:type="dxa"/>
            <w:vMerge/>
          </w:tcPr>
          <w:p w:rsidR="00FF1DFC" w:rsidRPr="00EC6C32" w:rsidRDefault="00FF1DFC" w:rsidP="0048674F">
            <w:pPr>
              <w:rPr>
                <w:rFonts w:ascii="Calibri" w:hAnsi="Calibri" w:cs="Calibri"/>
                <w:sz w:val="20"/>
                <w:szCs w:val="20"/>
              </w:rPr>
            </w:pPr>
          </w:p>
        </w:tc>
        <w:tc>
          <w:tcPr>
            <w:tcW w:w="7470" w:type="dxa"/>
          </w:tcPr>
          <w:p w:rsidR="00FF1DFC" w:rsidRPr="00EC6C32" w:rsidRDefault="0044690D" w:rsidP="0048674F">
            <w:pPr>
              <w:rPr>
                <w:rFonts w:ascii="Calibri" w:hAnsi="Calibri" w:cs="Calibri"/>
                <w:sz w:val="20"/>
                <w:szCs w:val="20"/>
              </w:rPr>
            </w:pPr>
            <w:r w:rsidRPr="00B8122E">
              <w:rPr>
                <w:rFonts w:ascii="Calibri" w:hAnsi="Calibri" w:cs="Calibri"/>
                <w:i/>
                <w:sz w:val="20"/>
                <w:szCs w:val="20"/>
              </w:rPr>
              <w:t>EGFR</w:t>
            </w:r>
            <w:r w:rsidRPr="00EC6C32">
              <w:rPr>
                <w:rFonts w:ascii="Calibri" w:hAnsi="Calibri" w:cs="Calibri"/>
                <w:sz w:val="20"/>
                <w:szCs w:val="20"/>
              </w:rPr>
              <w:t xml:space="preserve">+ Asian patients, Differentiation three-grades, Well vs. Moderate/Poor [Table </w:t>
            </w:r>
            <w:r w:rsidR="00A566D8" w:rsidRPr="00EC6C32">
              <w:rPr>
                <w:rFonts w:ascii="Calibri" w:hAnsi="Calibri" w:cs="Calibri"/>
                <w:sz w:val="20"/>
                <w:szCs w:val="20"/>
              </w:rPr>
              <w:t>9</w:t>
            </w:r>
            <w:r w:rsidR="006403D2" w:rsidRPr="00EC6C32">
              <w:rPr>
                <w:rFonts w:ascii="Calibri" w:hAnsi="Calibri" w:cs="Calibri"/>
                <w:sz w:val="20"/>
                <w:szCs w:val="20"/>
              </w:rPr>
              <w:t>]</w:t>
            </w:r>
          </w:p>
        </w:tc>
        <w:tc>
          <w:tcPr>
            <w:tcW w:w="990" w:type="dxa"/>
          </w:tcPr>
          <w:p w:rsidR="00FF1DFC" w:rsidRPr="00EC6C32" w:rsidRDefault="006403D2" w:rsidP="0048674F">
            <w:pPr>
              <w:rPr>
                <w:rFonts w:ascii="Calibri" w:hAnsi="Calibri" w:cs="Calibri"/>
                <w:sz w:val="20"/>
                <w:szCs w:val="20"/>
              </w:rPr>
            </w:pPr>
            <w:r w:rsidRPr="00EC6C32">
              <w:rPr>
                <w:rFonts w:ascii="Calibri" w:hAnsi="Calibri" w:cs="Calibri"/>
                <w:sz w:val="20"/>
                <w:szCs w:val="20"/>
              </w:rPr>
              <w:t>0</w:t>
            </w:r>
          </w:p>
        </w:tc>
      </w:tr>
      <w:tr w:rsidR="00FF1DFC" w:rsidTr="0048674F">
        <w:tc>
          <w:tcPr>
            <w:tcW w:w="1098" w:type="dxa"/>
            <w:vMerge/>
          </w:tcPr>
          <w:p w:rsidR="00FF1DFC" w:rsidRPr="00EC6C32" w:rsidRDefault="00FF1DFC" w:rsidP="0048674F">
            <w:pPr>
              <w:rPr>
                <w:rFonts w:ascii="Calibri" w:hAnsi="Calibri" w:cs="Calibri"/>
                <w:sz w:val="20"/>
                <w:szCs w:val="20"/>
              </w:rPr>
            </w:pPr>
          </w:p>
        </w:tc>
        <w:tc>
          <w:tcPr>
            <w:tcW w:w="7470" w:type="dxa"/>
          </w:tcPr>
          <w:p w:rsidR="00FF1DFC" w:rsidRPr="00EC6C32" w:rsidRDefault="0044690D" w:rsidP="0048674F">
            <w:pPr>
              <w:rPr>
                <w:rFonts w:ascii="Calibri" w:hAnsi="Calibri" w:cs="Calibri"/>
                <w:sz w:val="20"/>
                <w:szCs w:val="20"/>
              </w:rPr>
            </w:pPr>
            <w:r w:rsidRPr="00EC6C32">
              <w:rPr>
                <w:rFonts w:ascii="Calibri" w:hAnsi="Calibri" w:cs="Calibri"/>
                <w:sz w:val="20"/>
                <w:szCs w:val="20"/>
              </w:rPr>
              <w:t xml:space="preserve">EGFR+ Non-Asian patients, Adenocarcinoma vs. Squamous [Table </w:t>
            </w:r>
            <w:r w:rsidR="00A566D8" w:rsidRPr="00EC6C32">
              <w:rPr>
                <w:rFonts w:ascii="Calibri" w:hAnsi="Calibri" w:cs="Calibri"/>
                <w:sz w:val="20"/>
                <w:szCs w:val="20"/>
              </w:rPr>
              <w:t>10</w:t>
            </w:r>
            <w:r w:rsidR="006403D2" w:rsidRPr="00EC6C32">
              <w:rPr>
                <w:rFonts w:ascii="Calibri" w:hAnsi="Calibri" w:cs="Calibri"/>
                <w:sz w:val="20"/>
                <w:szCs w:val="20"/>
              </w:rPr>
              <w:t>]</w:t>
            </w:r>
          </w:p>
        </w:tc>
        <w:tc>
          <w:tcPr>
            <w:tcW w:w="990" w:type="dxa"/>
          </w:tcPr>
          <w:p w:rsidR="00FF1DFC" w:rsidRPr="00EC6C32" w:rsidRDefault="006403D2" w:rsidP="0048674F">
            <w:pPr>
              <w:rPr>
                <w:rFonts w:ascii="Calibri" w:hAnsi="Calibri" w:cs="Calibri"/>
                <w:sz w:val="20"/>
                <w:szCs w:val="20"/>
              </w:rPr>
            </w:pPr>
            <w:r w:rsidRPr="00EC6C32">
              <w:rPr>
                <w:rFonts w:ascii="Calibri" w:hAnsi="Calibri" w:cs="Calibri"/>
                <w:sz w:val="20"/>
                <w:szCs w:val="20"/>
              </w:rPr>
              <w:t>0</w:t>
            </w:r>
          </w:p>
        </w:tc>
      </w:tr>
      <w:tr w:rsidR="00FF1DFC" w:rsidTr="0048674F">
        <w:tc>
          <w:tcPr>
            <w:tcW w:w="1098" w:type="dxa"/>
            <w:vMerge/>
          </w:tcPr>
          <w:p w:rsidR="00FF1DFC" w:rsidRPr="00EC6C32" w:rsidRDefault="00FF1DFC" w:rsidP="0048674F">
            <w:pPr>
              <w:rPr>
                <w:rFonts w:ascii="Calibri" w:hAnsi="Calibri" w:cs="Calibri"/>
                <w:sz w:val="20"/>
                <w:szCs w:val="20"/>
              </w:rPr>
            </w:pPr>
          </w:p>
        </w:tc>
        <w:tc>
          <w:tcPr>
            <w:tcW w:w="7470" w:type="dxa"/>
          </w:tcPr>
          <w:p w:rsidR="00FF1DFC" w:rsidRPr="00EC6C32" w:rsidRDefault="0044690D" w:rsidP="0048674F">
            <w:pPr>
              <w:rPr>
                <w:rFonts w:ascii="Calibri" w:hAnsi="Calibri" w:cs="Calibri"/>
                <w:sz w:val="20"/>
                <w:szCs w:val="20"/>
              </w:rPr>
            </w:pPr>
            <w:r w:rsidRPr="00B8122E">
              <w:rPr>
                <w:rFonts w:ascii="Calibri" w:hAnsi="Calibri" w:cs="Calibri"/>
                <w:i/>
                <w:sz w:val="20"/>
                <w:szCs w:val="20"/>
              </w:rPr>
              <w:t>ALK</w:t>
            </w:r>
            <w:r w:rsidRPr="00EC6C32">
              <w:rPr>
                <w:rFonts w:ascii="Calibri" w:hAnsi="Calibri" w:cs="Calibri"/>
                <w:sz w:val="20"/>
                <w:szCs w:val="20"/>
              </w:rPr>
              <w:t>+ NSCLC patients, Adenocarcinoma vs. Squamous [Table 1</w:t>
            </w:r>
            <w:r w:rsidR="00A566D8" w:rsidRPr="00EC6C32">
              <w:rPr>
                <w:rFonts w:ascii="Calibri" w:hAnsi="Calibri" w:cs="Calibri"/>
                <w:sz w:val="20"/>
                <w:szCs w:val="20"/>
              </w:rPr>
              <w:t>3</w:t>
            </w:r>
            <w:r w:rsidR="006403D2" w:rsidRPr="00EC6C32">
              <w:rPr>
                <w:rFonts w:ascii="Calibri" w:hAnsi="Calibri" w:cs="Calibri"/>
                <w:sz w:val="20"/>
                <w:szCs w:val="20"/>
              </w:rPr>
              <w:t>]</w:t>
            </w:r>
          </w:p>
        </w:tc>
        <w:tc>
          <w:tcPr>
            <w:tcW w:w="990" w:type="dxa"/>
          </w:tcPr>
          <w:p w:rsidR="00FF1DFC" w:rsidRPr="00EC6C32" w:rsidRDefault="006403D2" w:rsidP="0048674F">
            <w:pPr>
              <w:rPr>
                <w:rFonts w:ascii="Calibri" w:hAnsi="Calibri" w:cs="Calibri"/>
                <w:sz w:val="20"/>
                <w:szCs w:val="20"/>
              </w:rPr>
            </w:pPr>
            <w:r w:rsidRPr="00EC6C32">
              <w:rPr>
                <w:rFonts w:ascii="Calibri" w:hAnsi="Calibri" w:cs="Calibri"/>
                <w:sz w:val="20"/>
                <w:szCs w:val="20"/>
              </w:rPr>
              <w:t>0</w:t>
            </w:r>
          </w:p>
        </w:tc>
      </w:tr>
      <w:tr w:rsidR="00FF1DFC" w:rsidTr="0048674F">
        <w:tc>
          <w:tcPr>
            <w:tcW w:w="1098" w:type="dxa"/>
            <w:vMerge/>
          </w:tcPr>
          <w:p w:rsidR="00FF1DFC" w:rsidRPr="00EC6C32" w:rsidRDefault="00FF1DFC" w:rsidP="0048674F">
            <w:pPr>
              <w:rPr>
                <w:rFonts w:ascii="Calibri" w:hAnsi="Calibri" w:cs="Calibri"/>
                <w:sz w:val="20"/>
                <w:szCs w:val="20"/>
              </w:rPr>
            </w:pPr>
          </w:p>
        </w:tc>
        <w:tc>
          <w:tcPr>
            <w:tcW w:w="7470" w:type="dxa"/>
          </w:tcPr>
          <w:p w:rsidR="00FF1DFC" w:rsidRPr="00EC6C32" w:rsidRDefault="0044690D" w:rsidP="0048674F">
            <w:pPr>
              <w:rPr>
                <w:rFonts w:ascii="Calibri" w:hAnsi="Calibri" w:cs="Calibri"/>
                <w:sz w:val="20"/>
                <w:szCs w:val="20"/>
              </w:rPr>
            </w:pPr>
            <w:r w:rsidRPr="00B8122E">
              <w:rPr>
                <w:rFonts w:ascii="Calibri" w:hAnsi="Calibri" w:cs="Calibri"/>
                <w:i/>
                <w:sz w:val="20"/>
                <w:szCs w:val="20"/>
              </w:rPr>
              <w:t>EGFR</w:t>
            </w:r>
            <w:r w:rsidRPr="00EC6C32">
              <w:rPr>
                <w:rFonts w:ascii="Calibri" w:hAnsi="Calibri" w:cs="Calibri"/>
                <w:sz w:val="20"/>
                <w:szCs w:val="20"/>
              </w:rPr>
              <w:t xml:space="preserve">+ vs. </w:t>
            </w:r>
            <w:r w:rsidRPr="00B8122E">
              <w:rPr>
                <w:rFonts w:ascii="Calibri" w:hAnsi="Calibri" w:cs="Calibri"/>
                <w:i/>
                <w:sz w:val="20"/>
                <w:szCs w:val="20"/>
              </w:rPr>
              <w:t>EGFR</w:t>
            </w:r>
            <w:r w:rsidRPr="00EC6C32">
              <w:rPr>
                <w:rFonts w:ascii="Calibri" w:hAnsi="Calibri" w:cs="Calibri"/>
                <w:sz w:val="20"/>
                <w:szCs w:val="20"/>
              </w:rPr>
              <w:t>-  Time to Progression (6 month) [Table 1</w:t>
            </w:r>
            <w:r w:rsidR="00A566D8" w:rsidRPr="00EC6C32">
              <w:rPr>
                <w:rFonts w:ascii="Calibri" w:hAnsi="Calibri" w:cs="Calibri"/>
                <w:sz w:val="20"/>
                <w:szCs w:val="20"/>
              </w:rPr>
              <w:t>6</w:t>
            </w:r>
            <w:r w:rsidR="006403D2" w:rsidRPr="00EC6C32">
              <w:rPr>
                <w:rFonts w:ascii="Calibri" w:hAnsi="Calibri" w:cs="Calibri"/>
                <w:sz w:val="20"/>
                <w:szCs w:val="20"/>
              </w:rPr>
              <w:t>]</w:t>
            </w:r>
          </w:p>
        </w:tc>
        <w:tc>
          <w:tcPr>
            <w:tcW w:w="990" w:type="dxa"/>
          </w:tcPr>
          <w:p w:rsidR="00FF1DFC" w:rsidRPr="00EC6C32" w:rsidRDefault="006403D2" w:rsidP="0048674F">
            <w:pPr>
              <w:rPr>
                <w:rFonts w:ascii="Calibri" w:hAnsi="Calibri" w:cs="Calibri"/>
                <w:sz w:val="20"/>
                <w:szCs w:val="20"/>
              </w:rPr>
            </w:pPr>
            <w:r w:rsidRPr="00EC6C32">
              <w:rPr>
                <w:rFonts w:ascii="Calibri" w:hAnsi="Calibri" w:cs="Calibri"/>
                <w:sz w:val="20"/>
                <w:szCs w:val="20"/>
              </w:rPr>
              <w:t>0</w:t>
            </w:r>
          </w:p>
        </w:tc>
      </w:tr>
      <w:tr w:rsidR="00FF1DFC" w:rsidTr="0048674F">
        <w:tc>
          <w:tcPr>
            <w:tcW w:w="1098" w:type="dxa"/>
            <w:vMerge/>
          </w:tcPr>
          <w:p w:rsidR="00FF1DFC" w:rsidRPr="00EC6C32" w:rsidRDefault="00FF1DFC" w:rsidP="0048674F">
            <w:pPr>
              <w:rPr>
                <w:rFonts w:ascii="Calibri" w:hAnsi="Calibri" w:cs="Calibri"/>
                <w:sz w:val="20"/>
                <w:szCs w:val="20"/>
              </w:rPr>
            </w:pPr>
          </w:p>
        </w:tc>
        <w:tc>
          <w:tcPr>
            <w:tcW w:w="7470" w:type="dxa"/>
          </w:tcPr>
          <w:p w:rsidR="00FF1DFC" w:rsidRPr="00EC6C32" w:rsidRDefault="0044690D" w:rsidP="0048674F">
            <w:pPr>
              <w:rPr>
                <w:rFonts w:ascii="Calibri" w:hAnsi="Calibri" w:cs="Calibri"/>
                <w:sz w:val="20"/>
                <w:szCs w:val="20"/>
              </w:rPr>
            </w:pPr>
            <w:r w:rsidRPr="00EC6C32">
              <w:rPr>
                <w:rFonts w:ascii="Calibri" w:hAnsi="Calibri" w:cs="Calibri"/>
                <w:sz w:val="20"/>
                <w:szCs w:val="20"/>
              </w:rPr>
              <w:t xml:space="preserve">TKI vs. </w:t>
            </w:r>
            <w:proofErr w:type="spellStart"/>
            <w:r w:rsidRPr="00EC6C32">
              <w:rPr>
                <w:rFonts w:ascii="Calibri" w:hAnsi="Calibri" w:cs="Calibri"/>
                <w:sz w:val="20"/>
                <w:szCs w:val="20"/>
              </w:rPr>
              <w:t>CTx</w:t>
            </w:r>
            <w:proofErr w:type="spellEnd"/>
            <w:r w:rsidRPr="00EC6C32">
              <w:rPr>
                <w:rFonts w:ascii="Calibri" w:hAnsi="Calibri" w:cs="Calibri"/>
                <w:sz w:val="20"/>
                <w:szCs w:val="20"/>
              </w:rPr>
              <w:t xml:space="preserve">  Lung Ca patients, Time to Progression @ 2 years [Table 1</w:t>
            </w:r>
            <w:r w:rsidR="00A566D8" w:rsidRPr="00EC6C32">
              <w:rPr>
                <w:rFonts w:ascii="Calibri" w:hAnsi="Calibri" w:cs="Calibri"/>
                <w:sz w:val="20"/>
                <w:szCs w:val="20"/>
              </w:rPr>
              <w:t>7</w:t>
            </w:r>
            <w:r w:rsidR="006403D2" w:rsidRPr="00EC6C32">
              <w:rPr>
                <w:rFonts w:ascii="Calibri" w:hAnsi="Calibri" w:cs="Calibri"/>
                <w:sz w:val="20"/>
                <w:szCs w:val="20"/>
              </w:rPr>
              <w:t>]</w:t>
            </w:r>
          </w:p>
        </w:tc>
        <w:tc>
          <w:tcPr>
            <w:tcW w:w="990" w:type="dxa"/>
          </w:tcPr>
          <w:p w:rsidR="00FF1DFC" w:rsidRPr="00EC6C32" w:rsidRDefault="006403D2" w:rsidP="0048674F">
            <w:pPr>
              <w:rPr>
                <w:rFonts w:ascii="Calibri" w:hAnsi="Calibri" w:cs="Calibri"/>
                <w:sz w:val="20"/>
                <w:szCs w:val="20"/>
              </w:rPr>
            </w:pPr>
            <w:r w:rsidRPr="00EC6C32">
              <w:rPr>
                <w:rFonts w:ascii="Calibri" w:hAnsi="Calibri" w:cs="Calibri"/>
                <w:sz w:val="20"/>
                <w:szCs w:val="20"/>
              </w:rPr>
              <w:t>0</w:t>
            </w:r>
          </w:p>
        </w:tc>
      </w:tr>
      <w:tr w:rsidR="00FF1DFC" w:rsidTr="0048674F">
        <w:tc>
          <w:tcPr>
            <w:tcW w:w="1098" w:type="dxa"/>
            <w:vMerge/>
          </w:tcPr>
          <w:p w:rsidR="00FF1DFC" w:rsidRPr="00EC6C32" w:rsidRDefault="00FF1DFC" w:rsidP="0048674F">
            <w:pPr>
              <w:rPr>
                <w:rFonts w:ascii="Calibri" w:hAnsi="Calibri" w:cs="Calibri"/>
                <w:sz w:val="20"/>
                <w:szCs w:val="20"/>
              </w:rPr>
            </w:pPr>
          </w:p>
        </w:tc>
        <w:tc>
          <w:tcPr>
            <w:tcW w:w="7470" w:type="dxa"/>
          </w:tcPr>
          <w:p w:rsidR="00FF1DFC" w:rsidRPr="00EC6C32" w:rsidRDefault="0044690D" w:rsidP="0048674F">
            <w:pPr>
              <w:rPr>
                <w:rFonts w:ascii="Calibri" w:hAnsi="Calibri" w:cs="Calibri"/>
                <w:sz w:val="20"/>
                <w:szCs w:val="20"/>
              </w:rPr>
            </w:pPr>
            <w:r w:rsidRPr="00EC6C32">
              <w:rPr>
                <w:rFonts w:ascii="Calibri" w:hAnsi="Calibri" w:cs="Calibri"/>
                <w:sz w:val="20"/>
                <w:szCs w:val="20"/>
              </w:rPr>
              <w:t xml:space="preserve">TKI vs. </w:t>
            </w:r>
            <w:proofErr w:type="spellStart"/>
            <w:r w:rsidRPr="00EC6C32">
              <w:rPr>
                <w:rFonts w:ascii="Calibri" w:hAnsi="Calibri" w:cs="Calibri"/>
                <w:sz w:val="20"/>
                <w:szCs w:val="20"/>
              </w:rPr>
              <w:t>CTx</w:t>
            </w:r>
            <w:proofErr w:type="spellEnd"/>
            <w:r w:rsidRPr="00EC6C32">
              <w:rPr>
                <w:rFonts w:ascii="Calibri" w:hAnsi="Calibri" w:cs="Calibri"/>
                <w:sz w:val="20"/>
                <w:szCs w:val="20"/>
              </w:rPr>
              <w:t xml:space="preserve">  Lung Ca patients, Overall Survival </w:t>
            </w:r>
            <w:r w:rsidR="00F87008" w:rsidRPr="00EC6C32">
              <w:rPr>
                <w:rFonts w:ascii="Calibri" w:hAnsi="Calibri" w:cs="Calibri"/>
                <w:sz w:val="20"/>
                <w:szCs w:val="20"/>
              </w:rPr>
              <w:t xml:space="preserve">@ 2 years </w:t>
            </w:r>
            <w:r w:rsidRPr="00EC6C32">
              <w:rPr>
                <w:rFonts w:ascii="Calibri" w:hAnsi="Calibri" w:cs="Calibri"/>
                <w:sz w:val="20"/>
                <w:szCs w:val="20"/>
              </w:rPr>
              <w:t>(Stage III/IV) [Table 1</w:t>
            </w:r>
            <w:r w:rsidR="00A566D8" w:rsidRPr="00EC6C32">
              <w:rPr>
                <w:rFonts w:ascii="Calibri" w:hAnsi="Calibri" w:cs="Calibri"/>
                <w:sz w:val="20"/>
                <w:szCs w:val="20"/>
              </w:rPr>
              <w:t>7</w:t>
            </w:r>
            <w:r w:rsidR="006403D2" w:rsidRPr="00EC6C32">
              <w:rPr>
                <w:rFonts w:ascii="Calibri" w:hAnsi="Calibri" w:cs="Calibri"/>
                <w:sz w:val="20"/>
                <w:szCs w:val="20"/>
              </w:rPr>
              <w:t>]</w:t>
            </w:r>
          </w:p>
        </w:tc>
        <w:tc>
          <w:tcPr>
            <w:tcW w:w="990" w:type="dxa"/>
          </w:tcPr>
          <w:p w:rsidR="00FF1DFC" w:rsidRPr="00EC6C32" w:rsidRDefault="006403D2" w:rsidP="0048674F">
            <w:pPr>
              <w:rPr>
                <w:rFonts w:ascii="Calibri" w:hAnsi="Calibri" w:cs="Calibri"/>
                <w:sz w:val="20"/>
                <w:szCs w:val="20"/>
              </w:rPr>
            </w:pPr>
            <w:r w:rsidRPr="00EC6C32">
              <w:rPr>
                <w:rFonts w:ascii="Calibri" w:hAnsi="Calibri" w:cs="Calibri"/>
                <w:sz w:val="20"/>
                <w:szCs w:val="20"/>
              </w:rPr>
              <w:t>2</w:t>
            </w:r>
          </w:p>
        </w:tc>
      </w:tr>
      <w:tr w:rsidR="00FF1DFC" w:rsidTr="0048674F">
        <w:tc>
          <w:tcPr>
            <w:tcW w:w="1098" w:type="dxa"/>
            <w:vMerge/>
          </w:tcPr>
          <w:p w:rsidR="00FF1DFC" w:rsidRPr="00EC6C32" w:rsidRDefault="00FF1DFC" w:rsidP="0048674F">
            <w:pPr>
              <w:rPr>
                <w:rFonts w:ascii="Calibri" w:hAnsi="Calibri" w:cs="Calibri"/>
                <w:sz w:val="20"/>
                <w:szCs w:val="20"/>
              </w:rPr>
            </w:pPr>
          </w:p>
        </w:tc>
        <w:tc>
          <w:tcPr>
            <w:tcW w:w="7470" w:type="dxa"/>
          </w:tcPr>
          <w:p w:rsidR="00FF1DFC" w:rsidRPr="00EC6C32" w:rsidRDefault="0044690D" w:rsidP="0048674F">
            <w:pPr>
              <w:rPr>
                <w:rFonts w:ascii="Calibri" w:hAnsi="Calibri" w:cs="Calibri"/>
                <w:sz w:val="20"/>
                <w:szCs w:val="20"/>
              </w:rPr>
            </w:pPr>
            <w:r w:rsidRPr="004E4B06">
              <w:rPr>
                <w:rFonts w:ascii="Calibri" w:hAnsi="Calibri" w:cs="Calibri"/>
                <w:i/>
                <w:sz w:val="20"/>
                <w:szCs w:val="20"/>
              </w:rPr>
              <w:t>EGFR</w:t>
            </w:r>
            <w:r w:rsidRPr="00EC6C32">
              <w:rPr>
                <w:rFonts w:ascii="Calibri" w:hAnsi="Calibri" w:cs="Calibri"/>
                <w:sz w:val="20"/>
                <w:szCs w:val="20"/>
              </w:rPr>
              <w:t xml:space="preserve">+ Concordance, Real-time PCR [Table </w:t>
            </w:r>
            <w:r w:rsidR="00A566D8" w:rsidRPr="00EC6C32">
              <w:rPr>
                <w:rFonts w:ascii="Calibri" w:hAnsi="Calibri" w:cs="Calibri"/>
                <w:sz w:val="20"/>
                <w:szCs w:val="20"/>
              </w:rPr>
              <w:t>20</w:t>
            </w:r>
            <w:r w:rsidR="006403D2" w:rsidRPr="00EC6C32">
              <w:rPr>
                <w:rFonts w:ascii="Calibri" w:hAnsi="Calibri" w:cs="Calibri"/>
                <w:sz w:val="20"/>
                <w:szCs w:val="20"/>
              </w:rPr>
              <w:t>]</w:t>
            </w:r>
          </w:p>
        </w:tc>
        <w:tc>
          <w:tcPr>
            <w:tcW w:w="990" w:type="dxa"/>
          </w:tcPr>
          <w:p w:rsidR="00FF1DFC" w:rsidRPr="00EC6C32" w:rsidRDefault="006403D2" w:rsidP="0048674F">
            <w:pPr>
              <w:rPr>
                <w:rFonts w:ascii="Calibri" w:hAnsi="Calibri" w:cs="Calibri"/>
                <w:sz w:val="20"/>
                <w:szCs w:val="20"/>
              </w:rPr>
            </w:pPr>
            <w:r w:rsidRPr="00EC6C32">
              <w:rPr>
                <w:rFonts w:ascii="Calibri" w:hAnsi="Calibri" w:cs="Calibri"/>
                <w:sz w:val="20"/>
                <w:szCs w:val="20"/>
              </w:rPr>
              <w:t>0</w:t>
            </w:r>
          </w:p>
        </w:tc>
      </w:tr>
      <w:tr w:rsidR="00FF1DFC" w:rsidTr="0048674F">
        <w:tc>
          <w:tcPr>
            <w:tcW w:w="1098" w:type="dxa"/>
            <w:vMerge/>
          </w:tcPr>
          <w:p w:rsidR="00FF1DFC" w:rsidRPr="00EC6C32" w:rsidRDefault="00FF1DFC" w:rsidP="0048674F">
            <w:pPr>
              <w:rPr>
                <w:rFonts w:ascii="Calibri" w:hAnsi="Calibri" w:cs="Calibri"/>
                <w:sz w:val="20"/>
                <w:szCs w:val="20"/>
              </w:rPr>
            </w:pPr>
          </w:p>
        </w:tc>
        <w:tc>
          <w:tcPr>
            <w:tcW w:w="7470" w:type="dxa"/>
          </w:tcPr>
          <w:p w:rsidR="00FF1DFC" w:rsidRPr="00EC6C32" w:rsidRDefault="0044690D" w:rsidP="0048674F">
            <w:pPr>
              <w:rPr>
                <w:rFonts w:ascii="Calibri" w:hAnsi="Calibri" w:cs="Calibri"/>
                <w:sz w:val="20"/>
                <w:szCs w:val="20"/>
              </w:rPr>
            </w:pPr>
            <w:r w:rsidRPr="004E4B06">
              <w:rPr>
                <w:rFonts w:ascii="Calibri" w:hAnsi="Calibri" w:cs="Calibri"/>
                <w:i/>
                <w:sz w:val="20"/>
                <w:szCs w:val="20"/>
              </w:rPr>
              <w:t>EGFR</w:t>
            </w:r>
            <w:r w:rsidRPr="00EC6C32">
              <w:rPr>
                <w:rFonts w:ascii="Calibri" w:hAnsi="Calibri" w:cs="Calibri"/>
                <w:sz w:val="20"/>
                <w:szCs w:val="20"/>
              </w:rPr>
              <w:t xml:space="preserve">+ Concordance, </w:t>
            </w:r>
            <w:proofErr w:type="spellStart"/>
            <w:r w:rsidRPr="00EC6C32">
              <w:rPr>
                <w:rFonts w:ascii="Calibri" w:hAnsi="Calibri" w:cs="Calibri"/>
                <w:sz w:val="20"/>
                <w:szCs w:val="20"/>
              </w:rPr>
              <w:t>Pyrosequencing</w:t>
            </w:r>
            <w:proofErr w:type="spellEnd"/>
            <w:r w:rsidRPr="00EC6C32">
              <w:rPr>
                <w:rFonts w:ascii="Calibri" w:hAnsi="Calibri" w:cs="Calibri"/>
                <w:sz w:val="20"/>
                <w:szCs w:val="20"/>
              </w:rPr>
              <w:t xml:space="preserve"> [Table </w:t>
            </w:r>
            <w:r w:rsidR="00A566D8" w:rsidRPr="00EC6C32">
              <w:rPr>
                <w:rFonts w:ascii="Calibri" w:hAnsi="Calibri" w:cs="Calibri"/>
                <w:sz w:val="20"/>
                <w:szCs w:val="20"/>
              </w:rPr>
              <w:t>20</w:t>
            </w:r>
            <w:r w:rsidR="006403D2" w:rsidRPr="00EC6C32">
              <w:rPr>
                <w:rFonts w:ascii="Calibri" w:hAnsi="Calibri" w:cs="Calibri"/>
                <w:sz w:val="20"/>
                <w:szCs w:val="20"/>
              </w:rPr>
              <w:t>]</w:t>
            </w:r>
          </w:p>
        </w:tc>
        <w:tc>
          <w:tcPr>
            <w:tcW w:w="990" w:type="dxa"/>
          </w:tcPr>
          <w:p w:rsidR="00FF1DFC" w:rsidRPr="00EC6C32" w:rsidRDefault="006403D2" w:rsidP="0048674F">
            <w:pPr>
              <w:rPr>
                <w:rFonts w:ascii="Calibri" w:hAnsi="Calibri" w:cs="Calibri"/>
                <w:sz w:val="20"/>
                <w:szCs w:val="20"/>
              </w:rPr>
            </w:pPr>
            <w:r w:rsidRPr="00EC6C32">
              <w:rPr>
                <w:rFonts w:ascii="Calibri" w:hAnsi="Calibri" w:cs="Calibri"/>
                <w:sz w:val="20"/>
                <w:szCs w:val="20"/>
              </w:rPr>
              <w:t>0</w:t>
            </w:r>
          </w:p>
        </w:tc>
      </w:tr>
      <w:tr w:rsidR="00FF1DFC" w:rsidTr="0048674F">
        <w:tc>
          <w:tcPr>
            <w:tcW w:w="1098" w:type="dxa"/>
            <w:vMerge/>
          </w:tcPr>
          <w:p w:rsidR="00FF1DFC" w:rsidRPr="00EC6C32" w:rsidRDefault="00FF1DFC" w:rsidP="0048674F">
            <w:pPr>
              <w:rPr>
                <w:rFonts w:ascii="Calibri" w:hAnsi="Calibri" w:cs="Calibri"/>
                <w:sz w:val="20"/>
                <w:szCs w:val="20"/>
              </w:rPr>
            </w:pPr>
          </w:p>
        </w:tc>
        <w:tc>
          <w:tcPr>
            <w:tcW w:w="7470" w:type="dxa"/>
          </w:tcPr>
          <w:p w:rsidR="00FF1DFC" w:rsidRPr="00EC6C32" w:rsidRDefault="0044690D" w:rsidP="0048674F">
            <w:pPr>
              <w:rPr>
                <w:rFonts w:ascii="Calibri" w:hAnsi="Calibri" w:cs="Calibri"/>
                <w:sz w:val="20"/>
                <w:szCs w:val="20"/>
              </w:rPr>
            </w:pPr>
            <w:r w:rsidRPr="004E4B06">
              <w:rPr>
                <w:rFonts w:ascii="Calibri" w:hAnsi="Calibri" w:cs="Calibri"/>
                <w:i/>
                <w:sz w:val="20"/>
                <w:szCs w:val="20"/>
              </w:rPr>
              <w:t>EGFR</w:t>
            </w:r>
            <w:r w:rsidRPr="00EC6C32">
              <w:rPr>
                <w:rFonts w:ascii="Calibri" w:hAnsi="Calibri" w:cs="Calibri"/>
                <w:sz w:val="20"/>
                <w:szCs w:val="20"/>
              </w:rPr>
              <w:t xml:space="preserve">+ Concordance, Peptide nucleic acid/locked nucleic acid clamped amplification [Table </w:t>
            </w:r>
            <w:r w:rsidR="00A566D8" w:rsidRPr="00EC6C32">
              <w:rPr>
                <w:rFonts w:ascii="Calibri" w:hAnsi="Calibri" w:cs="Calibri"/>
                <w:sz w:val="20"/>
                <w:szCs w:val="20"/>
              </w:rPr>
              <w:t>20</w:t>
            </w:r>
            <w:r w:rsidR="006403D2" w:rsidRPr="00EC6C32">
              <w:rPr>
                <w:rFonts w:ascii="Calibri" w:hAnsi="Calibri" w:cs="Calibri"/>
                <w:sz w:val="20"/>
                <w:szCs w:val="20"/>
              </w:rPr>
              <w:t>]</w:t>
            </w:r>
          </w:p>
        </w:tc>
        <w:tc>
          <w:tcPr>
            <w:tcW w:w="990" w:type="dxa"/>
          </w:tcPr>
          <w:p w:rsidR="00FF1DFC" w:rsidRPr="00EC6C32" w:rsidRDefault="006403D2" w:rsidP="0048674F">
            <w:pPr>
              <w:rPr>
                <w:rFonts w:ascii="Calibri" w:hAnsi="Calibri" w:cs="Calibri"/>
                <w:sz w:val="20"/>
                <w:szCs w:val="20"/>
              </w:rPr>
            </w:pPr>
            <w:r w:rsidRPr="00EC6C32">
              <w:rPr>
                <w:rFonts w:ascii="Calibri" w:hAnsi="Calibri" w:cs="Calibri"/>
                <w:sz w:val="20"/>
                <w:szCs w:val="20"/>
              </w:rPr>
              <w:t>0</w:t>
            </w:r>
          </w:p>
        </w:tc>
      </w:tr>
      <w:tr w:rsidR="00FF1DFC" w:rsidTr="0048674F">
        <w:tc>
          <w:tcPr>
            <w:tcW w:w="1098" w:type="dxa"/>
            <w:vMerge/>
          </w:tcPr>
          <w:p w:rsidR="00FF1DFC" w:rsidRPr="00EC6C32" w:rsidRDefault="00FF1DFC" w:rsidP="0048674F">
            <w:pPr>
              <w:rPr>
                <w:rFonts w:ascii="Calibri" w:hAnsi="Calibri" w:cs="Calibri"/>
                <w:sz w:val="20"/>
                <w:szCs w:val="20"/>
              </w:rPr>
            </w:pPr>
          </w:p>
        </w:tc>
        <w:tc>
          <w:tcPr>
            <w:tcW w:w="7470" w:type="dxa"/>
          </w:tcPr>
          <w:p w:rsidR="00FF1DFC" w:rsidRPr="00EC6C32" w:rsidRDefault="0044690D" w:rsidP="0048674F">
            <w:pPr>
              <w:rPr>
                <w:rFonts w:ascii="Calibri" w:hAnsi="Calibri" w:cs="Calibri"/>
                <w:sz w:val="20"/>
                <w:szCs w:val="20"/>
              </w:rPr>
            </w:pPr>
            <w:r w:rsidRPr="004E4B06">
              <w:rPr>
                <w:rFonts w:ascii="Calibri" w:hAnsi="Calibri" w:cs="Calibri"/>
                <w:i/>
                <w:sz w:val="20"/>
                <w:szCs w:val="20"/>
              </w:rPr>
              <w:t>EGFR</w:t>
            </w:r>
            <w:r w:rsidRPr="00EC6C32">
              <w:rPr>
                <w:rFonts w:ascii="Calibri" w:hAnsi="Calibri" w:cs="Calibri"/>
                <w:sz w:val="20"/>
                <w:szCs w:val="20"/>
              </w:rPr>
              <w:t xml:space="preserve">+ Concordance, Smart-amplification process [Table </w:t>
            </w:r>
            <w:r w:rsidR="00A566D8" w:rsidRPr="00EC6C32">
              <w:rPr>
                <w:rFonts w:ascii="Calibri" w:hAnsi="Calibri" w:cs="Calibri"/>
                <w:sz w:val="20"/>
                <w:szCs w:val="20"/>
              </w:rPr>
              <w:t>20</w:t>
            </w:r>
            <w:r w:rsidR="006403D2" w:rsidRPr="00EC6C32">
              <w:rPr>
                <w:rFonts w:ascii="Calibri" w:hAnsi="Calibri" w:cs="Calibri"/>
                <w:sz w:val="20"/>
                <w:szCs w:val="20"/>
              </w:rPr>
              <w:t>]</w:t>
            </w:r>
          </w:p>
        </w:tc>
        <w:tc>
          <w:tcPr>
            <w:tcW w:w="990" w:type="dxa"/>
          </w:tcPr>
          <w:p w:rsidR="00FF1DFC" w:rsidRPr="00EC6C32" w:rsidRDefault="006403D2" w:rsidP="0048674F">
            <w:pPr>
              <w:rPr>
                <w:rFonts w:ascii="Calibri" w:hAnsi="Calibri" w:cs="Calibri"/>
                <w:sz w:val="20"/>
                <w:szCs w:val="20"/>
              </w:rPr>
            </w:pPr>
            <w:r w:rsidRPr="00EC6C32">
              <w:rPr>
                <w:rFonts w:ascii="Calibri" w:hAnsi="Calibri" w:cs="Calibri"/>
                <w:sz w:val="20"/>
                <w:szCs w:val="20"/>
              </w:rPr>
              <w:t>0</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4E4B06">
              <w:rPr>
                <w:rFonts w:ascii="Calibri" w:hAnsi="Calibri" w:cs="Calibri"/>
                <w:i/>
                <w:sz w:val="20"/>
                <w:szCs w:val="20"/>
              </w:rPr>
              <w:t>EGFR</w:t>
            </w:r>
            <w:r w:rsidRPr="00EC6C32">
              <w:rPr>
                <w:rFonts w:ascii="Calibri" w:hAnsi="Calibri" w:cs="Calibri"/>
                <w:sz w:val="20"/>
                <w:szCs w:val="20"/>
              </w:rPr>
              <w:t>+ vs.</w:t>
            </w:r>
            <w:r w:rsidRPr="004E4B06">
              <w:rPr>
                <w:rFonts w:ascii="Calibri" w:hAnsi="Calibri" w:cs="Calibri"/>
                <w:i/>
                <w:sz w:val="20"/>
                <w:szCs w:val="20"/>
              </w:rPr>
              <w:t xml:space="preserve"> EGFR</w:t>
            </w:r>
            <w:r w:rsidRPr="00EC6C32">
              <w:rPr>
                <w:rFonts w:ascii="Calibri" w:hAnsi="Calibri" w:cs="Calibri"/>
                <w:sz w:val="20"/>
                <w:szCs w:val="20"/>
              </w:rPr>
              <w:t>-, Disease Control rate [Table 21]</w:t>
            </w:r>
          </w:p>
        </w:tc>
        <w:tc>
          <w:tcPr>
            <w:tcW w:w="990" w:type="dxa"/>
          </w:tcPr>
          <w:p w:rsidR="00057AA4" w:rsidRPr="00EC6C32" w:rsidRDefault="00057AA4" w:rsidP="0048674F">
            <w:pPr>
              <w:rPr>
                <w:rFonts w:ascii="Calibri" w:hAnsi="Calibri" w:cs="Calibri"/>
                <w:sz w:val="20"/>
                <w:szCs w:val="20"/>
              </w:rPr>
            </w:pPr>
            <w:r>
              <w:rPr>
                <w:rFonts w:ascii="Calibri" w:hAnsi="Calibri" w:cs="Calibri"/>
                <w:sz w:val="20"/>
                <w:szCs w:val="20"/>
              </w:rPr>
              <w:t>12</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FISH+ vs. FISH-, Response Rate [Table 22]</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22</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FISH+ vs. FISH-, Disease Control rate [Table 22]</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0</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4E4B06">
              <w:rPr>
                <w:rFonts w:ascii="Calibri" w:hAnsi="Calibri" w:cs="Calibri"/>
                <w:i/>
                <w:sz w:val="20"/>
                <w:szCs w:val="20"/>
              </w:rPr>
              <w:t>KRAS</w:t>
            </w:r>
            <w:r w:rsidRPr="00EC6C32">
              <w:rPr>
                <w:rFonts w:ascii="Calibri" w:hAnsi="Calibri" w:cs="Calibri"/>
                <w:sz w:val="20"/>
                <w:szCs w:val="20"/>
              </w:rPr>
              <w:t xml:space="preserve">+ vs. </w:t>
            </w:r>
            <w:r w:rsidRPr="004E4B06">
              <w:rPr>
                <w:rFonts w:ascii="Calibri" w:hAnsi="Calibri" w:cs="Calibri"/>
                <w:i/>
                <w:sz w:val="20"/>
                <w:szCs w:val="20"/>
              </w:rPr>
              <w:t>KRAS</w:t>
            </w:r>
            <w:r w:rsidRPr="00EC6C32">
              <w:rPr>
                <w:rFonts w:ascii="Calibri" w:hAnsi="Calibri" w:cs="Calibri"/>
                <w:sz w:val="20"/>
                <w:szCs w:val="20"/>
              </w:rPr>
              <w:t>-  Response rate [Table 23]</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0</w:t>
            </w:r>
          </w:p>
        </w:tc>
      </w:tr>
      <w:tr w:rsidR="00057AA4" w:rsidTr="0048674F">
        <w:tc>
          <w:tcPr>
            <w:tcW w:w="1098" w:type="dxa"/>
            <w:vMerge w:val="restart"/>
          </w:tcPr>
          <w:p w:rsidR="00057AA4" w:rsidRPr="00EC6C32" w:rsidRDefault="00057AA4" w:rsidP="0048674F">
            <w:pPr>
              <w:rPr>
                <w:rFonts w:ascii="Calibri" w:hAnsi="Calibri" w:cs="Calibri"/>
                <w:sz w:val="20"/>
                <w:szCs w:val="20"/>
              </w:rPr>
            </w:pPr>
            <w:r w:rsidRPr="00EC6C32">
              <w:rPr>
                <w:rFonts w:ascii="Calibri" w:hAnsi="Calibri" w:cs="Calibri"/>
                <w:sz w:val="20"/>
                <w:szCs w:val="20"/>
              </w:rPr>
              <w:t>I</w:t>
            </w:r>
            <w:r w:rsidRPr="00EC6C32">
              <w:rPr>
                <w:rFonts w:ascii="Calibri" w:hAnsi="Calibri" w:cs="Calibri"/>
                <w:sz w:val="20"/>
                <w:szCs w:val="20"/>
                <w:vertAlign w:val="superscript"/>
              </w:rPr>
              <w:t>2</w:t>
            </w:r>
            <w:r w:rsidRPr="00EC6C32">
              <w:rPr>
                <w:rFonts w:ascii="Calibri" w:hAnsi="Calibri" w:cs="Calibri"/>
                <w:sz w:val="20"/>
                <w:szCs w:val="20"/>
              </w:rPr>
              <w:t>=26-50%</w:t>
            </w:r>
          </w:p>
        </w:tc>
        <w:tc>
          <w:tcPr>
            <w:tcW w:w="7470" w:type="dxa"/>
          </w:tcPr>
          <w:p w:rsidR="00057AA4" w:rsidRPr="00EC6C32" w:rsidRDefault="00057AA4" w:rsidP="0048674F">
            <w:pPr>
              <w:rPr>
                <w:rFonts w:ascii="Calibri" w:hAnsi="Calibri" w:cs="Calibri"/>
                <w:sz w:val="20"/>
                <w:szCs w:val="20"/>
              </w:rPr>
            </w:pPr>
            <w:r w:rsidRPr="004E4B06">
              <w:rPr>
                <w:rFonts w:ascii="Calibri" w:hAnsi="Calibri" w:cs="Calibri"/>
                <w:i/>
                <w:sz w:val="20"/>
                <w:szCs w:val="20"/>
              </w:rPr>
              <w:t>EGFR</w:t>
            </w:r>
            <w:r>
              <w:rPr>
                <w:rFonts w:ascii="Calibri" w:hAnsi="Calibri" w:cs="Calibri"/>
                <w:sz w:val="20"/>
                <w:szCs w:val="20"/>
              </w:rPr>
              <w:t xml:space="preserve"> + vs. </w:t>
            </w:r>
            <w:r w:rsidRPr="004E4B06">
              <w:rPr>
                <w:rFonts w:ascii="Calibri" w:hAnsi="Calibri" w:cs="Calibri"/>
                <w:i/>
                <w:sz w:val="20"/>
                <w:szCs w:val="20"/>
              </w:rPr>
              <w:t>EGFR</w:t>
            </w:r>
            <w:r>
              <w:rPr>
                <w:rFonts w:ascii="Calibri" w:hAnsi="Calibri" w:cs="Calibri"/>
                <w:sz w:val="20"/>
                <w:szCs w:val="20"/>
              </w:rPr>
              <w:t>-, Lung Ca patients, Response rate (Guideline Table 1)</w:t>
            </w:r>
          </w:p>
        </w:tc>
        <w:tc>
          <w:tcPr>
            <w:tcW w:w="990" w:type="dxa"/>
          </w:tcPr>
          <w:p w:rsidR="00057AA4" w:rsidRPr="00EC6C32" w:rsidRDefault="00057AA4" w:rsidP="0048674F">
            <w:pPr>
              <w:rPr>
                <w:rFonts w:ascii="Calibri" w:hAnsi="Calibri" w:cs="Calibri"/>
                <w:sz w:val="20"/>
                <w:szCs w:val="20"/>
              </w:rPr>
            </w:pPr>
            <w:r>
              <w:rPr>
                <w:rFonts w:ascii="Calibri" w:hAnsi="Calibri" w:cs="Calibri"/>
                <w:sz w:val="20"/>
                <w:szCs w:val="20"/>
              </w:rPr>
              <w:t>29</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5E32CB">
            <w:pPr>
              <w:rPr>
                <w:rFonts w:ascii="Calibri" w:hAnsi="Calibri" w:cs="Calibri"/>
                <w:sz w:val="20"/>
                <w:szCs w:val="20"/>
              </w:rPr>
            </w:pPr>
            <w:r w:rsidRPr="004E4B06">
              <w:rPr>
                <w:rFonts w:ascii="Calibri" w:hAnsi="Calibri" w:cs="Calibri"/>
                <w:i/>
                <w:sz w:val="20"/>
                <w:szCs w:val="20"/>
              </w:rPr>
              <w:t>EGFR</w:t>
            </w:r>
            <w:r w:rsidRPr="00EC6C32">
              <w:rPr>
                <w:rFonts w:ascii="Calibri" w:hAnsi="Calibri" w:cs="Calibri"/>
                <w:sz w:val="20"/>
                <w:szCs w:val="20"/>
              </w:rPr>
              <w:t>+ Asian patients, Adenocarcinoma vs. Squamous [Table 9]</w:t>
            </w:r>
          </w:p>
        </w:tc>
        <w:tc>
          <w:tcPr>
            <w:tcW w:w="990" w:type="dxa"/>
          </w:tcPr>
          <w:p w:rsidR="00057AA4" w:rsidRPr="00EC6C32" w:rsidRDefault="00057AA4" w:rsidP="005E32CB">
            <w:pPr>
              <w:rPr>
                <w:rFonts w:ascii="Calibri" w:hAnsi="Calibri" w:cs="Calibri"/>
                <w:sz w:val="20"/>
                <w:szCs w:val="20"/>
              </w:rPr>
            </w:pPr>
            <w:r w:rsidRPr="00EC6C32">
              <w:rPr>
                <w:rFonts w:ascii="Calibri" w:hAnsi="Calibri" w:cs="Calibri"/>
                <w:sz w:val="20"/>
                <w:szCs w:val="20"/>
              </w:rPr>
              <w:t>34</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4E4B06">
              <w:rPr>
                <w:rFonts w:ascii="Calibri" w:hAnsi="Calibri" w:cs="Calibri"/>
                <w:i/>
                <w:sz w:val="20"/>
                <w:szCs w:val="20"/>
              </w:rPr>
              <w:t>EGFR</w:t>
            </w:r>
            <w:r w:rsidRPr="00EC6C32">
              <w:rPr>
                <w:rFonts w:ascii="Calibri" w:hAnsi="Calibri" w:cs="Calibri"/>
                <w:sz w:val="20"/>
                <w:szCs w:val="20"/>
              </w:rPr>
              <w:t>+ Non-Asian patients, Male vs. Female [Table 10]</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48</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4E4B06">
              <w:rPr>
                <w:rFonts w:ascii="Calibri" w:hAnsi="Calibri" w:cs="Calibri"/>
                <w:i/>
                <w:sz w:val="20"/>
                <w:szCs w:val="20"/>
              </w:rPr>
              <w:t>EGFR</w:t>
            </w:r>
            <w:r w:rsidRPr="00EC6C32">
              <w:rPr>
                <w:rFonts w:ascii="Calibri" w:hAnsi="Calibri" w:cs="Calibri"/>
                <w:sz w:val="20"/>
                <w:szCs w:val="20"/>
              </w:rPr>
              <w:t xml:space="preserve">+ vs. </w:t>
            </w:r>
            <w:r w:rsidRPr="004E4B06">
              <w:rPr>
                <w:rFonts w:ascii="Calibri" w:hAnsi="Calibri" w:cs="Calibri"/>
                <w:i/>
                <w:sz w:val="20"/>
                <w:szCs w:val="20"/>
              </w:rPr>
              <w:t>EGFR</w:t>
            </w:r>
            <w:r w:rsidRPr="00EC6C32">
              <w:rPr>
                <w:rFonts w:ascii="Calibri" w:hAnsi="Calibri" w:cs="Calibri"/>
                <w:sz w:val="20"/>
                <w:szCs w:val="20"/>
              </w:rPr>
              <w:t>- Response rates [Table 16]</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35</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 xml:space="preserve">TKI vs. </w:t>
            </w:r>
            <w:proofErr w:type="spellStart"/>
            <w:r w:rsidRPr="00EC6C32">
              <w:rPr>
                <w:rFonts w:ascii="Calibri" w:hAnsi="Calibri" w:cs="Calibri"/>
                <w:sz w:val="20"/>
                <w:szCs w:val="20"/>
              </w:rPr>
              <w:t>CTx</w:t>
            </w:r>
            <w:proofErr w:type="spellEnd"/>
            <w:r w:rsidRPr="00EC6C32">
              <w:rPr>
                <w:rFonts w:ascii="Calibri" w:hAnsi="Calibri" w:cs="Calibri"/>
                <w:sz w:val="20"/>
                <w:szCs w:val="20"/>
              </w:rPr>
              <w:t xml:space="preserve">  Disease Control Rates [Table 17]</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37</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 xml:space="preserve">TKI vs. </w:t>
            </w:r>
            <w:proofErr w:type="spellStart"/>
            <w:r w:rsidRPr="00EC6C32">
              <w:rPr>
                <w:rFonts w:ascii="Calibri" w:hAnsi="Calibri" w:cs="Calibri"/>
                <w:sz w:val="20"/>
                <w:szCs w:val="20"/>
              </w:rPr>
              <w:t>CTx</w:t>
            </w:r>
            <w:proofErr w:type="spellEnd"/>
            <w:r w:rsidRPr="00EC6C32">
              <w:rPr>
                <w:rFonts w:ascii="Calibri" w:hAnsi="Calibri" w:cs="Calibri"/>
                <w:sz w:val="20"/>
                <w:szCs w:val="20"/>
              </w:rPr>
              <w:t xml:space="preserve">  Lung Ca patients, Time to Progression @ 1 year [Table 17]</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32</w:t>
            </w:r>
          </w:p>
        </w:tc>
      </w:tr>
      <w:tr w:rsidR="00057AA4" w:rsidTr="0048674F">
        <w:tc>
          <w:tcPr>
            <w:tcW w:w="1098" w:type="dxa"/>
            <w:vMerge w:val="restart"/>
          </w:tcPr>
          <w:p w:rsidR="00057AA4" w:rsidRPr="00EC6C32" w:rsidRDefault="00057AA4" w:rsidP="0048674F">
            <w:pPr>
              <w:rPr>
                <w:rFonts w:ascii="Calibri" w:hAnsi="Calibri" w:cs="Calibri"/>
                <w:sz w:val="20"/>
                <w:szCs w:val="20"/>
              </w:rPr>
            </w:pPr>
            <w:r w:rsidRPr="00EC6C32">
              <w:rPr>
                <w:rFonts w:ascii="Calibri" w:hAnsi="Calibri" w:cs="Calibri"/>
                <w:sz w:val="20"/>
                <w:szCs w:val="20"/>
              </w:rPr>
              <w:t>I</w:t>
            </w:r>
            <w:r w:rsidRPr="00EC6C32">
              <w:rPr>
                <w:rFonts w:ascii="Calibri" w:hAnsi="Calibri" w:cs="Calibri"/>
                <w:sz w:val="20"/>
                <w:szCs w:val="20"/>
                <w:vertAlign w:val="superscript"/>
              </w:rPr>
              <w:t>2</w:t>
            </w:r>
            <w:r w:rsidRPr="00EC6C32">
              <w:rPr>
                <w:rFonts w:ascii="Calibri" w:hAnsi="Calibri" w:cs="Calibri"/>
                <w:sz w:val="20"/>
                <w:szCs w:val="20"/>
              </w:rPr>
              <w:t>=51 – 75%</w:t>
            </w:r>
          </w:p>
        </w:tc>
        <w:tc>
          <w:tcPr>
            <w:tcW w:w="7470" w:type="dxa"/>
          </w:tcPr>
          <w:p w:rsidR="00057AA4" w:rsidRPr="00EC6C32" w:rsidRDefault="00057AA4" w:rsidP="0048674F">
            <w:pPr>
              <w:rPr>
                <w:rFonts w:ascii="Calibri" w:hAnsi="Calibri" w:cs="Calibri"/>
                <w:sz w:val="20"/>
                <w:szCs w:val="20"/>
              </w:rPr>
            </w:pPr>
            <w:r w:rsidRPr="004E4B06">
              <w:rPr>
                <w:rFonts w:ascii="Calibri" w:hAnsi="Calibri" w:cs="Calibri"/>
                <w:i/>
                <w:sz w:val="20"/>
                <w:szCs w:val="20"/>
              </w:rPr>
              <w:t>EGFR</w:t>
            </w:r>
            <w:r>
              <w:rPr>
                <w:rFonts w:ascii="Calibri" w:hAnsi="Calibri" w:cs="Calibri"/>
                <w:sz w:val="20"/>
                <w:szCs w:val="20"/>
              </w:rPr>
              <w:t xml:space="preserve">+ vs. </w:t>
            </w:r>
            <w:r w:rsidRPr="004E4B06">
              <w:rPr>
                <w:rFonts w:ascii="Calibri" w:hAnsi="Calibri" w:cs="Calibri"/>
                <w:i/>
                <w:sz w:val="20"/>
                <w:szCs w:val="20"/>
              </w:rPr>
              <w:t>EGFR</w:t>
            </w:r>
            <w:r>
              <w:rPr>
                <w:rFonts w:ascii="Calibri" w:hAnsi="Calibri" w:cs="Calibri"/>
                <w:sz w:val="20"/>
                <w:szCs w:val="20"/>
              </w:rPr>
              <w:t>-, Lung Ca patients, Median Survival Time (Guideline Table 1)</w:t>
            </w:r>
          </w:p>
        </w:tc>
        <w:tc>
          <w:tcPr>
            <w:tcW w:w="990" w:type="dxa"/>
          </w:tcPr>
          <w:p w:rsidR="00057AA4" w:rsidRPr="00EC6C32" w:rsidRDefault="00057AA4" w:rsidP="0048674F">
            <w:pPr>
              <w:rPr>
                <w:rFonts w:ascii="Calibri" w:hAnsi="Calibri" w:cs="Calibri"/>
                <w:sz w:val="20"/>
                <w:szCs w:val="20"/>
              </w:rPr>
            </w:pPr>
            <w:r>
              <w:rPr>
                <w:rFonts w:ascii="Calibri" w:hAnsi="Calibri" w:cs="Calibri"/>
                <w:sz w:val="20"/>
                <w:szCs w:val="20"/>
              </w:rPr>
              <w:t>54</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Default="00057AA4" w:rsidP="0048674F">
            <w:pPr>
              <w:rPr>
                <w:rFonts w:ascii="Calibri" w:hAnsi="Calibri" w:cs="Calibri"/>
                <w:sz w:val="20"/>
                <w:szCs w:val="20"/>
              </w:rPr>
            </w:pPr>
            <w:r w:rsidRPr="004E4B06">
              <w:rPr>
                <w:rFonts w:ascii="Calibri" w:hAnsi="Calibri" w:cs="Calibri"/>
                <w:i/>
                <w:sz w:val="20"/>
                <w:szCs w:val="20"/>
              </w:rPr>
              <w:t>EGFR</w:t>
            </w:r>
            <w:r>
              <w:rPr>
                <w:rFonts w:ascii="Calibri" w:hAnsi="Calibri" w:cs="Calibri"/>
                <w:sz w:val="20"/>
                <w:szCs w:val="20"/>
              </w:rPr>
              <w:t xml:space="preserve"> + vs. </w:t>
            </w:r>
            <w:r w:rsidRPr="004E4B06">
              <w:rPr>
                <w:rFonts w:ascii="Calibri" w:hAnsi="Calibri" w:cs="Calibri"/>
                <w:i/>
                <w:sz w:val="20"/>
                <w:szCs w:val="20"/>
              </w:rPr>
              <w:t>EGFR</w:t>
            </w:r>
            <w:r>
              <w:rPr>
                <w:rFonts w:ascii="Calibri" w:hAnsi="Calibri" w:cs="Calibri"/>
                <w:sz w:val="20"/>
                <w:szCs w:val="20"/>
              </w:rPr>
              <w:t>-, Lung Ca patients, Disease control rate (Guideline Table 1)</w:t>
            </w:r>
          </w:p>
        </w:tc>
        <w:tc>
          <w:tcPr>
            <w:tcW w:w="990" w:type="dxa"/>
          </w:tcPr>
          <w:p w:rsidR="00057AA4" w:rsidRDefault="00057AA4" w:rsidP="0048674F">
            <w:pPr>
              <w:rPr>
                <w:rFonts w:ascii="Calibri" w:hAnsi="Calibri" w:cs="Calibri"/>
                <w:sz w:val="20"/>
                <w:szCs w:val="20"/>
              </w:rPr>
            </w:pPr>
            <w:r>
              <w:rPr>
                <w:rFonts w:ascii="Calibri" w:hAnsi="Calibri" w:cs="Calibri"/>
                <w:sz w:val="20"/>
                <w:szCs w:val="20"/>
              </w:rPr>
              <w:t>69</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B1707B">
            <w:pPr>
              <w:rPr>
                <w:rFonts w:ascii="Calibri" w:hAnsi="Calibri" w:cs="Calibri"/>
                <w:sz w:val="20"/>
                <w:szCs w:val="20"/>
              </w:rPr>
            </w:pPr>
            <w:r w:rsidRPr="004E4B06">
              <w:rPr>
                <w:rFonts w:ascii="Calibri" w:hAnsi="Calibri" w:cs="Calibri"/>
                <w:i/>
                <w:sz w:val="20"/>
                <w:szCs w:val="20"/>
              </w:rPr>
              <w:t>EGFR</w:t>
            </w:r>
            <w:r w:rsidRPr="00EC6C32">
              <w:rPr>
                <w:rFonts w:ascii="Calibri" w:hAnsi="Calibri" w:cs="Calibri"/>
                <w:sz w:val="20"/>
                <w:szCs w:val="20"/>
              </w:rPr>
              <w:t>+ - Asian patients, Male vs. Female [Table 9]</w:t>
            </w:r>
          </w:p>
        </w:tc>
        <w:tc>
          <w:tcPr>
            <w:tcW w:w="990" w:type="dxa"/>
          </w:tcPr>
          <w:p w:rsidR="00057AA4" w:rsidRPr="00EC6C32" w:rsidRDefault="00057AA4" w:rsidP="00B1707B">
            <w:pPr>
              <w:rPr>
                <w:rFonts w:ascii="Calibri" w:hAnsi="Calibri" w:cs="Calibri"/>
                <w:sz w:val="20"/>
                <w:szCs w:val="20"/>
              </w:rPr>
            </w:pPr>
            <w:r w:rsidRPr="00EC6C32">
              <w:rPr>
                <w:rFonts w:ascii="Calibri" w:hAnsi="Calibri" w:cs="Calibri"/>
                <w:sz w:val="20"/>
                <w:szCs w:val="20"/>
              </w:rPr>
              <w:t>61</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4E4B06">
              <w:rPr>
                <w:rFonts w:ascii="Calibri" w:hAnsi="Calibri" w:cs="Calibri"/>
                <w:i/>
                <w:sz w:val="20"/>
                <w:szCs w:val="20"/>
              </w:rPr>
              <w:t>EGFR</w:t>
            </w:r>
            <w:r w:rsidRPr="00EC6C32">
              <w:rPr>
                <w:rFonts w:ascii="Calibri" w:hAnsi="Calibri" w:cs="Calibri"/>
                <w:sz w:val="20"/>
                <w:szCs w:val="20"/>
              </w:rPr>
              <w:t>+ - Asian patients, Smoking, Ever vs. Never [Table 9]</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64</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4E4B06">
              <w:rPr>
                <w:rFonts w:ascii="Calibri" w:hAnsi="Calibri" w:cs="Calibri"/>
                <w:i/>
                <w:sz w:val="20"/>
                <w:szCs w:val="20"/>
              </w:rPr>
              <w:t>ALK</w:t>
            </w:r>
            <w:r w:rsidRPr="00EC6C32">
              <w:rPr>
                <w:rFonts w:ascii="Calibri" w:hAnsi="Calibri" w:cs="Calibri"/>
                <w:sz w:val="20"/>
                <w:szCs w:val="20"/>
              </w:rPr>
              <w:t xml:space="preserve">+ </w:t>
            </w:r>
            <w:r w:rsidR="00665CB4" w:rsidRPr="00EC6C32">
              <w:rPr>
                <w:rFonts w:ascii="Calibri" w:hAnsi="Calibri" w:cs="Calibri"/>
                <w:sz w:val="20"/>
                <w:szCs w:val="20"/>
              </w:rPr>
              <w:t>vs.</w:t>
            </w:r>
            <w:r w:rsidRPr="00EC6C32">
              <w:rPr>
                <w:rFonts w:ascii="Calibri" w:hAnsi="Calibri" w:cs="Calibri"/>
                <w:sz w:val="20"/>
                <w:szCs w:val="20"/>
              </w:rPr>
              <w:t xml:space="preserve"> </w:t>
            </w:r>
            <w:r w:rsidRPr="004E4B06">
              <w:rPr>
                <w:rFonts w:ascii="Calibri" w:hAnsi="Calibri" w:cs="Calibri"/>
                <w:i/>
                <w:sz w:val="20"/>
                <w:szCs w:val="20"/>
              </w:rPr>
              <w:t>ALK</w:t>
            </w:r>
            <w:r w:rsidRPr="00EC6C32">
              <w:rPr>
                <w:rFonts w:ascii="Calibri" w:hAnsi="Calibri" w:cs="Calibri"/>
                <w:sz w:val="20"/>
                <w:szCs w:val="20"/>
              </w:rPr>
              <w:t>-, Mean age [Table 11]</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75</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4E4B06">
              <w:rPr>
                <w:rFonts w:ascii="Calibri" w:hAnsi="Calibri" w:cs="Calibri"/>
                <w:i/>
                <w:sz w:val="20"/>
                <w:szCs w:val="20"/>
              </w:rPr>
              <w:t>ALK</w:t>
            </w:r>
            <w:r w:rsidRPr="00EC6C32">
              <w:rPr>
                <w:rFonts w:ascii="Calibri" w:hAnsi="Calibri" w:cs="Calibri"/>
                <w:sz w:val="20"/>
                <w:szCs w:val="20"/>
              </w:rPr>
              <w:t>+ NSCLC patients, Smoking Never vs. Ever [Table 13]</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60</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4E4B06">
              <w:rPr>
                <w:rFonts w:ascii="Calibri" w:hAnsi="Calibri" w:cs="Calibri"/>
                <w:i/>
                <w:sz w:val="20"/>
                <w:szCs w:val="20"/>
              </w:rPr>
              <w:t>EGFR</w:t>
            </w:r>
            <w:r w:rsidRPr="00EC6C32">
              <w:rPr>
                <w:rFonts w:ascii="Calibri" w:hAnsi="Calibri" w:cs="Calibri"/>
                <w:sz w:val="20"/>
                <w:szCs w:val="20"/>
              </w:rPr>
              <w:t xml:space="preserve">+ vs. </w:t>
            </w:r>
            <w:r w:rsidRPr="004E4B06">
              <w:rPr>
                <w:rFonts w:ascii="Calibri" w:hAnsi="Calibri" w:cs="Calibri"/>
                <w:i/>
                <w:sz w:val="20"/>
                <w:szCs w:val="20"/>
              </w:rPr>
              <w:t>EGFR</w:t>
            </w:r>
            <w:r w:rsidRPr="00EC6C32">
              <w:rPr>
                <w:rFonts w:ascii="Calibri" w:hAnsi="Calibri" w:cs="Calibri"/>
                <w:sz w:val="20"/>
                <w:szCs w:val="20"/>
              </w:rPr>
              <w:t>- Disease Control Rates [Table 16]</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73</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4E4B06">
              <w:rPr>
                <w:rFonts w:ascii="Calibri" w:hAnsi="Calibri" w:cs="Calibri"/>
                <w:i/>
                <w:sz w:val="20"/>
                <w:szCs w:val="20"/>
              </w:rPr>
              <w:t>EGFR</w:t>
            </w:r>
            <w:r w:rsidRPr="00EC6C32">
              <w:rPr>
                <w:rFonts w:ascii="Calibri" w:hAnsi="Calibri" w:cs="Calibri"/>
                <w:sz w:val="20"/>
                <w:szCs w:val="20"/>
              </w:rPr>
              <w:t xml:space="preserve">+ vs. </w:t>
            </w:r>
            <w:r w:rsidRPr="004E4B06">
              <w:rPr>
                <w:rFonts w:ascii="Calibri" w:hAnsi="Calibri" w:cs="Calibri"/>
                <w:i/>
                <w:sz w:val="20"/>
                <w:szCs w:val="20"/>
              </w:rPr>
              <w:t>EGFR</w:t>
            </w:r>
            <w:r w:rsidRPr="00EC6C32">
              <w:rPr>
                <w:rFonts w:ascii="Calibri" w:hAnsi="Calibri" w:cs="Calibri"/>
                <w:sz w:val="20"/>
                <w:szCs w:val="20"/>
              </w:rPr>
              <w:t>-  Overall Survival (1 year) [Table 16]</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73</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 xml:space="preserve">TKI vs. </w:t>
            </w:r>
            <w:proofErr w:type="spellStart"/>
            <w:r w:rsidRPr="00EC6C32">
              <w:rPr>
                <w:rFonts w:ascii="Calibri" w:hAnsi="Calibri" w:cs="Calibri"/>
                <w:sz w:val="20"/>
                <w:szCs w:val="20"/>
              </w:rPr>
              <w:t>CTx</w:t>
            </w:r>
            <w:proofErr w:type="spellEnd"/>
            <w:r w:rsidRPr="00EC6C32">
              <w:rPr>
                <w:rFonts w:ascii="Calibri" w:hAnsi="Calibri" w:cs="Calibri"/>
                <w:sz w:val="20"/>
                <w:szCs w:val="20"/>
              </w:rPr>
              <w:t xml:space="preserve">  Lung Ca patients, Response rates [Table 17]</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62</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 xml:space="preserve">TKI vs. </w:t>
            </w:r>
            <w:proofErr w:type="spellStart"/>
            <w:r w:rsidRPr="00EC6C32">
              <w:rPr>
                <w:rFonts w:ascii="Calibri" w:hAnsi="Calibri" w:cs="Calibri"/>
                <w:sz w:val="20"/>
                <w:szCs w:val="20"/>
              </w:rPr>
              <w:t>CTx</w:t>
            </w:r>
            <w:proofErr w:type="spellEnd"/>
            <w:r w:rsidRPr="00EC6C32">
              <w:rPr>
                <w:rFonts w:ascii="Calibri" w:hAnsi="Calibri" w:cs="Calibri"/>
                <w:sz w:val="20"/>
                <w:szCs w:val="20"/>
              </w:rPr>
              <w:t xml:space="preserve">  Advanced disease patients, Response rates [Table 18]</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72</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 xml:space="preserve">TKI vs. </w:t>
            </w:r>
            <w:proofErr w:type="spellStart"/>
            <w:r w:rsidRPr="00EC6C32">
              <w:rPr>
                <w:rFonts w:ascii="Calibri" w:hAnsi="Calibri" w:cs="Calibri"/>
                <w:sz w:val="20"/>
                <w:szCs w:val="20"/>
              </w:rPr>
              <w:t>CTx</w:t>
            </w:r>
            <w:proofErr w:type="spellEnd"/>
            <w:r w:rsidRPr="00EC6C32">
              <w:rPr>
                <w:rFonts w:ascii="Calibri" w:hAnsi="Calibri" w:cs="Calibri"/>
                <w:sz w:val="20"/>
                <w:szCs w:val="20"/>
              </w:rPr>
              <w:t xml:space="preserve">  Advanced disease patients, Median Survival Time (months) [Table 18]</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53</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4E4B06">
              <w:rPr>
                <w:rFonts w:ascii="Calibri" w:hAnsi="Calibri" w:cs="Calibri"/>
                <w:i/>
                <w:sz w:val="20"/>
                <w:szCs w:val="20"/>
              </w:rPr>
              <w:t>EGFR</w:t>
            </w:r>
            <w:r w:rsidRPr="00EC6C32">
              <w:rPr>
                <w:rFonts w:ascii="Calibri" w:hAnsi="Calibri" w:cs="Calibri"/>
                <w:sz w:val="20"/>
                <w:szCs w:val="20"/>
              </w:rPr>
              <w:t>+ Concordance, High resolution melting analysis [Table 20]</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73</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4E4B06">
              <w:rPr>
                <w:rFonts w:ascii="Calibri" w:hAnsi="Calibri" w:cs="Calibri"/>
                <w:i/>
                <w:sz w:val="20"/>
                <w:szCs w:val="20"/>
              </w:rPr>
              <w:t>EGFR</w:t>
            </w:r>
            <w:r w:rsidRPr="00EC6C32">
              <w:rPr>
                <w:rFonts w:ascii="Calibri" w:hAnsi="Calibri" w:cs="Calibri"/>
                <w:sz w:val="20"/>
                <w:szCs w:val="20"/>
              </w:rPr>
              <w:t>+ Concordance, Denaturing HPLC [Table 20]</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75</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4E4B06">
              <w:rPr>
                <w:rFonts w:ascii="Calibri" w:hAnsi="Calibri" w:cs="Calibri"/>
                <w:i/>
                <w:sz w:val="20"/>
                <w:szCs w:val="20"/>
              </w:rPr>
              <w:t>EGFR</w:t>
            </w:r>
            <w:r w:rsidRPr="00EC6C32">
              <w:rPr>
                <w:rFonts w:ascii="Calibri" w:hAnsi="Calibri" w:cs="Calibri"/>
                <w:sz w:val="20"/>
                <w:szCs w:val="20"/>
              </w:rPr>
              <w:t xml:space="preserve">+ </w:t>
            </w:r>
            <w:proofErr w:type="spellStart"/>
            <w:r w:rsidRPr="00EC6C32">
              <w:rPr>
                <w:rFonts w:ascii="Calibri" w:hAnsi="Calibri" w:cs="Calibri"/>
                <w:sz w:val="20"/>
                <w:szCs w:val="20"/>
              </w:rPr>
              <w:t>vs</w:t>
            </w:r>
            <w:proofErr w:type="spellEnd"/>
            <w:r w:rsidRPr="00EC6C32">
              <w:rPr>
                <w:rFonts w:ascii="Calibri" w:hAnsi="Calibri" w:cs="Calibri"/>
                <w:sz w:val="20"/>
                <w:szCs w:val="20"/>
              </w:rPr>
              <w:t xml:space="preserve"> </w:t>
            </w:r>
            <w:r w:rsidRPr="004E4B06">
              <w:rPr>
                <w:rFonts w:ascii="Calibri" w:hAnsi="Calibri" w:cs="Calibri"/>
                <w:i/>
                <w:sz w:val="20"/>
                <w:szCs w:val="20"/>
              </w:rPr>
              <w:t>EGFR</w:t>
            </w:r>
            <w:r w:rsidRPr="00EC6C32">
              <w:rPr>
                <w:rFonts w:ascii="Calibri" w:hAnsi="Calibri" w:cs="Calibri"/>
                <w:sz w:val="20"/>
                <w:szCs w:val="20"/>
              </w:rPr>
              <w:t>-, Response rate [Table 21]</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50</w:t>
            </w:r>
          </w:p>
        </w:tc>
      </w:tr>
      <w:tr w:rsidR="00057AA4" w:rsidTr="0048674F">
        <w:tc>
          <w:tcPr>
            <w:tcW w:w="1098" w:type="dxa"/>
            <w:vMerge w:val="restart"/>
          </w:tcPr>
          <w:p w:rsidR="00057AA4" w:rsidRPr="00EC6C32" w:rsidRDefault="00057AA4" w:rsidP="0048674F">
            <w:pPr>
              <w:rPr>
                <w:rFonts w:ascii="Calibri" w:hAnsi="Calibri" w:cs="Calibri"/>
                <w:sz w:val="20"/>
                <w:szCs w:val="20"/>
              </w:rPr>
            </w:pPr>
            <w:r w:rsidRPr="00EC6C32">
              <w:rPr>
                <w:rFonts w:ascii="Calibri" w:hAnsi="Calibri" w:cs="Calibri"/>
                <w:sz w:val="20"/>
                <w:szCs w:val="20"/>
              </w:rPr>
              <w:t>I</w:t>
            </w:r>
            <w:r w:rsidRPr="00EC6C32">
              <w:rPr>
                <w:rFonts w:ascii="Calibri" w:hAnsi="Calibri" w:cs="Calibri"/>
                <w:sz w:val="20"/>
                <w:szCs w:val="20"/>
                <w:vertAlign w:val="superscript"/>
              </w:rPr>
              <w:t>2</w:t>
            </w:r>
            <w:r w:rsidRPr="00EC6C32">
              <w:rPr>
                <w:rFonts w:ascii="Calibri" w:hAnsi="Calibri" w:cs="Calibri"/>
                <w:sz w:val="20"/>
                <w:szCs w:val="20"/>
              </w:rPr>
              <w:t>=76% or greater</w:t>
            </w:r>
          </w:p>
        </w:tc>
        <w:tc>
          <w:tcPr>
            <w:tcW w:w="7470" w:type="dxa"/>
          </w:tcPr>
          <w:p w:rsidR="00057AA4" w:rsidRPr="00EC6C32" w:rsidRDefault="00057AA4" w:rsidP="0048674F">
            <w:pPr>
              <w:rPr>
                <w:rFonts w:ascii="Calibri" w:hAnsi="Calibri" w:cs="Calibri"/>
                <w:sz w:val="20"/>
                <w:szCs w:val="20"/>
              </w:rPr>
            </w:pPr>
            <w:r w:rsidRPr="004E4B06">
              <w:rPr>
                <w:rFonts w:ascii="Calibri" w:hAnsi="Calibri" w:cs="Calibri"/>
                <w:i/>
                <w:sz w:val="20"/>
                <w:szCs w:val="20"/>
              </w:rPr>
              <w:t>EGFR</w:t>
            </w:r>
            <w:r>
              <w:rPr>
                <w:rFonts w:ascii="Calibri" w:hAnsi="Calibri" w:cs="Calibri"/>
                <w:sz w:val="20"/>
                <w:szCs w:val="20"/>
              </w:rPr>
              <w:t xml:space="preserve"> + vs. </w:t>
            </w:r>
            <w:r w:rsidRPr="004E4B06">
              <w:rPr>
                <w:rFonts w:ascii="Calibri" w:hAnsi="Calibri" w:cs="Calibri"/>
                <w:i/>
                <w:sz w:val="20"/>
                <w:szCs w:val="20"/>
              </w:rPr>
              <w:t>EGFR</w:t>
            </w:r>
            <w:r>
              <w:rPr>
                <w:rFonts w:ascii="Calibri" w:hAnsi="Calibri" w:cs="Calibri"/>
                <w:sz w:val="20"/>
                <w:szCs w:val="20"/>
              </w:rPr>
              <w:t>-, Lung Ca patients, Time to progression (Guideline Table 1)</w:t>
            </w:r>
          </w:p>
        </w:tc>
        <w:tc>
          <w:tcPr>
            <w:tcW w:w="990" w:type="dxa"/>
          </w:tcPr>
          <w:p w:rsidR="00057AA4" w:rsidRPr="00EC6C32" w:rsidRDefault="00057AA4" w:rsidP="0048674F">
            <w:pPr>
              <w:rPr>
                <w:rFonts w:ascii="Calibri" w:hAnsi="Calibri" w:cs="Calibri"/>
                <w:sz w:val="20"/>
                <w:szCs w:val="20"/>
              </w:rPr>
            </w:pPr>
            <w:r>
              <w:rPr>
                <w:rFonts w:ascii="Calibri" w:hAnsi="Calibri" w:cs="Calibri"/>
                <w:sz w:val="20"/>
                <w:szCs w:val="20"/>
              </w:rPr>
              <w:t>93</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5E32CB">
            <w:pPr>
              <w:rPr>
                <w:rFonts w:ascii="Calibri" w:hAnsi="Calibri" w:cs="Calibri"/>
                <w:sz w:val="20"/>
                <w:szCs w:val="20"/>
              </w:rPr>
            </w:pPr>
            <w:r w:rsidRPr="004E4B06">
              <w:rPr>
                <w:rFonts w:ascii="Calibri" w:hAnsi="Calibri" w:cs="Calibri"/>
                <w:i/>
                <w:sz w:val="20"/>
                <w:szCs w:val="20"/>
              </w:rPr>
              <w:t>EGFR</w:t>
            </w:r>
            <w:r w:rsidRPr="00EC6C32">
              <w:rPr>
                <w:rFonts w:ascii="Calibri" w:hAnsi="Calibri" w:cs="Calibri"/>
                <w:sz w:val="20"/>
                <w:szCs w:val="20"/>
              </w:rPr>
              <w:t xml:space="preserve">+ vs. </w:t>
            </w:r>
            <w:r w:rsidRPr="004E4B06">
              <w:rPr>
                <w:rFonts w:ascii="Calibri" w:hAnsi="Calibri" w:cs="Calibri"/>
                <w:i/>
                <w:sz w:val="20"/>
                <w:szCs w:val="20"/>
              </w:rPr>
              <w:t>EGFR</w:t>
            </w:r>
            <w:r w:rsidRPr="00EC6C32">
              <w:rPr>
                <w:rFonts w:ascii="Calibri" w:hAnsi="Calibri" w:cs="Calibri"/>
                <w:sz w:val="20"/>
                <w:szCs w:val="20"/>
              </w:rPr>
              <w:t>-  Median age, Asian patients  [Table 6]</w:t>
            </w:r>
          </w:p>
        </w:tc>
        <w:tc>
          <w:tcPr>
            <w:tcW w:w="990" w:type="dxa"/>
          </w:tcPr>
          <w:p w:rsidR="00057AA4" w:rsidRPr="00EC6C32" w:rsidRDefault="00057AA4" w:rsidP="005E32CB">
            <w:pPr>
              <w:rPr>
                <w:rFonts w:ascii="Calibri" w:hAnsi="Calibri" w:cs="Calibri"/>
                <w:sz w:val="20"/>
                <w:szCs w:val="20"/>
              </w:rPr>
            </w:pPr>
            <w:r w:rsidRPr="00EC6C32">
              <w:rPr>
                <w:rFonts w:ascii="Calibri" w:hAnsi="Calibri" w:cs="Calibri"/>
                <w:sz w:val="20"/>
                <w:szCs w:val="20"/>
              </w:rPr>
              <w:t>82</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4E4B06">
              <w:rPr>
                <w:rFonts w:ascii="Calibri" w:hAnsi="Calibri" w:cs="Calibri"/>
                <w:i/>
                <w:sz w:val="20"/>
                <w:szCs w:val="20"/>
              </w:rPr>
              <w:t>EGFR</w:t>
            </w:r>
            <w:r w:rsidRPr="00EC6C32">
              <w:rPr>
                <w:rFonts w:ascii="Calibri" w:hAnsi="Calibri" w:cs="Calibri"/>
                <w:sz w:val="20"/>
                <w:szCs w:val="20"/>
              </w:rPr>
              <w:t xml:space="preserve">+ vs. </w:t>
            </w:r>
            <w:r w:rsidRPr="004E4B06">
              <w:rPr>
                <w:rFonts w:ascii="Calibri" w:hAnsi="Calibri" w:cs="Calibri"/>
                <w:i/>
                <w:sz w:val="20"/>
                <w:szCs w:val="20"/>
              </w:rPr>
              <w:t>EGFR</w:t>
            </w:r>
            <w:r w:rsidRPr="00EC6C32">
              <w:rPr>
                <w:rFonts w:ascii="Calibri" w:hAnsi="Calibri" w:cs="Calibri"/>
                <w:sz w:val="20"/>
                <w:szCs w:val="20"/>
              </w:rPr>
              <w:t>-  Mean age, Asian patients [Table 6]</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98</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4E4B06">
              <w:rPr>
                <w:rFonts w:ascii="Calibri" w:hAnsi="Calibri" w:cs="Calibri"/>
                <w:i/>
                <w:sz w:val="20"/>
                <w:szCs w:val="20"/>
              </w:rPr>
              <w:t>EGFR</w:t>
            </w:r>
            <w:r w:rsidRPr="00EC6C32">
              <w:rPr>
                <w:rFonts w:ascii="Calibri" w:hAnsi="Calibri" w:cs="Calibri"/>
                <w:sz w:val="20"/>
                <w:szCs w:val="20"/>
              </w:rPr>
              <w:t xml:space="preserve">+ vs. </w:t>
            </w:r>
            <w:r w:rsidRPr="004E4B06">
              <w:rPr>
                <w:rFonts w:ascii="Calibri" w:hAnsi="Calibri" w:cs="Calibri"/>
                <w:i/>
                <w:sz w:val="20"/>
                <w:szCs w:val="20"/>
              </w:rPr>
              <w:t>EGFR</w:t>
            </w:r>
            <w:r w:rsidRPr="00EC6C32">
              <w:rPr>
                <w:rFonts w:ascii="Calibri" w:hAnsi="Calibri" w:cs="Calibri"/>
                <w:sz w:val="20"/>
                <w:szCs w:val="20"/>
              </w:rPr>
              <w:t>-  Median age, non-Asian patients [Table 6]</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86</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4E4B06">
              <w:rPr>
                <w:rFonts w:ascii="Calibri" w:hAnsi="Calibri" w:cs="Calibri"/>
                <w:i/>
                <w:sz w:val="20"/>
                <w:szCs w:val="20"/>
              </w:rPr>
              <w:t>EGFR</w:t>
            </w:r>
            <w:r w:rsidRPr="00EC6C32">
              <w:rPr>
                <w:rFonts w:ascii="Calibri" w:hAnsi="Calibri" w:cs="Calibri"/>
                <w:sz w:val="20"/>
                <w:szCs w:val="20"/>
              </w:rPr>
              <w:t xml:space="preserve">+ vs. </w:t>
            </w:r>
            <w:r w:rsidRPr="004E4B06">
              <w:rPr>
                <w:rFonts w:ascii="Calibri" w:hAnsi="Calibri" w:cs="Calibri"/>
                <w:i/>
                <w:sz w:val="20"/>
                <w:szCs w:val="20"/>
              </w:rPr>
              <w:t>EGFR</w:t>
            </w:r>
            <w:r w:rsidRPr="00EC6C32">
              <w:rPr>
                <w:rFonts w:ascii="Calibri" w:hAnsi="Calibri" w:cs="Calibri"/>
                <w:sz w:val="20"/>
                <w:szCs w:val="20"/>
              </w:rPr>
              <w:t>-  Mean age, non-Asian patients [Table 6]</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93</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4E4B06">
              <w:rPr>
                <w:rFonts w:ascii="Calibri" w:hAnsi="Calibri" w:cs="Calibri"/>
                <w:i/>
                <w:sz w:val="20"/>
                <w:szCs w:val="20"/>
              </w:rPr>
              <w:t>EGFR</w:t>
            </w:r>
            <w:r w:rsidRPr="00EC6C32">
              <w:rPr>
                <w:rFonts w:ascii="Calibri" w:hAnsi="Calibri" w:cs="Calibri"/>
                <w:sz w:val="20"/>
                <w:szCs w:val="20"/>
              </w:rPr>
              <w:t>+ Non-Asian patients, Smoking Never vs. Ever [Table 10]</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86</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4E4B06">
              <w:rPr>
                <w:rFonts w:ascii="Calibri" w:hAnsi="Calibri" w:cs="Calibri"/>
                <w:i/>
                <w:sz w:val="20"/>
                <w:szCs w:val="20"/>
              </w:rPr>
              <w:t>ALK</w:t>
            </w:r>
            <w:r w:rsidRPr="00EC6C32">
              <w:rPr>
                <w:rFonts w:ascii="Calibri" w:hAnsi="Calibri" w:cs="Calibri"/>
                <w:sz w:val="20"/>
                <w:szCs w:val="20"/>
              </w:rPr>
              <w:t xml:space="preserve">+ </w:t>
            </w:r>
            <w:r w:rsidR="00665CB4" w:rsidRPr="00EC6C32">
              <w:rPr>
                <w:rFonts w:ascii="Calibri" w:hAnsi="Calibri" w:cs="Calibri"/>
                <w:sz w:val="20"/>
                <w:szCs w:val="20"/>
              </w:rPr>
              <w:t>vs.</w:t>
            </w:r>
            <w:r w:rsidRPr="00EC6C32">
              <w:rPr>
                <w:rFonts w:ascii="Calibri" w:hAnsi="Calibri" w:cs="Calibri"/>
                <w:sz w:val="20"/>
                <w:szCs w:val="20"/>
              </w:rPr>
              <w:t xml:space="preserve"> </w:t>
            </w:r>
            <w:r w:rsidRPr="004E4B06">
              <w:rPr>
                <w:rFonts w:ascii="Calibri" w:hAnsi="Calibri" w:cs="Calibri"/>
                <w:i/>
                <w:sz w:val="20"/>
                <w:szCs w:val="20"/>
              </w:rPr>
              <w:t>ALK</w:t>
            </w:r>
            <w:r w:rsidRPr="00EC6C32">
              <w:rPr>
                <w:rFonts w:ascii="Calibri" w:hAnsi="Calibri" w:cs="Calibri"/>
                <w:sz w:val="20"/>
                <w:szCs w:val="20"/>
              </w:rPr>
              <w:t>-, Median age [Table 11]</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97</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4E4B06">
              <w:rPr>
                <w:rFonts w:ascii="Calibri" w:hAnsi="Calibri" w:cs="Calibri"/>
                <w:i/>
                <w:sz w:val="20"/>
                <w:szCs w:val="20"/>
              </w:rPr>
              <w:t>EGFR</w:t>
            </w:r>
            <w:r w:rsidRPr="00EC6C32">
              <w:rPr>
                <w:rFonts w:ascii="Calibri" w:hAnsi="Calibri" w:cs="Calibri"/>
                <w:sz w:val="20"/>
                <w:szCs w:val="20"/>
              </w:rPr>
              <w:t xml:space="preserve">+ vs. </w:t>
            </w:r>
            <w:r w:rsidRPr="004E4B06">
              <w:rPr>
                <w:rFonts w:ascii="Calibri" w:hAnsi="Calibri" w:cs="Calibri"/>
                <w:i/>
                <w:sz w:val="20"/>
                <w:szCs w:val="20"/>
              </w:rPr>
              <w:t>EGFR</w:t>
            </w:r>
            <w:r w:rsidRPr="00EC6C32">
              <w:rPr>
                <w:rFonts w:ascii="Calibri" w:hAnsi="Calibri" w:cs="Calibri"/>
                <w:sz w:val="20"/>
                <w:szCs w:val="20"/>
              </w:rPr>
              <w:t>- Mean Time to Progression [Table 16]</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95</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4E4B06">
              <w:rPr>
                <w:rFonts w:ascii="Calibri" w:hAnsi="Calibri" w:cs="Calibri"/>
                <w:i/>
                <w:sz w:val="20"/>
                <w:szCs w:val="20"/>
              </w:rPr>
              <w:t>EGFR</w:t>
            </w:r>
            <w:r w:rsidRPr="00EC6C32">
              <w:rPr>
                <w:rFonts w:ascii="Calibri" w:hAnsi="Calibri" w:cs="Calibri"/>
                <w:sz w:val="20"/>
                <w:szCs w:val="20"/>
              </w:rPr>
              <w:t xml:space="preserve">+ vs. </w:t>
            </w:r>
            <w:r w:rsidRPr="004E4B06">
              <w:rPr>
                <w:rFonts w:ascii="Calibri" w:hAnsi="Calibri" w:cs="Calibri"/>
                <w:i/>
                <w:sz w:val="20"/>
                <w:szCs w:val="20"/>
              </w:rPr>
              <w:t>EGFR</w:t>
            </w:r>
            <w:r w:rsidRPr="00EC6C32">
              <w:rPr>
                <w:rFonts w:ascii="Calibri" w:hAnsi="Calibri" w:cs="Calibri"/>
                <w:sz w:val="20"/>
                <w:szCs w:val="20"/>
              </w:rPr>
              <w:t>-  Median Survival [Table 16]</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94</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 xml:space="preserve">TKI vs. </w:t>
            </w:r>
            <w:proofErr w:type="spellStart"/>
            <w:r w:rsidRPr="00EC6C32">
              <w:rPr>
                <w:rFonts w:ascii="Calibri" w:hAnsi="Calibri" w:cs="Calibri"/>
                <w:sz w:val="20"/>
                <w:szCs w:val="20"/>
              </w:rPr>
              <w:t>CTx</w:t>
            </w:r>
            <w:proofErr w:type="spellEnd"/>
            <w:r w:rsidRPr="00EC6C32">
              <w:rPr>
                <w:rFonts w:ascii="Calibri" w:hAnsi="Calibri" w:cs="Calibri"/>
                <w:sz w:val="20"/>
                <w:szCs w:val="20"/>
              </w:rPr>
              <w:t xml:space="preserve">  Lung Ca</w:t>
            </w:r>
            <w:r w:rsidR="008C300A">
              <w:rPr>
                <w:rFonts w:ascii="Calibri" w:hAnsi="Calibri" w:cs="Calibri"/>
                <w:sz w:val="20"/>
                <w:szCs w:val="20"/>
              </w:rPr>
              <w:t>ncer</w:t>
            </w:r>
            <w:r w:rsidRPr="00EC6C32">
              <w:rPr>
                <w:rFonts w:ascii="Calibri" w:hAnsi="Calibri" w:cs="Calibri"/>
                <w:sz w:val="20"/>
                <w:szCs w:val="20"/>
              </w:rPr>
              <w:t xml:space="preserve"> patients, Time to Progression (months) [Table 17]</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97</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 xml:space="preserve">TKI vs. </w:t>
            </w:r>
            <w:proofErr w:type="spellStart"/>
            <w:r w:rsidRPr="00EC6C32">
              <w:rPr>
                <w:rFonts w:ascii="Calibri" w:hAnsi="Calibri" w:cs="Calibri"/>
                <w:sz w:val="20"/>
                <w:szCs w:val="20"/>
              </w:rPr>
              <w:t>CTx</w:t>
            </w:r>
            <w:proofErr w:type="spellEnd"/>
            <w:r w:rsidRPr="00EC6C32">
              <w:rPr>
                <w:rFonts w:ascii="Calibri" w:hAnsi="Calibri" w:cs="Calibri"/>
                <w:sz w:val="20"/>
                <w:szCs w:val="20"/>
              </w:rPr>
              <w:t xml:space="preserve">  Lung Ca patients, Median Survival (months) [Table 17]</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95</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 xml:space="preserve">TKI vs. </w:t>
            </w:r>
            <w:proofErr w:type="spellStart"/>
            <w:r w:rsidRPr="00EC6C32">
              <w:rPr>
                <w:rFonts w:ascii="Calibri" w:hAnsi="Calibri" w:cs="Calibri"/>
                <w:sz w:val="20"/>
                <w:szCs w:val="20"/>
              </w:rPr>
              <w:t>CTx</w:t>
            </w:r>
            <w:proofErr w:type="spellEnd"/>
            <w:r w:rsidRPr="00EC6C32">
              <w:rPr>
                <w:rFonts w:ascii="Calibri" w:hAnsi="Calibri" w:cs="Calibri"/>
                <w:sz w:val="20"/>
                <w:szCs w:val="20"/>
              </w:rPr>
              <w:t xml:space="preserve">  Advanced disease patients, Time to Progression (months) [Table 18]</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99</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4E4B06">
              <w:rPr>
                <w:rFonts w:ascii="Calibri" w:hAnsi="Calibri" w:cs="Calibri"/>
                <w:i/>
                <w:sz w:val="20"/>
                <w:szCs w:val="20"/>
              </w:rPr>
              <w:t>EGFR</w:t>
            </w:r>
            <w:r w:rsidRPr="00EC6C32">
              <w:rPr>
                <w:rFonts w:ascii="Calibri" w:hAnsi="Calibri" w:cs="Calibri"/>
                <w:sz w:val="20"/>
                <w:szCs w:val="20"/>
              </w:rPr>
              <w:t xml:space="preserve">+ vs. </w:t>
            </w:r>
            <w:r w:rsidRPr="004E4B06">
              <w:rPr>
                <w:rFonts w:ascii="Calibri" w:hAnsi="Calibri" w:cs="Calibri"/>
                <w:i/>
                <w:sz w:val="20"/>
                <w:szCs w:val="20"/>
              </w:rPr>
              <w:t>EGFR</w:t>
            </w:r>
            <w:r w:rsidRPr="00EC6C32">
              <w:rPr>
                <w:rFonts w:ascii="Calibri" w:hAnsi="Calibri" w:cs="Calibri"/>
                <w:sz w:val="20"/>
                <w:szCs w:val="20"/>
              </w:rPr>
              <w:t>-, Time to Progression (months) [Table 21]</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98</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4E4B06">
              <w:rPr>
                <w:rFonts w:ascii="Calibri" w:hAnsi="Calibri" w:cs="Calibri"/>
                <w:i/>
                <w:sz w:val="20"/>
                <w:szCs w:val="20"/>
              </w:rPr>
              <w:t>EGFR</w:t>
            </w:r>
            <w:r w:rsidRPr="00EC6C32">
              <w:rPr>
                <w:rFonts w:ascii="Calibri" w:hAnsi="Calibri" w:cs="Calibri"/>
                <w:sz w:val="20"/>
                <w:szCs w:val="20"/>
              </w:rPr>
              <w:t xml:space="preserve">+ vs. </w:t>
            </w:r>
            <w:r w:rsidRPr="004E4B06">
              <w:rPr>
                <w:rFonts w:ascii="Calibri" w:hAnsi="Calibri" w:cs="Calibri"/>
                <w:i/>
                <w:sz w:val="20"/>
                <w:szCs w:val="20"/>
              </w:rPr>
              <w:t>EGFR</w:t>
            </w:r>
            <w:r w:rsidRPr="00EC6C32">
              <w:rPr>
                <w:rFonts w:ascii="Calibri" w:hAnsi="Calibri" w:cs="Calibri"/>
                <w:sz w:val="20"/>
                <w:szCs w:val="20"/>
              </w:rPr>
              <w:t>-, Median Survival (months) [Table 21]</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90</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FISH+ vs. FISH-, Time to Progression (months) [Table 22]</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97</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FISH+ vs. FISH-, Median Survival (months) [Table 22]</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98</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4E4B06">
              <w:rPr>
                <w:rFonts w:ascii="Calibri" w:hAnsi="Calibri" w:cs="Calibri"/>
                <w:i/>
                <w:sz w:val="20"/>
                <w:szCs w:val="20"/>
              </w:rPr>
              <w:t>KRAS</w:t>
            </w:r>
            <w:r w:rsidRPr="00EC6C32">
              <w:rPr>
                <w:rFonts w:ascii="Calibri" w:hAnsi="Calibri" w:cs="Calibri"/>
                <w:sz w:val="20"/>
                <w:szCs w:val="20"/>
              </w:rPr>
              <w:t xml:space="preserve">+ vs. </w:t>
            </w:r>
            <w:r w:rsidRPr="004E4B06">
              <w:rPr>
                <w:rFonts w:ascii="Calibri" w:hAnsi="Calibri" w:cs="Calibri"/>
                <w:i/>
                <w:sz w:val="20"/>
                <w:szCs w:val="20"/>
              </w:rPr>
              <w:t>KRAS</w:t>
            </w:r>
            <w:r w:rsidRPr="00EC6C32">
              <w:rPr>
                <w:rFonts w:ascii="Calibri" w:hAnsi="Calibri" w:cs="Calibri"/>
                <w:sz w:val="20"/>
                <w:szCs w:val="20"/>
              </w:rPr>
              <w:t>-  Time to Progression (months) [Table 23]</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78</w:t>
            </w:r>
          </w:p>
        </w:tc>
      </w:tr>
      <w:tr w:rsidR="00057AA4" w:rsidTr="0048674F">
        <w:tc>
          <w:tcPr>
            <w:tcW w:w="1098" w:type="dxa"/>
            <w:vMerge/>
          </w:tcPr>
          <w:p w:rsidR="00057AA4" w:rsidRPr="00EC6C32" w:rsidRDefault="00057AA4" w:rsidP="0048674F">
            <w:pPr>
              <w:rPr>
                <w:rFonts w:ascii="Calibri" w:hAnsi="Calibri" w:cs="Calibri"/>
                <w:sz w:val="20"/>
                <w:szCs w:val="20"/>
              </w:rPr>
            </w:pPr>
          </w:p>
        </w:tc>
        <w:tc>
          <w:tcPr>
            <w:tcW w:w="7470" w:type="dxa"/>
          </w:tcPr>
          <w:p w:rsidR="00057AA4" w:rsidRPr="00EC6C32" w:rsidRDefault="00057AA4" w:rsidP="0048674F">
            <w:pPr>
              <w:rPr>
                <w:rFonts w:ascii="Calibri" w:hAnsi="Calibri" w:cs="Calibri"/>
                <w:sz w:val="20"/>
                <w:szCs w:val="20"/>
              </w:rPr>
            </w:pPr>
            <w:r w:rsidRPr="004E4B06">
              <w:rPr>
                <w:rFonts w:ascii="Calibri" w:hAnsi="Calibri" w:cs="Calibri"/>
                <w:i/>
                <w:sz w:val="20"/>
                <w:szCs w:val="20"/>
              </w:rPr>
              <w:t>KRAS</w:t>
            </w:r>
            <w:r w:rsidRPr="00EC6C32">
              <w:rPr>
                <w:rFonts w:ascii="Calibri" w:hAnsi="Calibri" w:cs="Calibri"/>
                <w:sz w:val="20"/>
                <w:szCs w:val="20"/>
              </w:rPr>
              <w:t xml:space="preserve">+ vs. </w:t>
            </w:r>
            <w:r w:rsidRPr="004E4B06">
              <w:rPr>
                <w:rFonts w:ascii="Calibri" w:hAnsi="Calibri" w:cs="Calibri"/>
                <w:i/>
                <w:sz w:val="20"/>
                <w:szCs w:val="20"/>
              </w:rPr>
              <w:t>KRAS</w:t>
            </w:r>
            <w:r w:rsidRPr="00EC6C32">
              <w:rPr>
                <w:rFonts w:ascii="Calibri" w:hAnsi="Calibri" w:cs="Calibri"/>
                <w:sz w:val="20"/>
                <w:szCs w:val="20"/>
              </w:rPr>
              <w:t>-  Median Survival (months) [Table 23]</w:t>
            </w:r>
          </w:p>
        </w:tc>
        <w:tc>
          <w:tcPr>
            <w:tcW w:w="990" w:type="dxa"/>
          </w:tcPr>
          <w:p w:rsidR="00057AA4" w:rsidRPr="00EC6C32" w:rsidRDefault="00057AA4" w:rsidP="0048674F">
            <w:pPr>
              <w:rPr>
                <w:rFonts w:ascii="Calibri" w:hAnsi="Calibri" w:cs="Calibri"/>
                <w:sz w:val="20"/>
                <w:szCs w:val="20"/>
              </w:rPr>
            </w:pPr>
            <w:r w:rsidRPr="00EC6C32">
              <w:rPr>
                <w:rFonts w:ascii="Calibri" w:hAnsi="Calibri" w:cs="Calibri"/>
                <w:sz w:val="20"/>
                <w:szCs w:val="20"/>
              </w:rPr>
              <w:t>78</w:t>
            </w:r>
          </w:p>
        </w:tc>
      </w:tr>
    </w:tbl>
    <w:p w:rsidR="00FF1DFC" w:rsidRPr="008C300A" w:rsidRDefault="008C300A" w:rsidP="008C300A">
      <w:pPr>
        <w:ind w:left="-90"/>
        <w:rPr>
          <w:rFonts w:ascii="Calibri" w:hAnsi="Calibri" w:cs="Calibri"/>
          <w:sz w:val="18"/>
          <w:szCs w:val="18"/>
        </w:rPr>
      </w:pPr>
      <w:r w:rsidRPr="008C300A">
        <w:rPr>
          <w:rFonts w:ascii="Calibri" w:hAnsi="Calibri" w:cs="Calibri"/>
          <w:sz w:val="18"/>
          <w:szCs w:val="18"/>
        </w:rPr>
        <w:t xml:space="preserve">Abbreviations: </w:t>
      </w:r>
      <w:proofErr w:type="spellStart"/>
      <w:r w:rsidRPr="008C300A">
        <w:rPr>
          <w:rFonts w:ascii="Calibri" w:hAnsi="Calibri" w:cs="Calibri"/>
          <w:sz w:val="18"/>
          <w:szCs w:val="18"/>
        </w:rPr>
        <w:t>CTx</w:t>
      </w:r>
      <w:proofErr w:type="spellEnd"/>
      <w:r w:rsidRPr="008C300A">
        <w:rPr>
          <w:rFonts w:ascii="Calibri" w:hAnsi="Calibri" w:cs="Calibri"/>
          <w:sz w:val="18"/>
          <w:szCs w:val="18"/>
        </w:rPr>
        <w:t xml:space="preserve">, Chemotherapy; EGFR, epidermal growth factor receptor; </w:t>
      </w:r>
      <w:r>
        <w:rPr>
          <w:rFonts w:ascii="Calibri" w:hAnsi="Calibri" w:cs="Calibri"/>
          <w:sz w:val="18"/>
          <w:szCs w:val="18"/>
        </w:rPr>
        <w:t xml:space="preserve">NSCLC, non small cell lung cancer; </w:t>
      </w:r>
      <w:r w:rsidR="00650D28" w:rsidRPr="00A26FF8">
        <w:rPr>
          <w:rFonts w:asciiTheme="minorHAnsi" w:hAnsiTheme="minorHAnsi"/>
          <w:sz w:val="18"/>
          <w:szCs w:val="18"/>
        </w:rPr>
        <w:t>PCR, Polymerase Chain Reaction</w:t>
      </w:r>
      <w:r w:rsidR="00650D28">
        <w:rPr>
          <w:rFonts w:asciiTheme="minorHAnsi" w:hAnsiTheme="minorHAnsi"/>
          <w:sz w:val="18"/>
          <w:szCs w:val="18"/>
        </w:rPr>
        <w:t>;</w:t>
      </w:r>
      <w:r w:rsidR="00650D28" w:rsidRPr="008C300A">
        <w:rPr>
          <w:rFonts w:ascii="Calibri" w:hAnsi="Calibri" w:cs="Calibri"/>
          <w:sz w:val="18"/>
          <w:szCs w:val="18"/>
        </w:rPr>
        <w:t xml:space="preserve"> </w:t>
      </w:r>
      <w:r w:rsidRPr="008C300A">
        <w:rPr>
          <w:rFonts w:ascii="Calibri" w:hAnsi="Calibri" w:cs="Calibri"/>
          <w:sz w:val="18"/>
          <w:szCs w:val="18"/>
        </w:rPr>
        <w:t xml:space="preserve">TKI, tyrosine kinase inhibitor </w:t>
      </w:r>
    </w:p>
    <w:p w:rsidR="008C300A" w:rsidRDefault="008C300A" w:rsidP="00602433">
      <w:pPr>
        <w:autoSpaceDE w:val="0"/>
        <w:autoSpaceDN w:val="0"/>
        <w:spacing w:before="120" w:after="120"/>
        <w:rPr>
          <w:sz w:val="22"/>
          <w:szCs w:val="22"/>
        </w:rPr>
      </w:pPr>
    </w:p>
    <w:p w:rsidR="00602433" w:rsidRPr="00EC6C32" w:rsidRDefault="00EE3085" w:rsidP="00602433">
      <w:pPr>
        <w:autoSpaceDE w:val="0"/>
        <w:autoSpaceDN w:val="0"/>
        <w:spacing w:before="120" w:after="120"/>
        <w:rPr>
          <w:sz w:val="22"/>
          <w:szCs w:val="22"/>
        </w:rPr>
      </w:pPr>
      <w:r w:rsidRPr="00EC6C32">
        <w:rPr>
          <w:sz w:val="22"/>
          <w:szCs w:val="22"/>
        </w:rPr>
        <w:t xml:space="preserve">Individual studies </w:t>
      </w:r>
      <w:proofErr w:type="gramStart"/>
      <w:r w:rsidRPr="00EC6C32">
        <w:rPr>
          <w:sz w:val="22"/>
          <w:szCs w:val="22"/>
        </w:rPr>
        <w:t>were reviewed</w:t>
      </w:r>
      <w:proofErr w:type="gramEnd"/>
      <w:r w:rsidRPr="00EC6C32">
        <w:rPr>
          <w:sz w:val="22"/>
          <w:szCs w:val="22"/>
        </w:rPr>
        <w:t xml:space="preserve"> for each of the pooled estimates and data was visualized as forest plots (</w:t>
      </w:r>
      <w:r w:rsidR="00F81F9F" w:rsidRPr="00EC6C32">
        <w:rPr>
          <w:sz w:val="22"/>
          <w:szCs w:val="22"/>
        </w:rPr>
        <w:t>figures</w:t>
      </w:r>
      <w:r w:rsidRPr="00EC6C32">
        <w:rPr>
          <w:sz w:val="22"/>
          <w:szCs w:val="22"/>
        </w:rPr>
        <w:t xml:space="preserve"> not shown).  For each </w:t>
      </w:r>
      <w:r w:rsidR="00F81F9F" w:rsidRPr="00EC6C32">
        <w:rPr>
          <w:sz w:val="22"/>
          <w:szCs w:val="22"/>
        </w:rPr>
        <w:t>analysis</w:t>
      </w:r>
      <w:r w:rsidRPr="00EC6C32">
        <w:rPr>
          <w:sz w:val="22"/>
          <w:szCs w:val="22"/>
        </w:rPr>
        <w:t xml:space="preserve"> for which heterogeneity (I</w:t>
      </w:r>
      <w:r w:rsidRPr="00EC6C32">
        <w:rPr>
          <w:sz w:val="22"/>
          <w:szCs w:val="22"/>
          <w:vertAlign w:val="superscript"/>
        </w:rPr>
        <w:t>2</w:t>
      </w:r>
      <w:r w:rsidRPr="00EC6C32">
        <w:rPr>
          <w:sz w:val="22"/>
          <w:szCs w:val="22"/>
        </w:rPr>
        <w:t xml:space="preserve">) exceeded 25%, the forest plots were re-examined for outlier studies.  </w:t>
      </w:r>
      <w:r w:rsidR="00A01E35" w:rsidRPr="00EC6C32">
        <w:rPr>
          <w:sz w:val="22"/>
          <w:szCs w:val="22"/>
        </w:rPr>
        <w:t xml:space="preserve">For most of these </w:t>
      </w:r>
      <w:r w:rsidR="00F81F9F" w:rsidRPr="00EC6C32">
        <w:rPr>
          <w:sz w:val="22"/>
          <w:szCs w:val="22"/>
        </w:rPr>
        <w:t>analyses</w:t>
      </w:r>
      <w:r w:rsidR="00A01E35" w:rsidRPr="00EC6C32">
        <w:rPr>
          <w:sz w:val="22"/>
          <w:szCs w:val="22"/>
        </w:rPr>
        <w:t xml:space="preserve">, no outlier studies were apparent.  </w:t>
      </w:r>
      <w:r w:rsidR="00457830" w:rsidRPr="00EC6C32">
        <w:rPr>
          <w:sz w:val="22"/>
          <w:szCs w:val="22"/>
        </w:rPr>
        <w:t xml:space="preserve">However, </w:t>
      </w:r>
      <w:r w:rsidRPr="00EC6C32">
        <w:rPr>
          <w:sz w:val="22"/>
          <w:szCs w:val="22"/>
        </w:rPr>
        <w:t xml:space="preserve">15 potential outlier studies </w:t>
      </w:r>
      <w:proofErr w:type="gramStart"/>
      <w:r w:rsidRPr="00EC6C32">
        <w:rPr>
          <w:sz w:val="22"/>
          <w:szCs w:val="22"/>
        </w:rPr>
        <w:t>were identified</w:t>
      </w:r>
      <w:r w:rsidR="00457830" w:rsidRPr="00EC6C32">
        <w:rPr>
          <w:sz w:val="22"/>
          <w:szCs w:val="22"/>
        </w:rPr>
        <w:t xml:space="preserve"> and re-reviewed</w:t>
      </w:r>
      <w:proofErr w:type="gramEnd"/>
      <w:r w:rsidR="00457830" w:rsidRPr="00EC6C32">
        <w:rPr>
          <w:sz w:val="22"/>
          <w:szCs w:val="22"/>
        </w:rPr>
        <w:t>.</w:t>
      </w:r>
      <w:r w:rsidR="00A01E35" w:rsidRPr="00EC6C32">
        <w:rPr>
          <w:sz w:val="22"/>
          <w:szCs w:val="22"/>
        </w:rPr>
        <w:t xml:space="preserve"> </w:t>
      </w:r>
      <w:r w:rsidR="00457830" w:rsidRPr="00EC6C32">
        <w:rPr>
          <w:sz w:val="22"/>
          <w:szCs w:val="22"/>
        </w:rPr>
        <w:t xml:space="preserve">Five of </w:t>
      </w:r>
      <w:r w:rsidRPr="00EC6C32">
        <w:rPr>
          <w:sz w:val="22"/>
          <w:szCs w:val="22"/>
        </w:rPr>
        <w:t xml:space="preserve">these </w:t>
      </w:r>
      <w:r w:rsidR="00457830" w:rsidRPr="00EC6C32">
        <w:rPr>
          <w:sz w:val="22"/>
          <w:szCs w:val="22"/>
        </w:rPr>
        <w:t>studies</w:t>
      </w:r>
      <w:r w:rsidRPr="00EC6C32">
        <w:rPr>
          <w:sz w:val="22"/>
          <w:szCs w:val="22"/>
        </w:rPr>
        <w:t xml:space="preserve"> </w:t>
      </w:r>
      <w:proofErr w:type="gramStart"/>
      <w:r w:rsidR="00457830" w:rsidRPr="00EC6C32">
        <w:rPr>
          <w:sz w:val="22"/>
          <w:szCs w:val="22"/>
        </w:rPr>
        <w:t>were subsequently removed</w:t>
      </w:r>
      <w:proofErr w:type="gramEnd"/>
      <w:r w:rsidR="00457830" w:rsidRPr="00EC6C32">
        <w:rPr>
          <w:sz w:val="22"/>
          <w:szCs w:val="22"/>
        </w:rPr>
        <w:t xml:space="preserve"> from the analysis due to study design considerations.  The remaining 10 studies did not </w:t>
      </w:r>
      <w:r w:rsidRPr="00EC6C32">
        <w:rPr>
          <w:sz w:val="22"/>
          <w:szCs w:val="22"/>
        </w:rPr>
        <w:t>present clinically</w:t>
      </w:r>
      <w:r w:rsidR="00457830" w:rsidRPr="00EC6C32">
        <w:rPr>
          <w:sz w:val="22"/>
          <w:szCs w:val="22"/>
        </w:rPr>
        <w:t xml:space="preserve"> or methodologically</w:t>
      </w:r>
      <w:r w:rsidRPr="00EC6C32">
        <w:rPr>
          <w:sz w:val="22"/>
          <w:szCs w:val="22"/>
        </w:rPr>
        <w:t xml:space="preserve"> compelling reasons for exclusion from this analysis.  </w:t>
      </w:r>
      <w:r w:rsidR="00457830" w:rsidRPr="00EC6C32">
        <w:rPr>
          <w:sz w:val="22"/>
          <w:szCs w:val="22"/>
        </w:rPr>
        <w:t xml:space="preserve">The observed heterogeneity was not surprising, given the scope of published literature required for this analysis, with significant variation in study populations, therapeutic strategies, and diagnostic modalities.  </w:t>
      </w:r>
    </w:p>
    <w:p w:rsidR="00AF5CEB" w:rsidRPr="00A21238" w:rsidRDefault="00AF5CEB" w:rsidP="00AF5CEB">
      <w:pPr>
        <w:rPr>
          <w:rFonts w:ascii="Century Gothic" w:hAnsi="Century Gothic" w:cs="Arial"/>
          <w:b/>
          <w:bCs/>
          <w:sz w:val="20"/>
          <w:szCs w:val="20"/>
        </w:rPr>
      </w:pPr>
    </w:p>
    <w:p w:rsidR="00EC2955" w:rsidRPr="00EC6C32" w:rsidRDefault="00AF5CEB" w:rsidP="004B0FC5">
      <w:pPr>
        <w:spacing w:before="60" w:after="60"/>
        <w:rPr>
          <w:sz w:val="22"/>
          <w:szCs w:val="22"/>
        </w:rPr>
      </w:pPr>
      <w:r w:rsidRPr="00EC6C32">
        <w:rPr>
          <w:b/>
          <w:bCs/>
          <w:sz w:val="22"/>
          <w:szCs w:val="22"/>
        </w:rPr>
        <w:t>Me</w:t>
      </w:r>
      <w:r w:rsidR="00A923EA" w:rsidRPr="00EC6C32">
        <w:rPr>
          <w:b/>
          <w:bCs/>
          <w:sz w:val="22"/>
          <w:szCs w:val="22"/>
        </w:rPr>
        <w:t>thods Used to Produce G</w:t>
      </w:r>
      <w:r w:rsidRPr="00EC6C32">
        <w:rPr>
          <w:b/>
          <w:bCs/>
          <w:sz w:val="22"/>
          <w:szCs w:val="22"/>
        </w:rPr>
        <w:t>uideline</w:t>
      </w:r>
      <w:r w:rsidR="00307664" w:rsidRPr="00EC6C32">
        <w:rPr>
          <w:b/>
          <w:sz w:val="22"/>
          <w:szCs w:val="22"/>
        </w:rPr>
        <w:br/>
      </w:r>
      <w:r w:rsidR="00307664" w:rsidRPr="00EC6C32">
        <w:rPr>
          <w:sz w:val="22"/>
          <w:szCs w:val="22"/>
        </w:rPr>
        <w:t>The entire panel met in December 2010 (Chicago, I</w:t>
      </w:r>
      <w:r w:rsidR="007F34E3" w:rsidRPr="00EC6C32">
        <w:rPr>
          <w:sz w:val="22"/>
          <w:szCs w:val="22"/>
        </w:rPr>
        <w:t>llinois</w:t>
      </w:r>
      <w:r w:rsidR="00307664" w:rsidRPr="00EC6C32">
        <w:rPr>
          <w:sz w:val="22"/>
          <w:szCs w:val="22"/>
        </w:rPr>
        <w:t xml:space="preserve">); additional work on the guideline </w:t>
      </w:r>
      <w:proofErr w:type="gramStart"/>
      <w:r w:rsidR="00307664" w:rsidRPr="00EC6C32">
        <w:rPr>
          <w:sz w:val="22"/>
          <w:szCs w:val="22"/>
        </w:rPr>
        <w:t>was completed</w:t>
      </w:r>
      <w:proofErr w:type="gramEnd"/>
      <w:r w:rsidR="00307664" w:rsidRPr="00EC6C32">
        <w:rPr>
          <w:sz w:val="22"/>
          <w:szCs w:val="22"/>
        </w:rPr>
        <w:t xml:space="preserve"> through electronic mail and monthly teleconferences of the co-chairs and/or expert panel. The purposes of the panel meeting were to refine the questions addressed by the guideline, solicit input and testimony from the non-writing advisory board, and to make writing assignments for the respective sections. All members of the </w:t>
      </w:r>
      <w:r w:rsidR="00A36436" w:rsidRPr="00EC6C32">
        <w:rPr>
          <w:sz w:val="22"/>
          <w:szCs w:val="22"/>
        </w:rPr>
        <w:t xml:space="preserve">expert </w:t>
      </w:r>
      <w:r w:rsidR="00307664" w:rsidRPr="00EC6C32">
        <w:rPr>
          <w:sz w:val="22"/>
          <w:szCs w:val="22"/>
        </w:rPr>
        <w:t xml:space="preserve">panel participated in the preparation of </w:t>
      </w:r>
      <w:r w:rsidR="00A36436" w:rsidRPr="00EC6C32">
        <w:rPr>
          <w:sz w:val="22"/>
          <w:szCs w:val="22"/>
        </w:rPr>
        <w:t xml:space="preserve">section of </w:t>
      </w:r>
      <w:r w:rsidR="00307664" w:rsidRPr="00EC6C32">
        <w:rPr>
          <w:sz w:val="22"/>
          <w:szCs w:val="22"/>
        </w:rPr>
        <w:t>the draft guidel</w:t>
      </w:r>
      <w:r w:rsidR="00A36436" w:rsidRPr="00EC6C32">
        <w:rPr>
          <w:sz w:val="22"/>
          <w:szCs w:val="22"/>
        </w:rPr>
        <w:t>ine. The expert panel then reviewed the guideline in its entirety</w:t>
      </w:r>
      <w:r w:rsidR="00307664" w:rsidRPr="00EC6C32">
        <w:rPr>
          <w:sz w:val="22"/>
          <w:szCs w:val="22"/>
        </w:rPr>
        <w:t xml:space="preserve">. </w:t>
      </w:r>
      <w:r w:rsidR="00E8310C" w:rsidRPr="00EC6C32">
        <w:rPr>
          <w:sz w:val="22"/>
          <w:szCs w:val="22"/>
        </w:rPr>
        <w:t xml:space="preserve">The co-chairs met face-to-face in New York City, NY to discuss the grading of the recommendations.  </w:t>
      </w:r>
      <w:r w:rsidR="00307664" w:rsidRPr="00EC6C32">
        <w:rPr>
          <w:sz w:val="22"/>
          <w:szCs w:val="22"/>
        </w:rPr>
        <w:t xml:space="preserve">Feedback </w:t>
      </w:r>
      <w:r w:rsidR="00E8310C" w:rsidRPr="00EC6C32">
        <w:rPr>
          <w:sz w:val="22"/>
          <w:szCs w:val="22"/>
        </w:rPr>
        <w:t xml:space="preserve">on the draft recommendations </w:t>
      </w:r>
      <w:proofErr w:type="gramStart"/>
      <w:r w:rsidR="00E8310C" w:rsidRPr="00EC6C32">
        <w:rPr>
          <w:sz w:val="22"/>
          <w:szCs w:val="22"/>
        </w:rPr>
        <w:t>was solicited</w:t>
      </w:r>
      <w:proofErr w:type="gramEnd"/>
      <w:r w:rsidR="00E8310C" w:rsidRPr="00EC6C32">
        <w:rPr>
          <w:sz w:val="22"/>
          <w:szCs w:val="22"/>
        </w:rPr>
        <w:t xml:space="preserve"> </w:t>
      </w:r>
      <w:r w:rsidR="00307664" w:rsidRPr="00EC6C32">
        <w:rPr>
          <w:sz w:val="22"/>
          <w:szCs w:val="22"/>
        </w:rPr>
        <w:t>f</w:t>
      </w:r>
      <w:r w:rsidR="00E8310C" w:rsidRPr="00EC6C32">
        <w:rPr>
          <w:sz w:val="22"/>
          <w:szCs w:val="22"/>
        </w:rPr>
        <w:t>rom external reviewers</w:t>
      </w:r>
      <w:r w:rsidR="00307664" w:rsidRPr="00EC6C32">
        <w:rPr>
          <w:sz w:val="22"/>
          <w:szCs w:val="22"/>
        </w:rPr>
        <w:t xml:space="preserve">. </w:t>
      </w:r>
      <w:r w:rsidR="00E8310C" w:rsidRPr="00EC6C32">
        <w:rPr>
          <w:sz w:val="22"/>
          <w:szCs w:val="22"/>
        </w:rPr>
        <w:t xml:space="preserve">The </w:t>
      </w:r>
      <w:r w:rsidR="004B0FC5" w:rsidRPr="00EC6C32">
        <w:rPr>
          <w:sz w:val="22"/>
          <w:szCs w:val="22"/>
        </w:rPr>
        <w:t xml:space="preserve">open comment period </w:t>
      </w:r>
      <w:proofErr w:type="gramStart"/>
      <w:r w:rsidR="004B0FC5" w:rsidRPr="00EC6C32">
        <w:rPr>
          <w:sz w:val="22"/>
          <w:szCs w:val="22"/>
        </w:rPr>
        <w:t>was held</w:t>
      </w:r>
      <w:proofErr w:type="gramEnd"/>
      <w:r w:rsidR="004B0FC5" w:rsidRPr="00EC6C32">
        <w:rPr>
          <w:sz w:val="22"/>
          <w:szCs w:val="22"/>
        </w:rPr>
        <w:t xml:space="preserve"> from November 21, 2011 to December 20, 2011.  An announcement </w:t>
      </w:r>
      <w:proofErr w:type="gramStart"/>
      <w:r w:rsidR="004B0FC5" w:rsidRPr="00EC6C32">
        <w:rPr>
          <w:sz w:val="22"/>
          <w:szCs w:val="22"/>
        </w:rPr>
        <w:t>was sent</w:t>
      </w:r>
      <w:proofErr w:type="gramEnd"/>
      <w:r w:rsidR="004B0FC5" w:rsidRPr="00EC6C32">
        <w:rPr>
          <w:sz w:val="22"/>
          <w:szCs w:val="22"/>
        </w:rPr>
        <w:t xml:space="preserve"> to the following organizations:  </w:t>
      </w:r>
    </w:p>
    <w:p w:rsidR="00EC2955" w:rsidRPr="00EC6C32" w:rsidRDefault="00EC2955" w:rsidP="00DA7A37">
      <w:pPr>
        <w:pStyle w:val="ListParagraph"/>
        <w:numPr>
          <w:ilvl w:val="0"/>
          <w:numId w:val="5"/>
        </w:numPr>
        <w:tabs>
          <w:tab w:val="left" w:pos="1440"/>
        </w:tabs>
        <w:contextualSpacing/>
        <w:rPr>
          <w:rFonts w:ascii="Times New Roman" w:hAnsi="Times New Roman"/>
        </w:rPr>
      </w:pPr>
      <w:r w:rsidRPr="00EC6C32">
        <w:rPr>
          <w:rFonts w:ascii="Times New Roman" w:hAnsi="Times New Roman"/>
        </w:rPr>
        <w:t>CAP Board of Governors, Councils, Committees and Membership</w:t>
      </w:r>
    </w:p>
    <w:p w:rsidR="00EC2955" w:rsidRPr="00EC6C32" w:rsidRDefault="00EC2955" w:rsidP="00DA7A37">
      <w:pPr>
        <w:pStyle w:val="ListParagraph"/>
        <w:numPr>
          <w:ilvl w:val="0"/>
          <w:numId w:val="5"/>
        </w:numPr>
        <w:contextualSpacing/>
        <w:rPr>
          <w:rFonts w:ascii="Times New Roman" w:hAnsi="Times New Roman"/>
        </w:rPr>
      </w:pPr>
      <w:r w:rsidRPr="00EC6C32">
        <w:rPr>
          <w:rFonts w:ascii="Times New Roman" w:hAnsi="Times New Roman"/>
        </w:rPr>
        <w:t xml:space="preserve">International Association for the Study of Lung Cancer (IASLC) </w:t>
      </w:r>
    </w:p>
    <w:p w:rsidR="00EC2955" w:rsidRPr="00EC6C32" w:rsidRDefault="00EC2955" w:rsidP="00DA7A37">
      <w:pPr>
        <w:pStyle w:val="ListParagraph"/>
        <w:numPr>
          <w:ilvl w:val="0"/>
          <w:numId w:val="5"/>
        </w:numPr>
        <w:contextualSpacing/>
        <w:rPr>
          <w:rFonts w:ascii="Times New Roman" w:hAnsi="Times New Roman"/>
        </w:rPr>
      </w:pPr>
      <w:r w:rsidRPr="00EC6C32">
        <w:rPr>
          <w:rFonts w:ascii="Times New Roman" w:hAnsi="Times New Roman"/>
        </w:rPr>
        <w:t xml:space="preserve">Association for Molecular Pathology (AMP) </w:t>
      </w:r>
    </w:p>
    <w:p w:rsidR="00EC2955" w:rsidRPr="00EC6C32" w:rsidRDefault="00EC2955" w:rsidP="00DA7A37">
      <w:pPr>
        <w:pStyle w:val="ListParagraph"/>
        <w:numPr>
          <w:ilvl w:val="0"/>
          <w:numId w:val="5"/>
        </w:numPr>
        <w:contextualSpacing/>
        <w:rPr>
          <w:rFonts w:ascii="Times New Roman" w:hAnsi="Times New Roman"/>
        </w:rPr>
      </w:pPr>
      <w:r w:rsidRPr="00EC6C32">
        <w:rPr>
          <w:rFonts w:ascii="Times New Roman" w:hAnsi="Times New Roman"/>
        </w:rPr>
        <w:t>American Society for Clinical Oncology (ASCO)</w:t>
      </w:r>
    </w:p>
    <w:p w:rsidR="00EC2955" w:rsidRPr="00EC6C32" w:rsidRDefault="00EC2955" w:rsidP="00DA7A37">
      <w:pPr>
        <w:pStyle w:val="ListParagraph"/>
        <w:numPr>
          <w:ilvl w:val="0"/>
          <w:numId w:val="5"/>
        </w:numPr>
        <w:contextualSpacing/>
        <w:rPr>
          <w:rFonts w:ascii="Times New Roman" w:hAnsi="Times New Roman"/>
        </w:rPr>
      </w:pPr>
      <w:r w:rsidRPr="00EC6C32">
        <w:rPr>
          <w:rFonts w:ascii="Times New Roman" w:hAnsi="Times New Roman"/>
        </w:rPr>
        <w:t>American Society for Clinical Pathology (ASCP)</w:t>
      </w:r>
    </w:p>
    <w:p w:rsidR="00EC2955" w:rsidRPr="00EC6C32" w:rsidRDefault="00EC2955" w:rsidP="00DA7A37">
      <w:pPr>
        <w:pStyle w:val="ListParagraph"/>
        <w:numPr>
          <w:ilvl w:val="0"/>
          <w:numId w:val="5"/>
        </w:numPr>
        <w:contextualSpacing/>
        <w:rPr>
          <w:rFonts w:ascii="Times New Roman" w:hAnsi="Times New Roman"/>
        </w:rPr>
      </w:pPr>
      <w:r w:rsidRPr="00EC6C32">
        <w:rPr>
          <w:rFonts w:ascii="Times New Roman" w:hAnsi="Times New Roman"/>
        </w:rPr>
        <w:t>US Food and Drug Administration (FDA)</w:t>
      </w:r>
    </w:p>
    <w:p w:rsidR="00EC2955" w:rsidRPr="00EC6C32" w:rsidRDefault="00EC2955" w:rsidP="00DA7A37">
      <w:pPr>
        <w:pStyle w:val="ListParagraph"/>
        <w:numPr>
          <w:ilvl w:val="0"/>
          <w:numId w:val="5"/>
        </w:numPr>
        <w:contextualSpacing/>
        <w:rPr>
          <w:rFonts w:ascii="Times New Roman" w:hAnsi="Times New Roman"/>
        </w:rPr>
      </w:pPr>
      <w:r w:rsidRPr="00EC6C32">
        <w:rPr>
          <w:rFonts w:ascii="Times New Roman" w:hAnsi="Times New Roman"/>
        </w:rPr>
        <w:t>United States &amp; Canadian Academy of Pathology (USCAP)</w:t>
      </w:r>
    </w:p>
    <w:p w:rsidR="00EC2955" w:rsidRPr="00EC6C32" w:rsidRDefault="00EC2955" w:rsidP="00DA7A37">
      <w:pPr>
        <w:pStyle w:val="ListParagraph"/>
        <w:numPr>
          <w:ilvl w:val="0"/>
          <w:numId w:val="5"/>
        </w:numPr>
        <w:contextualSpacing/>
        <w:rPr>
          <w:rFonts w:ascii="Times New Roman" w:hAnsi="Times New Roman"/>
        </w:rPr>
      </w:pPr>
      <w:r w:rsidRPr="00EC6C32">
        <w:rPr>
          <w:rFonts w:ascii="Times New Roman" w:hAnsi="Times New Roman"/>
        </w:rPr>
        <w:t>American Cancer Society</w:t>
      </w:r>
    </w:p>
    <w:p w:rsidR="00EC2955" w:rsidRPr="00EC6C32" w:rsidRDefault="00EC2955" w:rsidP="00DA7A37">
      <w:pPr>
        <w:pStyle w:val="ListParagraph"/>
        <w:numPr>
          <w:ilvl w:val="0"/>
          <w:numId w:val="5"/>
        </w:numPr>
        <w:contextualSpacing/>
        <w:rPr>
          <w:rFonts w:ascii="Times New Roman" w:hAnsi="Times New Roman"/>
        </w:rPr>
      </w:pPr>
      <w:r w:rsidRPr="00EC6C32">
        <w:rPr>
          <w:rFonts w:ascii="Times New Roman" w:hAnsi="Times New Roman"/>
        </w:rPr>
        <w:t>American Lung Association</w:t>
      </w:r>
    </w:p>
    <w:p w:rsidR="00EC2955" w:rsidRPr="00EC6C32" w:rsidRDefault="00EC2955" w:rsidP="00DA7A37">
      <w:pPr>
        <w:pStyle w:val="ListParagraph"/>
        <w:numPr>
          <w:ilvl w:val="0"/>
          <w:numId w:val="5"/>
        </w:numPr>
        <w:contextualSpacing/>
        <w:rPr>
          <w:rFonts w:ascii="Times New Roman" w:hAnsi="Times New Roman"/>
        </w:rPr>
      </w:pPr>
      <w:r w:rsidRPr="00EC6C32">
        <w:rPr>
          <w:rFonts w:ascii="Times New Roman" w:hAnsi="Times New Roman"/>
        </w:rPr>
        <w:t>National Lung Cancer Partnership</w:t>
      </w:r>
    </w:p>
    <w:p w:rsidR="00EC2955" w:rsidRPr="00EC6C32" w:rsidRDefault="00EC2955" w:rsidP="00DA7A37">
      <w:pPr>
        <w:pStyle w:val="ListParagraph"/>
        <w:numPr>
          <w:ilvl w:val="0"/>
          <w:numId w:val="5"/>
        </w:numPr>
        <w:contextualSpacing/>
        <w:rPr>
          <w:rFonts w:ascii="Times New Roman" w:hAnsi="Times New Roman"/>
        </w:rPr>
      </w:pPr>
      <w:r w:rsidRPr="00EC6C32">
        <w:rPr>
          <w:rFonts w:ascii="Times New Roman" w:hAnsi="Times New Roman"/>
        </w:rPr>
        <w:t>Lung Cancer Foundation of America</w:t>
      </w:r>
    </w:p>
    <w:p w:rsidR="00EC2955" w:rsidRPr="00EC6C32" w:rsidRDefault="00EC2955" w:rsidP="00DA7A37">
      <w:pPr>
        <w:pStyle w:val="ListParagraph"/>
        <w:numPr>
          <w:ilvl w:val="0"/>
          <w:numId w:val="5"/>
        </w:numPr>
        <w:contextualSpacing/>
        <w:rPr>
          <w:rFonts w:ascii="Times New Roman" w:hAnsi="Times New Roman"/>
        </w:rPr>
      </w:pPr>
      <w:r w:rsidRPr="00EC6C32">
        <w:rPr>
          <w:rFonts w:ascii="Times New Roman" w:hAnsi="Times New Roman"/>
        </w:rPr>
        <w:t>Uniting Against Lung Cancer</w:t>
      </w:r>
    </w:p>
    <w:p w:rsidR="00EC2955" w:rsidRPr="00EC6C32" w:rsidRDefault="00EC2955" w:rsidP="00DA7A37">
      <w:pPr>
        <w:pStyle w:val="ListParagraph"/>
        <w:numPr>
          <w:ilvl w:val="0"/>
          <w:numId w:val="5"/>
        </w:numPr>
        <w:contextualSpacing/>
        <w:rPr>
          <w:rFonts w:ascii="Times New Roman" w:hAnsi="Times New Roman"/>
        </w:rPr>
      </w:pPr>
      <w:proofErr w:type="spellStart"/>
      <w:r w:rsidRPr="00EC6C32">
        <w:rPr>
          <w:rFonts w:ascii="Times New Roman" w:hAnsi="Times New Roman"/>
        </w:rPr>
        <w:t>Addario</w:t>
      </w:r>
      <w:proofErr w:type="spellEnd"/>
      <w:r w:rsidRPr="00EC6C32">
        <w:rPr>
          <w:rFonts w:ascii="Times New Roman" w:hAnsi="Times New Roman"/>
        </w:rPr>
        <w:t xml:space="preserve"> Lung Cancer Medical Institute (ALCMI)</w:t>
      </w:r>
    </w:p>
    <w:p w:rsidR="00EC2955" w:rsidRPr="00EC6C32" w:rsidRDefault="00EC2955" w:rsidP="00DA7A37">
      <w:pPr>
        <w:pStyle w:val="ListParagraph"/>
        <w:numPr>
          <w:ilvl w:val="0"/>
          <w:numId w:val="5"/>
        </w:numPr>
        <w:contextualSpacing/>
        <w:rPr>
          <w:rFonts w:ascii="Times New Roman" w:hAnsi="Times New Roman"/>
        </w:rPr>
      </w:pPr>
      <w:r w:rsidRPr="00EC6C32">
        <w:rPr>
          <w:rFonts w:ascii="Times New Roman" w:hAnsi="Times New Roman"/>
        </w:rPr>
        <w:t>European Society for Medical Oncology (ESMO)</w:t>
      </w:r>
    </w:p>
    <w:p w:rsidR="008543D0" w:rsidRPr="00EC6C32" w:rsidRDefault="00EC2955" w:rsidP="00CA4311">
      <w:pPr>
        <w:pStyle w:val="ListParagraph"/>
        <w:numPr>
          <w:ilvl w:val="0"/>
          <w:numId w:val="5"/>
        </w:numPr>
        <w:contextualSpacing/>
        <w:rPr>
          <w:rFonts w:ascii="Times New Roman" w:hAnsi="Times New Roman"/>
        </w:rPr>
      </w:pPr>
      <w:r w:rsidRPr="00EC6C32">
        <w:rPr>
          <w:rFonts w:ascii="Times New Roman" w:hAnsi="Times New Roman"/>
        </w:rPr>
        <w:t>American Association for Clinical Chemistry (AACC)</w:t>
      </w:r>
    </w:p>
    <w:p w:rsidR="00AE7F16" w:rsidRPr="00EC6C32" w:rsidRDefault="00EC2955" w:rsidP="00F57604">
      <w:pPr>
        <w:spacing w:before="120" w:after="60"/>
        <w:rPr>
          <w:sz w:val="22"/>
          <w:szCs w:val="22"/>
        </w:rPr>
      </w:pPr>
      <w:r w:rsidRPr="00EC6C32">
        <w:rPr>
          <w:sz w:val="22"/>
          <w:szCs w:val="22"/>
        </w:rPr>
        <w:t>The website received 528 comments in total. The expert panel co-chairs</w:t>
      </w:r>
      <w:r w:rsidR="001927FE" w:rsidRPr="00EC6C32">
        <w:rPr>
          <w:sz w:val="22"/>
          <w:szCs w:val="22"/>
        </w:rPr>
        <w:t xml:space="preserve"> </w:t>
      </w:r>
      <w:r w:rsidRPr="00EC6C32">
        <w:rPr>
          <w:sz w:val="22"/>
          <w:szCs w:val="22"/>
        </w:rPr>
        <w:t>reviewed all comme</w:t>
      </w:r>
      <w:r w:rsidR="001927FE" w:rsidRPr="00EC6C32">
        <w:rPr>
          <w:sz w:val="22"/>
          <w:szCs w:val="22"/>
        </w:rPr>
        <w:t xml:space="preserve">nts and responses (i.e., agreed, disagreed or </w:t>
      </w:r>
      <w:r w:rsidRPr="00EC6C32">
        <w:rPr>
          <w:sz w:val="22"/>
          <w:szCs w:val="22"/>
        </w:rPr>
        <w:t>unsure</w:t>
      </w:r>
      <w:r w:rsidR="001927FE" w:rsidRPr="00EC6C32">
        <w:rPr>
          <w:sz w:val="22"/>
          <w:szCs w:val="22"/>
        </w:rPr>
        <w:t>)</w:t>
      </w:r>
      <w:r w:rsidRPr="00EC6C32">
        <w:rPr>
          <w:sz w:val="22"/>
          <w:szCs w:val="22"/>
        </w:rPr>
        <w:t xml:space="preserve">. The </w:t>
      </w:r>
      <w:r w:rsidR="001927FE" w:rsidRPr="00EC6C32">
        <w:rPr>
          <w:sz w:val="22"/>
          <w:szCs w:val="22"/>
        </w:rPr>
        <w:t xml:space="preserve">co-chairs </w:t>
      </w:r>
      <w:r w:rsidRPr="00EC6C32">
        <w:rPr>
          <w:sz w:val="22"/>
          <w:szCs w:val="22"/>
        </w:rPr>
        <w:t xml:space="preserve">documented </w:t>
      </w:r>
      <w:r w:rsidR="001927FE" w:rsidRPr="00EC6C32">
        <w:rPr>
          <w:sz w:val="22"/>
          <w:szCs w:val="22"/>
        </w:rPr>
        <w:t xml:space="preserve">their action for each recommendation </w:t>
      </w:r>
      <w:r w:rsidRPr="00EC6C32">
        <w:rPr>
          <w:sz w:val="22"/>
          <w:szCs w:val="22"/>
        </w:rPr>
        <w:t xml:space="preserve">as maintain original recommendation; revise with minor language change, or consider </w:t>
      </w:r>
      <w:r w:rsidRPr="00EC6C32">
        <w:rPr>
          <w:sz w:val="22"/>
          <w:szCs w:val="22"/>
        </w:rPr>
        <w:lastRenderedPageBreak/>
        <w:t>major recommendation change. The expert panel co-chairs then met with the</w:t>
      </w:r>
      <w:r w:rsidR="001927FE" w:rsidRPr="00EC6C32">
        <w:rPr>
          <w:sz w:val="22"/>
          <w:szCs w:val="22"/>
        </w:rPr>
        <w:t xml:space="preserve"> expert panel via WebEx </w:t>
      </w:r>
      <w:r w:rsidRPr="00EC6C32">
        <w:rPr>
          <w:sz w:val="22"/>
          <w:szCs w:val="22"/>
        </w:rPr>
        <w:t>to discuss their decision</w:t>
      </w:r>
      <w:r w:rsidR="00990F08" w:rsidRPr="00EC6C32">
        <w:rPr>
          <w:sz w:val="22"/>
          <w:szCs w:val="22"/>
        </w:rPr>
        <w:t>s</w:t>
      </w:r>
      <w:r w:rsidRPr="00EC6C32">
        <w:rPr>
          <w:sz w:val="22"/>
          <w:szCs w:val="22"/>
        </w:rPr>
        <w:t xml:space="preserve"> to address </w:t>
      </w:r>
      <w:r w:rsidR="00990F08" w:rsidRPr="00EC6C32">
        <w:rPr>
          <w:sz w:val="22"/>
          <w:szCs w:val="22"/>
        </w:rPr>
        <w:t xml:space="preserve">these </w:t>
      </w:r>
      <w:r w:rsidRPr="00EC6C32">
        <w:rPr>
          <w:sz w:val="22"/>
          <w:szCs w:val="22"/>
        </w:rPr>
        <w:t>comments</w:t>
      </w:r>
      <w:r w:rsidR="00132FB4" w:rsidRPr="00EC6C32">
        <w:rPr>
          <w:sz w:val="22"/>
          <w:szCs w:val="22"/>
        </w:rPr>
        <w:t xml:space="preserve"> and finalize the recommendations</w:t>
      </w:r>
      <w:r w:rsidRPr="00EC6C32">
        <w:rPr>
          <w:sz w:val="22"/>
          <w:szCs w:val="22"/>
        </w:rPr>
        <w:t xml:space="preserve">. </w:t>
      </w:r>
      <w:r w:rsidR="007C0800" w:rsidRPr="00EC6C32">
        <w:rPr>
          <w:sz w:val="22"/>
          <w:szCs w:val="22"/>
        </w:rPr>
        <w:t xml:space="preserve">The guideline and method supplement </w:t>
      </w:r>
      <w:proofErr w:type="gramStart"/>
      <w:r w:rsidR="007C0800" w:rsidRPr="00EC6C32">
        <w:rPr>
          <w:sz w:val="22"/>
          <w:szCs w:val="22"/>
        </w:rPr>
        <w:t xml:space="preserve">were reviewed by a CAP independent review panel and approved by the CAP Transformation Program Office Steering Committee, by the IASLC </w:t>
      </w:r>
      <w:r w:rsidR="00132FB4" w:rsidRPr="00EC6C32">
        <w:rPr>
          <w:sz w:val="22"/>
          <w:szCs w:val="22"/>
        </w:rPr>
        <w:t>B</w:t>
      </w:r>
      <w:r w:rsidR="007C0800" w:rsidRPr="00EC6C32">
        <w:rPr>
          <w:sz w:val="22"/>
          <w:szCs w:val="22"/>
        </w:rPr>
        <w:t xml:space="preserve">oard of </w:t>
      </w:r>
      <w:r w:rsidR="00132FB4" w:rsidRPr="00EC6C32">
        <w:rPr>
          <w:sz w:val="22"/>
          <w:szCs w:val="22"/>
        </w:rPr>
        <w:t>D</w:t>
      </w:r>
      <w:r w:rsidR="007C0800" w:rsidRPr="00EC6C32">
        <w:rPr>
          <w:sz w:val="22"/>
          <w:szCs w:val="22"/>
        </w:rPr>
        <w:t xml:space="preserve">irectors, and by the AMP Clinical Practice Committee and </w:t>
      </w:r>
      <w:r w:rsidR="00132FB4" w:rsidRPr="00EC6C32">
        <w:rPr>
          <w:sz w:val="22"/>
          <w:szCs w:val="22"/>
        </w:rPr>
        <w:t>E</w:t>
      </w:r>
      <w:r w:rsidR="007C0800" w:rsidRPr="00EC6C32">
        <w:rPr>
          <w:sz w:val="22"/>
          <w:szCs w:val="22"/>
        </w:rPr>
        <w:t xml:space="preserve">xecutive </w:t>
      </w:r>
      <w:r w:rsidR="00132FB4" w:rsidRPr="00EC6C32">
        <w:rPr>
          <w:sz w:val="22"/>
          <w:szCs w:val="22"/>
        </w:rPr>
        <w:t>C</w:t>
      </w:r>
      <w:r w:rsidR="007C0800" w:rsidRPr="00EC6C32">
        <w:rPr>
          <w:sz w:val="22"/>
          <w:szCs w:val="22"/>
        </w:rPr>
        <w:t>ouncil</w:t>
      </w:r>
      <w:proofErr w:type="gramEnd"/>
      <w:r w:rsidR="007C0800" w:rsidRPr="00EC6C32">
        <w:rPr>
          <w:sz w:val="22"/>
          <w:szCs w:val="22"/>
        </w:rPr>
        <w:t xml:space="preserve">.  </w:t>
      </w:r>
    </w:p>
    <w:p w:rsidR="00132FB4" w:rsidRPr="00A21238" w:rsidRDefault="00132FB4">
      <w:pPr>
        <w:rPr>
          <w:rFonts w:ascii="Century Gothic" w:hAnsi="Century Gothic"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6427F" w:rsidRPr="00A21238" w:rsidTr="00EC6C32">
        <w:tc>
          <w:tcPr>
            <w:tcW w:w="5000" w:type="pct"/>
            <w:vAlign w:val="center"/>
          </w:tcPr>
          <w:p w:rsidR="007126D2" w:rsidRPr="00EC6C32" w:rsidRDefault="009B07EF" w:rsidP="00373B5C">
            <w:pPr>
              <w:rPr>
                <w:b/>
                <w:sz w:val="22"/>
                <w:szCs w:val="22"/>
              </w:rPr>
            </w:pPr>
            <w:r w:rsidRPr="00EC6C32">
              <w:rPr>
                <w:b/>
                <w:sz w:val="22"/>
                <w:szCs w:val="22"/>
              </w:rPr>
              <w:t>1</w:t>
            </w:r>
            <w:r w:rsidR="005B12D6" w:rsidRPr="00EC6C32">
              <w:rPr>
                <w:b/>
                <w:sz w:val="22"/>
                <w:szCs w:val="22"/>
              </w:rPr>
              <w:t>.1</w:t>
            </w:r>
            <w:r w:rsidR="00D12638" w:rsidRPr="00EC6C32">
              <w:rPr>
                <w:b/>
                <w:sz w:val="22"/>
                <w:szCs w:val="22"/>
              </w:rPr>
              <w:t>a</w:t>
            </w:r>
            <w:r w:rsidR="00791C7B" w:rsidRPr="00EC6C32">
              <w:rPr>
                <w:b/>
                <w:sz w:val="22"/>
                <w:szCs w:val="22"/>
              </w:rPr>
              <w:t xml:space="preserve">: </w:t>
            </w:r>
            <w:r w:rsidR="005B12D6" w:rsidRPr="00EC6C32">
              <w:rPr>
                <w:b/>
                <w:sz w:val="22"/>
                <w:szCs w:val="22"/>
              </w:rPr>
              <w:t xml:space="preserve"> Recommendation</w:t>
            </w:r>
            <w:r w:rsidR="002B6F31" w:rsidRPr="00EC6C32">
              <w:rPr>
                <w:b/>
                <w:sz w:val="22"/>
                <w:szCs w:val="22"/>
              </w:rPr>
              <w:t>:</w:t>
            </w:r>
            <w:r w:rsidR="005B12D6" w:rsidRPr="00EC6C32">
              <w:rPr>
                <w:b/>
                <w:sz w:val="22"/>
                <w:szCs w:val="22"/>
              </w:rPr>
              <w:t xml:space="preserve"> </w:t>
            </w:r>
            <w:r w:rsidR="00791C7B" w:rsidRPr="00EC6C32">
              <w:rPr>
                <w:b/>
                <w:sz w:val="22"/>
                <w:szCs w:val="22"/>
              </w:rPr>
              <w:t xml:space="preserve"> </w:t>
            </w:r>
            <w:r w:rsidR="007126D2" w:rsidRPr="00EC6C32">
              <w:rPr>
                <w:b/>
                <w:i/>
                <w:sz w:val="22"/>
                <w:szCs w:val="22"/>
              </w:rPr>
              <w:t>EGFR</w:t>
            </w:r>
            <w:r w:rsidR="007126D2" w:rsidRPr="00EC6C32">
              <w:rPr>
                <w:b/>
                <w:sz w:val="22"/>
                <w:szCs w:val="22"/>
              </w:rPr>
              <w:t xml:space="preserve"> molecular testing should be used to select patients for </w:t>
            </w:r>
            <w:r w:rsidR="007126D2" w:rsidRPr="00B8122E">
              <w:rPr>
                <w:b/>
                <w:sz w:val="22"/>
                <w:szCs w:val="22"/>
              </w:rPr>
              <w:t>EGFR-</w:t>
            </w:r>
            <w:r w:rsidR="007126D2" w:rsidRPr="00EC6C32">
              <w:rPr>
                <w:b/>
                <w:sz w:val="22"/>
                <w:szCs w:val="22"/>
              </w:rPr>
              <w:t xml:space="preserve">targeted </w:t>
            </w:r>
            <w:r w:rsidR="00373B5C">
              <w:rPr>
                <w:b/>
                <w:sz w:val="22"/>
                <w:szCs w:val="22"/>
              </w:rPr>
              <w:t>TKI</w:t>
            </w:r>
            <w:r w:rsidR="002E6042" w:rsidRPr="00EC6C32">
              <w:rPr>
                <w:b/>
                <w:sz w:val="22"/>
                <w:szCs w:val="22"/>
              </w:rPr>
              <w:t xml:space="preserve"> therapy, </w:t>
            </w:r>
            <w:r w:rsidR="00373B5C">
              <w:rPr>
                <w:b/>
                <w:sz w:val="22"/>
                <w:szCs w:val="22"/>
              </w:rPr>
              <w:t xml:space="preserve">and </w:t>
            </w:r>
            <w:r w:rsidR="007126D2" w:rsidRPr="00EC6C32">
              <w:rPr>
                <w:b/>
                <w:sz w:val="22"/>
                <w:szCs w:val="22"/>
              </w:rPr>
              <w:t xml:space="preserve">patients with lung adenocarcinoma should not be excluded from testing </w:t>
            </w:r>
            <w:proofErr w:type="gramStart"/>
            <w:r w:rsidR="00373B5C">
              <w:rPr>
                <w:b/>
                <w:sz w:val="22"/>
                <w:szCs w:val="22"/>
              </w:rPr>
              <w:t>on the basis of</w:t>
            </w:r>
            <w:proofErr w:type="gramEnd"/>
            <w:r w:rsidR="00373B5C">
              <w:rPr>
                <w:b/>
                <w:sz w:val="22"/>
                <w:szCs w:val="22"/>
              </w:rPr>
              <w:t xml:space="preserve"> </w:t>
            </w:r>
            <w:r w:rsidR="007126D2" w:rsidRPr="00EC6C32">
              <w:rPr>
                <w:b/>
                <w:sz w:val="22"/>
                <w:szCs w:val="22"/>
              </w:rPr>
              <w:t xml:space="preserve">clinical characteristics.  </w:t>
            </w:r>
          </w:p>
        </w:tc>
      </w:tr>
      <w:tr w:rsidR="0086427F" w:rsidRPr="00A21238" w:rsidTr="00EC6C32">
        <w:tc>
          <w:tcPr>
            <w:tcW w:w="5000" w:type="pct"/>
            <w:vAlign w:val="center"/>
          </w:tcPr>
          <w:p w:rsidR="009B07EF" w:rsidRPr="00EC6C32" w:rsidRDefault="009B07EF" w:rsidP="006A766C">
            <w:pPr>
              <w:rPr>
                <w:sz w:val="22"/>
                <w:szCs w:val="22"/>
              </w:rPr>
            </w:pPr>
            <w:r w:rsidRPr="00EC6C32">
              <w:rPr>
                <w:b/>
                <w:bCs/>
                <w:sz w:val="22"/>
                <w:szCs w:val="22"/>
              </w:rPr>
              <w:t xml:space="preserve">Evidence base: </w:t>
            </w:r>
            <w:r w:rsidR="006A766C" w:rsidRPr="00EC6C32">
              <w:rPr>
                <w:b/>
                <w:bCs/>
                <w:sz w:val="22"/>
                <w:szCs w:val="22"/>
              </w:rPr>
              <w:t>A</w:t>
            </w:r>
          </w:p>
        </w:tc>
      </w:tr>
      <w:tr w:rsidR="0086427F" w:rsidRPr="00A21238" w:rsidTr="00EC6C32">
        <w:tc>
          <w:tcPr>
            <w:tcW w:w="5000" w:type="pct"/>
            <w:vAlign w:val="center"/>
          </w:tcPr>
          <w:p w:rsidR="009B07EF" w:rsidRPr="00EC6C32" w:rsidRDefault="009B07EF" w:rsidP="006A766C">
            <w:pPr>
              <w:rPr>
                <w:sz w:val="22"/>
                <w:szCs w:val="22"/>
              </w:rPr>
            </w:pPr>
            <w:r w:rsidRPr="00EC6C32">
              <w:rPr>
                <w:b/>
                <w:bCs/>
                <w:sz w:val="22"/>
                <w:szCs w:val="22"/>
              </w:rPr>
              <w:t xml:space="preserve">Consistency: </w:t>
            </w:r>
            <w:r w:rsidR="006A766C" w:rsidRPr="00EC6C32">
              <w:rPr>
                <w:b/>
                <w:bCs/>
                <w:sz w:val="22"/>
                <w:szCs w:val="22"/>
              </w:rPr>
              <w:t>A</w:t>
            </w:r>
          </w:p>
        </w:tc>
      </w:tr>
      <w:tr w:rsidR="0086427F" w:rsidRPr="00A21238" w:rsidTr="00EC6C32">
        <w:tc>
          <w:tcPr>
            <w:tcW w:w="5000" w:type="pct"/>
            <w:vAlign w:val="center"/>
          </w:tcPr>
          <w:p w:rsidR="009B07EF" w:rsidRPr="00EC6C32" w:rsidRDefault="009B07EF" w:rsidP="00750DE4">
            <w:pPr>
              <w:rPr>
                <w:b/>
                <w:bCs/>
                <w:sz w:val="22"/>
                <w:szCs w:val="22"/>
              </w:rPr>
            </w:pPr>
            <w:r w:rsidRPr="00EC6C32">
              <w:rPr>
                <w:b/>
                <w:bCs/>
                <w:sz w:val="22"/>
                <w:szCs w:val="22"/>
              </w:rPr>
              <w:t>Clinical impact: A</w:t>
            </w:r>
          </w:p>
        </w:tc>
      </w:tr>
      <w:tr w:rsidR="0086427F" w:rsidRPr="00A21238" w:rsidTr="00EC6C32">
        <w:tc>
          <w:tcPr>
            <w:tcW w:w="5000" w:type="pct"/>
            <w:vAlign w:val="center"/>
          </w:tcPr>
          <w:p w:rsidR="009B07EF" w:rsidRPr="00EC6C32" w:rsidRDefault="009B07EF" w:rsidP="00750DE4">
            <w:pPr>
              <w:rPr>
                <w:b/>
                <w:bCs/>
                <w:sz w:val="22"/>
                <w:szCs w:val="22"/>
              </w:rPr>
            </w:pPr>
            <w:proofErr w:type="spellStart"/>
            <w:r w:rsidRPr="00EC6C32">
              <w:rPr>
                <w:b/>
                <w:bCs/>
                <w:sz w:val="22"/>
                <w:szCs w:val="22"/>
              </w:rPr>
              <w:t>Generalizability</w:t>
            </w:r>
            <w:proofErr w:type="spellEnd"/>
            <w:r w:rsidRPr="00EC6C32">
              <w:rPr>
                <w:b/>
                <w:bCs/>
                <w:sz w:val="22"/>
                <w:szCs w:val="22"/>
              </w:rPr>
              <w:t>: B</w:t>
            </w:r>
          </w:p>
        </w:tc>
      </w:tr>
      <w:tr w:rsidR="0086427F" w:rsidRPr="00A21238" w:rsidTr="00EC6C32">
        <w:tc>
          <w:tcPr>
            <w:tcW w:w="5000" w:type="pct"/>
            <w:vAlign w:val="center"/>
          </w:tcPr>
          <w:p w:rsidR="009B07EF" w:rsidRPr="00EC6C32" w:rsidRDefault="009B07EF" w:rsidP="00750DE4">
            <w:pPr>
              <w:rPr>
                <w:b/>
                <w:bCs/>
                <w:sz w:val="22"/>
                <w:szCs w:val="22"/>
              </w:rPr>
            </w:pPr>
            <w:r w:rsidRPr="00EC6C32">
              <w:rPr>
                <w:b/>
                <w:bCs/>
                <w:sz w:val="22"/>
                <w:szCs w:val="22"/>
              </w:rPr>
              <w:t>Applicability: B</w:t>
            </w:r>
          </w:p>
        </w:tc>
      </w:tr>
      <w:tr w:rsidR="0086427F" w:rsidRPr="00A21238" w:rsidTr="00EC6C32">
        <w:tc>
          <w:tcPr>
            <w:tcW w:w="5000" w:type="pct"/>
            <w:vAlign w:val="center"/>
          </w:tcPr>
          <w:p w:rsidR="009B07EF" w:rsidRPr="00EC6C32" w:rsidRDefault="009B07EF" w:rsidP="006A766C">
            <w:pPr>
              <w:rPr>
                <w:b/>
                <w:bCs/>
                <w:sz w:val="22"/>
                <w:szCs w:val="22"/>
              </w:rPr>
            </w:pPr>
            <w:r w:rsidRPr="00EC6C32">
              <w:rPr>
                <w:b/>
                <w:sz w:val="22"/>
                <w:szCs w:val="22"/>
              </w:rPr>
              <w:t xml:space="preserve">Overall Grade: </w:t>
            </w:r>
            <w:r w:rsidR="006A766C" w:rsidRPr="00EC6C32">
              <w:rPr>
                <w:b/>
                <w:sz w:val="22"/>
                <w:szCs w:val="22"/>
              </w:rPr>
              <w:t>A</w:t>
            </w:r>
          </w:p>
        </w:tc>
      </w:tr>
    </w:tbl>
    <w:p w:rsidR="00952B04" w:rsidRDefault="00952B04"/>
    <w:p w:rsidR="00437F8C" w:rsidRPr="00A21238" w:rsidRDefault="00437F8C"/>
    <w:tbl>
      <w:tblPr>
        <w:tblW w:w="6537" w:type="pct"/>
        <w:tblLayout w:type="fixed"/>
        <w:tblLook w:val="04A0"/>
      </w:tblPr>
      <w:tblGrid>
        <w:gridCol w:w="2720"/>
        <w:gridCol w:w="1352"/>
        <w:gridCol w:w="1437"/>
        <w:gridCol w:w="901"/>
        <w:gridCol w:w="1710"/>
        <w:gridCol w:w="934"/>
        <w:gridCol w:w="3466"/>
      </w:tblGrid>
      <w:tr w:rsidR="0086427F" w:rsidRPr="00A21238" w:rsidTr="008C5CFC">
        <w:trPr>
          <w:trHeight w:val="285"/>
        </w:trPr>
        <w:tc>
          <w:tcPr>
            <w:tcW w:w="5000" w:type="pct"/>
            <w:gridSpan w:val="7"/>
            <w:tcBorders>
              <w:top w:val="nil"/>
              <w:left w:val="nil"/>
              <w:bottom w:val="nil"/>
              <w:right w:val="nil"/>
            </w:tcBorders>
            <w:shd w:val="clear" w:color="auto" w:fill="auto"/>
            <w:noWrap/>
            <w:vAlign w:val="bottom"/>
            <w:hideMark/>
          </w:tcPr>
          <w:p w:rsidR="00E10C54" w:rsidRPr="00EC6C32" w:rsidRDefault="00E10C54" w:rsidP="00E10C54">
            <w:pPr>
              <w:rPr>
                <w:b/>
                <w:bCs/>
                <w:sz w:val="22"/>
                <w:szCs w:val="22"/>
              </w:rPr>
            </w:pPr>
            <w:r w:rsidRPr="00EC6C32">
              <w:rPr>
                <w:b/>
                <w:bCs/>
                <w:sz w:val="22"/>
                <w:szCs w:val="22"/>
              </w:rPr>
              <w:t xml:space="preserve">Table </w:t>
            </w:r>
            <w:r w:rsidR="00A566D8" w:rsidRPr="00EC6C32">
              <w:rPr>
                <w:b/>
                <w:bCs/>
                <w:sz w:val="22"/>
                <w:szCs w:val="22"/>
              </w:rPr>
              <w:t>5</w:t>
            </w:r>
            <w:r w:rsidRPr="00EC6C32">
              <w:rPr>
                <w:b/>
                <w:bCs/>
                <w:sz w:val="22"/>
                <w:szCs w:val="22"/>
              </w:rPr>
              <w:t xml:space="preserve">:  </w:t>
            </w:r>
            <w:r w:rsidRPr="00EC6C32">
              <w:rPr>
                <w:b/>
                <w:bCs/>
                <w:i/>
                <w:iCs/>
                <w:sz w:val="22"/>
                <w:szCs w:val="22"/>
              </w:rPr>
              <w:t>EGFR</w:t>
            </w:r>
            <w:r w:rsidRPr="00EC6C32">
              <w:rPr>
                <w:b/>
                <w:bCs/>
                <w:sz w:val="22"/>
                <w:szCs w:val="22"/>
              </w:rPr>
              <w:t xml:space="preserve"> mutation prevalence in different lung adenocarcinoma patient </w:t>
            </w:r>
            <w:proofErr w:type="spellStart"/>
            <w:r w:rsidRPr="00EC6C32">
              <w:rPr>
                <w:b/>
                <w:bCs/>
                <w:sz w:val="22"/>
                <w:szCs w:val="22"/>
              </w:rPr>
              <w:t>populations</w:t>
            </w:r>
            <w:r w:rsidR="00AC081E" w:rsidRPr="00AC081E">
              <w:rPr>
                <w:rFonts w:ascii="Times New Roman Bold" w:hAnsi="Times New Roman Bold"/>
                <w:b/>
                <w:bCs/>
                <w:sz w:val="22"/>
                <w:szCs w:val="22"/>
                <w:vertAlign w:val="superscript"/>
              </w:rPr>
              <w:t>a</w:t>
            </w:r>
            <w:proofErr w:type="spellEnd"/>
            <w:r w:rsidRPr="00EC6C32">
              <w:rPr>
                <w:b/>
                <w:bCs/>
                <w:sz w:val="22"/>
                <w:szCs w:val="22"/>
              </w:rPr>
              <w:t xml:space="preserve"> </w:t>
            </w:r>
          </w:p>
          <w:p w:rsidR="00E10C54" w:rsidRPr="00A21238" w:rsidRDefault="00E10C54" w:rsidP="00E10C54">
            <w:pPr>
              <w:rPr>
                <w:rFonts w:ascii="Century Gothic" w:hAnsi="Century Gothic"/>
                <w:b/>
                <w:bCs/>
                <w:sz w:val="20"/>
                <w:szCs w:val="20"/>
              </w:rPr>
            </w:pPr>
          </w:p>
          <w:tbl>
            <w:tblPr>
              <w:tblW w:w="12852" w:type="dxa"/>
              <w:tblLayout w:type="fixed"/>
              <w:tblCellMar>
                <w:left w:w="0" w:type="dxa"/>
                <w:right w:w="0" w:type="dxa"/>
              </w:tblCellMar>
              <w:tblLook w:val="04A0"/>
            </w:tblPr>
            <w:tblGrid>
              <w:gridCol w:w="2898"/>
              <w:gridCol w:w="2118"/>
              <w:gridCol w:w="1666"/>
              <w:gridCol w:w="1531"/>
              <w:gridCol w:w="1401"/>
              <w:gridCol w:w="3238"/>
            </w:tblGrid>
            <w:tr w:rsidR="00E10C54" w:rsidRPr="00A21238" w:rsidTr="00DE7B57">
              <w:trPr>
                <w:trHeight w:val="270"/>
              </w:trPr>
              <w:tc>
                <w:tcPr>
                  <w:tcW w:w="2898" w:type="dxa"/>
                  <w:shd w:val="clear" w:color="auto" w:fill="auto"/>
                  <w:noWrap/>
                  <w:tcMar>
                    <w:top w:w="0" w:type="dxa"/>
                    <w:left w:w="108" w:type="dxa"/>
                    <w:bottom w:w="0" w:type="dxa"/>
                    <w:right w:w="108" w:type="dxa"/>
                  </w:tcMar>
                  <w:vAlign w:val="bottom"/>
                  <w:hideMark/>
                </w:tcPr>
                <w:p w:rsidR="00E10C54" w:rsidRPr="00A21238" w:rsidRDefault="00E10C54" w:rsidP="00AD27DC">
                  <w:pPr>
                    <w:rPr>
                      <w:rFonts w:asciiTheme="minorHAnsi" w:eastAsiaTheme="minorEastAsia" w:hAnsiTheme="minorHAnsi" w:cstheme="minorBidi"/>
                      <w:sz w:val="22"/>
                      <w:szCs w:val="22"/>
                    </w:rPr>
                  </w:pPr>
                </w:p>
              </w:tc>
              <w:tc>
                <w:tcPr>
                  <w:tcW w:w="2118"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10C54" w:rsidRPr="00A21238" w:rsidRDefault="00E10C54" w:rsidP="00525241">
                  <w:pPr>
                    <w:jc w:val="center"/>
                    <w:rPr>
                      <w:rFonts w:ascii="Calibri" w:eastAsiaTheme="minorHAnsi" w:hAnsi="Calibri" w:cs="Calibri"/>
                      <w:b/>
                      <w:bCs/>
                      <w:sz w:val="20"/>
                      <w:szCs w:val="20"/>
                    </w:rPr>
                  </w:pPr>
                  <w:r w:rsidRPr="00A21238">
                    <w:rPr>
                      <w:rFonts w:ascii="Calibri" w:hAnsi="Calibri" w:cs="Calibri"/>
                      <w:b/>
                      <w:bCs/>
                      <w:i/>
                      <w:iCs/>
                      <w:sz w:val="20"/>
                      <w:szCs w:val="20"/>
                    </w:rPr>
                    <w:t>EGFR</w:t>
                  </w:r>
                  <w:r w:rsidRPr="00A21238">
                    <w:rPr>
                      <w:rFonts w:ascii="Calibri" w:hAnsi="Calibri" w:cs="Calibri"/>
                      <w:b/>
                      <w:bCs/>
                      <w:sz w:val="20"/>
                      <w:szCs w:val="20"/>
                    </w:rPr>
                    <w:t xml:space="preserve"> mutation prevalence</w:t>
                  </w:r>
                </w:p>
              </w:tc>
              <w:tc>
                <w:tcPr>
                  <w:tcW w:w="16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10C54" w:rsidRPr="00A21238" w:rsidRDefault="00E10C54" w:rsidP="00525241">
                  <w:pPr>
                    <w:jc w:val="center"/>
                    <w:rPr>
                      <w:rFonts w:ascii="Calibri" w:eastAsiaTheme="minorHAnsi" w:hAnsi="Calibri" w:cs="Calibri"/>
                      <w:b/>
                      <w:bCs/>
                      <w:sz w:val="20"/>
                      <w:szCs w:val="20"/>
                    </w:rPr>
                  </w:pPr>
                  <w:r w:rsidRPr="00A21238">
                    <w:rPr>
                      <w:rFonts w:ascii="Calibri" w:hAnsi="Calibri" w:cs="Calibri"/>
                      <w:b/>
                      <w:bCs/>
                      <w:i/>
                      <w:iCs/>
                      <w:sz w:val="20"/>
                      <w:szCs w:val="20"/>
                    </w:rPr>
                    <w:t>EGFR</w:t>
                  </w:r>
                  <w:r w:rsidRPr="00A21238">
                    <w:rPr>
                      <w:rFonts w:ascii="Calibri" w:hAnsi="Calibri" w:cs="Calibri"/>
                      <w:b/>
                      <w:bCs/>
                      <w:sz w:val="20"/>
                      <w:szCs w:val="20"/>
                    </w:rPr>
                    <w:t xml:space="preserve"> Positive</w:t>
                  </w:r>
                </w:p>
              </w:tc>
              <w:tc>
                <w:tcPr>
                  <w:tcW w:w="15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10C54" w:rsidRPr="00A21238" w:rsidRDefault="00E10C54" w:rsidP="00525241">
                  <w:pPr>
                    <w:jc w:val="center"/>
                    <w:rPr>
                      <w:rFonts w:ascii="Calibri" w:eastAsiaTheme="minorHAnsi" w:hAnsi="Calibri" w:cs="Calibri"/>
                      <w:b/>
                      <w:bCs/>
                      <w:sz w:val="20"/>
                      <w:szCs w:val="20"/>
                    </w:rPr>
                  </w:pPr>
                  <w:r w:rsidRPr="00A21238">
                    <w:rPr>
                      <w:rFonts w:ascii="Calibri" w:hAnsi="Calibri" w:cs="Calibri"/>
                      <w:b/>
                      <w:bCs/>
                      <w:i/>
                      <w:iCs/>
                      <w:sz w:val="20"/>
                      <w:szCs w:val="20"/>
                    </w:rPr>
                    <w:t>EGFR</w:t>
                  </w:r>
                  <w:r w:rsidRPr="00A21238">
                    <w:rPr>
                      <w:rFonts w:ascii="Calibri" w:hAnsi="Calibri" w:cs="Calibri"/>
                      <w:b/>
                      <w:bCs/>
                      <w:sz w:val="20"/>
                      <w:szCs w:val="20"/>
                    </w:rPr>
                    <w:t xml:space="preserve"> Negative</w:t>
                  </w:r>
                </w:p>
              </w:tc>
              <w:tc>
                <w:tcPr>
                  <w:tcW w:w="14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10C54" w:rsidRPr="00A21238" w:rsidRDefault="00E10C54" w:rsidP="00525241">
                  <w:pPr>
                    <w:jc w:val="center"/>
                    <w:rPr>
                      <w:rFonts w:ascii="Calibri" w:eastAsiaTheme="minorHAnsi" w:hAnsi="Calibri" w:cs="Calibri"/>
                      <w:b/>
                      <w:sz w:val="20"/>
                      <w:szCs w:val="20"/>
                    </w:rPr>
                  </w:pPr>
                  <w:r w:rsidRPr="00A21238">
                    <w:rPr>
                      <w:rFonts w:ascii="Calibri" w:hAnsi="Calibri" w:cs="Calibri"/>
                      <w:b/>
                      <w:sz w:val="20"/>
                      <w:szCs w:val="20"/>
                    </w:rPr>
                    <w:t>n(N)</w:t>
                  </w:r>
                </w:p>
              </w:tc>
              <w:tc>
                <w:tcPr>
                  <w:tcW w:w="3238" w:type="dxa"/>
                  <w:vAlign w:val="center"/>
                  <w:hideMark/>
                </w:tcPr>
                <w:p w:rsidR="00E10C54" w:rsidRPr="00A21238" w:rsidRDefault="00E10C54" w:rsidP="00AD27DC">
                  <w:pPr>
                    <w:rPr>
                      <w:rFonts w:eastAsiaTheme="minorHAnsi"/>
                    </w:rPr>
                  </w:pPr>
                  <w:r w:rsidRPr="00A21238">
                    <w:t> </w:t>
                  </w:r>
                </w:p>
              </w:tc>
            </w:tr>
            <w:tr w:rsidR="00E10C54" w:rsidRPr="00A21238" w:rsidTr="008C5CFC">
              <w:trPr>
                <w:trHeight w:val="270"/>
              </w:trPr>
              <w:tc>
                <w:tcPr>
                  <w:tcW w:w="289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0C54" w:rsidRPr="00A21238" w:rsidRDefault="00E10C54" w:rsidP="0002496E">
                  <w:pPr>
                    <w:rPr>
                      <w:rFonts w:ascii="Calibri" w:eastAsiaTheme="minorHAnsi" w:hAnsi="Calibri" w:cs="Calibri"/>
                      <w:b/>
                      <w:bCs/>
                      <w:sz w:val="20"/>
                      <w:szCs w:val="20"/>
                    </w:rPr>
                  </w:pPr>
                  <w:r w:rsidRPr="00A21238">
                    <w:rPr>
                      <w:rFonts w:ascii="Calibri" w:hAnsi="Calibri" w:cs="Calibri"/>
                      <w:b/>
                      <w:bCs/>
                      <w:sz w:val="20"/>
                      <w:szCs w:val="20"/>
                    </w:rPr>
                    <w:t>Asian/Pacific</w:t>
                  </w:r>
                  <w:r w:rsidR="0002496E" w:rsidRPr="0002496E">
                    <w:rPr>
                      <w:rFonts w:ascii="Calibri" w:hAnsi="Calibri" w:cs="Calibri"/>
                      <w:b/>
                      <w:bCs/>
                      <w:noProof/>
                      <w:sz w:val="20"/>
                      <w:szCs w:val="20"/>
                      <w:vertAlign w:val="superscript"/>
                    </w:rPr>
                    <w:t>8-38</w:t>
                  </w: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0C54" w:rsidRPr="00A21238" w:rsidRDefault="00E10C54" w:rsidP="00AD27DC">
                  <w:pPr>
                    <w:jc w:val="right"/>
                    <w:rPr>
                      <w:rFonts w:ascii="Calibri" w:eastAsiaTheme="minorHAnsi" w:hAnsi="Calibri" w:cs="Calibri"/>
                      <w:sz w:val="20"/>
                      <w:szCs w:val="20"/>
                    </w:rPr>
                  </w:pPr>
                  <w:r w:rsidRPr="00A21238">
                    <w:rPr>
                      <w:rFonts w:ascii="Calibri" w:hAnsi="Calibri" w:cs="Calibri"/>
                      <w:sz w:val="20"/>
                      <w:szCs w:val="20"/>
                    </w:rPr>
                    <w:t>45%</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0C54" w:rsidRPr="00A21238" w:rsidRDefault="00E10C54" w:rsidP="00AD27DC">
                  <w:pPr>
                    <w:jc w:val="right"/>
                    <w:rPr>
                      <w:rFonts w:ascii="Calibri" w:eastAsiaTheme="minorHAnsi" w:hAnsi="Calibri" w:cs="Calibri"/>
                      <w:sz w:val="20"/>
                      <w:szCs w:val="20"/>
                    </w:rPr>
                  </w:pPr>
                  <w:r w:rsidRPr="00A21238">
                    <w:rPr>
                      <w:rFonts w:ascii="Calibri" w:hAnsi="Calibri" w:cs="Calibri"/>
                      <w:sz w:val="20"/>
                      <w:szCs w:val="20"/>
                    </w:rPr>
                    <w:t>1547</w:t>
                  </w:r>
                </w:p>
              </w:tc>
              <w:tc>
                <w:tcPr>
                  <w:tcW w:w="15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0C54" w:rsidRPr="00A21238" w:rsidRDefault="00E10C54" w:rsidP="00AD27DC">
                  <w:pPr>
                    <w:jc w:val="right"/>
                    <w:rPr>
                      <w:rFonts w:ascii="Calibri" w:eastAsiaTheme="minorHAnsi" w:hAnsi="Calibri" w:cs="Calibri"/>
                      <w:sz w:val="20"/>
                      <w:szCs w:val="20"/>
                    </w:rPr>
                  </w:pPr>
                  <w:r w:rsidRPr="00A21238">
                    <w:rPr>
                      <w:rFonts w:ascii="Calibri" w:hAnsi="Calibri" w:cs="Calibri"/>
                      <w:sz w:val="20"/>
                      <w:szCs w:val="20"/>
                    </w:rPr>
                    <w:t>1905</w:t>
                  </w:r>
                </w:p>
              </w:tc>
              <w:tc>
                <w:tcPr>
                  <w:tcW w:w="14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C54" w:rsidRPr="00A21238" w:rsidRDefault="00E10C54" w:rsidP="00AD27DC">
                  <w:pPr>
                    <w:jc w:val="right"/>
                    <w:rPr>
                      <w:rFonts w:ascii="Calibri" w:eastAsiaTheme="minorHAnsi" w:hAnsi="Calibri" w:cs="Calibri"/>
                      <w:sz w:val="20"/>
                      <w:szCs w:val="20"/>
                    </w:rPr>
                  </w:pPr>
                  <w:r w:rsidRPr="00A21238">
                    <w:rPr>
                      <w:rFonts w:ascii="Calibri" w:hAnsi="Calibri" w:cs="Calibri"/>
                      <w:sz w:val="20"/>
                      <w:szCs w:val="20"/>
                    </w:rPr>
                    <w:t>31(3452)</w:t>
                  </w:r>
                </w:p>
              </w:tc>
              <w:tc>
                <w:tcPr>
                  <w:tcW w:w="3238" w:type="dxa"/>
                  <w:vAlign w:val="center"/>
                  <w:hideMark/>
                </w:tcPr>
                <w:p w:rsidR="00E10C54" w:rsidRPr="00A21238" w:rsidRDefault="00E10C54" w:rsidP="00AD27DC">
                  <w:pPr>
                    <w:rPr>
                      <w:rFonts w:eastAsiaTheme="minorHAnsi"/>
                    </w:rPr>
                  </w:pPr>
                  <w:r w:rsidRPr="00A21238">
                    <w:t> </w:t>
                  </w:r>
                </w:p>
              </w:tc>
            </w:tr>
            <w:tr w:rsidR="00E10C54" w:rsidRPr="00A21238" w:rsidTr="008C5CFC">
              <w:trPr>
                <w:trHeight w:val="270"/>
              </w:trPr>
              <w:tc>
                <w:tcPr>
                  <w:tcW w:w="28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0C54" w:rsidRPr="00A21238" w:rsidRDefault="00E10C54" w:rsidP="0002496E">
                  <w:pPr>
                    <w:rPr>
                      <w:rFonts w:ascii="Calibri" w:eastAsiaTheme="minorHAnsi" w:hAnsi="Calibri" w:cs="Calibri"/>
                      <w:b/>
                      <w:bCs/>
                      <w:sz w:val="20"/>
                      <w:szCs w:val="20"/>
                    </w:rPr>
                  </w:pPr>
                  <w:r w:rsidRPr="00A21238">
                    <w:rPr>
                      <w:rFonts w:ascii="Calibri" w:hAnsi="Calibri" w:cs="Calibri"/>
                      <w:b/>
                      <w:bCs/>
                      <w:sz w:val="20"/>
                      <w:szCs w:val="20"/>
                    </w:rPr>
                    <w:t>White</w:t>
                  </w:r>
                  <w:r w:rsidR="0002496E" w:rsidRPr="0002496E">
                    <w:rPr>
                      <w:rFonts w:ascii="Calibri" w:hAnsi="Calibri" w:cs="Calibri"/>
                      <w:b/>
                      <w:bCs/>
                      <w:noProof/>
                      <w:sz w:val="20"/>
                      <w:szCs w:val="20"/>
                      <w:vertAlign w:val="superscript"/>
                    </w:rPr>
                    <w:t>10, 20, 22, 25, 32, 33, 39-42</w:t>
                  </w:r>
                  <w:r w:rsidRPr="00A21238">
                    <w:rPr>
                      <w:rFonts w:ascii="Calibri" w:hAnsi="Calibri" w:cs="Calibri"/>
                      <w:b/>
                      <w:bCs/>
                      <w:sz w:val="20"/>
                      <w:szCs w:val="20"/>
                    </w:rPr>
                    <w:t xml:space="preserve"> </w:t>
                  </w: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0C54" w:rsidRPr="00A21238" w:rsidRDefault="00E10C54" w:rsidP="00AD27DC">
                  <w:pPr>
                    <w:jc w:val="right"/>
                    <w:rPr>
                      <w:rFonts w:ascii="Calibri" w:eastAsiaTheme="minorHAnsi" w:hAnsi="Calibri" w:cs="Calibri"/>
                      <w:sz w:val="20"/>
                      <w:szCs w:val="20"/>
                    </w:rPr>
                  </w:pPr>
                  <w:r w:rsidRPr="00A21238">
                    <w:rPr>
                      <w:rFonts w:ascii="Calibri" w:hAnsi="Calibri" w:cs="Calibri"/>
                      <w:sz w:val="20"/>
                      <w:szCs w:val="20"/>
                    </w:rPr>
                    <w:t>24%</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0C54" w:rsidRPr="00A21238" w:rsidRDefault="00E10C54" w:rsidP="00AD27DC">
                  <w:pPr>
                    <w:jc w:val="right"/>
                    <w:rPr>
                      <w:rFonts w:ascii="Calibri" w:eastAsiaTheme="minorHAnsi" w:hAnsi="Calibri" w:cs="Calibri"/>
                      <w:sz w:val="20"/>
                      <w:szCs w:val="20"/>
                    </w:rPr>
                  </w:pPr>
                  <w:r w:rsidRPr="00A21238">
                    <w:rPr>
                      <w:rFonts w:ascii="Calibri" w:hAnsi="Calibri" w:cs="Calibri"/>
                      <w:sz w:val="20"/>
                      <w:szCs w:val="20"/>
                    </w:rPr>
                    <w:t>853</w:t>
                  </w:r>
                </w:p>
              </w:tc>
              <w:tc>
                <w:tcPr>
                  <w:tcW w:w="15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0C54" w:rsidRPr="00A21238" w:rsidRDefault="00E10C54" w:rsidP="00AD27DC">
                  <w:pPr>
                    <w:jc w:val="right"/>
                    <w:rPr>
                      <w:rFonts w:ascii="Calibri" w:eastAsiaTheme="minorHAnsi" w:hAnsi="Calibri" w:cs="Calibri"/>
                      <w:sz w:val="20"/>
                      <w:szCs w:val="20"/>
                    </w:rPr>
                  </w:pPr>
                  <w:r w:rsidRPr="00A21238">
                    <w:rPr>
                      <w:rFonts w:ascii="Calibri" w:hAnsi="Calibri" w:cs="Calibri"/>
                      <w:sz w:val="20"/>
                      <w:szCs w:val="20"/>
                    </w:rPr>
                    <w:t>2681</w:t>
                  </w:r>
                </w:p>
              </w:tc>
              <w:tc>
                <w:tcPr>
                  <w:tcW w:w="14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C54" w:rsidRPr="00A21238" w:rsidRDefault="00E10C54" w:rsidP="00AD27DC">
                  <w:pPr>
                    <w:jc w:val="right"/>
                    <w:rPr>
                      <w:rFonts w:ascii="Calibri" w:eastAsiaTheme="minorHAnsi" w:hAnsi="Calibri" w:cs="Calibri"/>
                      <w:sz w:val="20"/>
                      <w:szCs w:val="20"/>
                    </w:rPr>
                  </w:pPr>
                  <w:r w:rsidRPr="00A21238">
                    <w:rPr>
                      <w:rFonts w:ascii="Calibri" w:hAnsi="Calibri" w:cs="Calibri"/>
                      <w:sz w:val="20"/>
                      <w:szCs w:val="20"/>
                    </w:rPr>
                    <w:t>10(3534)</w:t>
                  </w:r>
                </w:p>
              </w:tc>
              <w:tc>
                <w:tcPr>
                  <w:tcW w:w="3238" w:type="dxa"/>
                  <w:vAlign w:val="center"/>
                  <w:hideMark/>
                </w:tcPr>
                <w:p w:rsidR="00E10C54" w:rsidRPr="00A21238" w:rsidRDefault="00E10C54" w:rsidP="00AD27DC">
                  <w:pPr>
                    <w:rPr>
                      <w:rFonts w:eastAsiaTheme="minorHAnsi"/>
                    </w:rPr>
                  </w:pPr>
                  <w:r w:rsidRPr="00A21238">
                    <w:t> </w:t>
                  </w:r>
                </w:p>
              </w:tc>
            </w:tr>
            <w:tr w:rsidR="00E10C54" w:rsidRPr="00A21238" w:rsidTr="008C5CFC">
              <w:trPr>
                <w:trHeight w:val="270"/>
              </w:trPr>
              <w:tc>
                <w:tcPr>
                  <w:tcW w:w="28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0C54" w:rsidRPr="00A21238" w:rsidRDefault="00E10C54" w:rsidP="0002496E">
                  <w:pPr>
                    <w:rPr>
                      <w:rFonts w:ascii="Calibri" w:eastAsiaTheme="minorHAnsi" w:hAnsi="Calibri" w:cs="Calibri"/>
                      <w:b/>
                      <w:bCs/>
                      <w:sz w:val="20"/>
                      <w:szCs w:val="20"/>
                    </w:rPr>
                  </w:pPr>
                  <w:r w:rsidRPr="00A21238">
                    <w:rPr>
                      <w:rFonts w:ascii="Calibri" w:hAnsi="Calibri" w:cs="Calibri"/>
                      <w:b/>
                      <w:bCs/>
                      <w:sz w:val="20"/>
                      <w:szCs w:val="20"/>
                    </w:rPr>
                    <w:t>African American</w:t>
                  </w:r>
                  <w:r w:rsidR="0002496E" w:rsidRPr="0002496E">
                    <w:rPr>
                      <w:rFonts w:ascii="Calibri" w:hAnsi="Calibri" w:cs="Calibri"/>
                      <w:b/>
                      <w:bCs/>
                      <w:noProof/>
                      <w:sz w:val="20"/>
                      <w:szCs w:val="20"/>
                      <w:vertAlign w:val="superscript"/>
                    </w:rPr>
                    <w:t>22, 40, 43</w:t>
                  </w: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0C54" w:rsidRPr="00A21238" w:rsidRDefault="00E10C54" w:rsidP="00AD27DC">
                  <w:pPr>
                    <w:jc w:val="right"/>
                    <w:rPr>
                      <w:rFonts w:ascii="Calibri" w:eastAsiaTheme="minorHAnsi" w:hAnsi="Calibri" w:cs="Calibri"/>
                      <w:sz w:val="20"/>
                      <w:szCs w:val="20"/>
                    </w:rPr>
                  </w:pPr>
                  <w:r w:rsidRPr="00A21238">
                    <w:rPr>
                      <w:rFonts w:ascii="Calibri" w:hAnsi="Calibri" w:cs="Calibri"/>
                      <w:sz w:val="20"/>
                      <w:szCs w:val="20"/>
                    </w:rPr>
                    <w:t>20%</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0C54" w:rsidRPr="00A21238" w:rsidRDefault="00E10C54" w:rsidP="00AD27DC">
                  <w:pPr>
                    <w:jc w:val="right"/>
                    <w:rPr>
                      <w:rFonts w:ascii="Calibri" w:eastAsiaTheme="minorHAnsi" w:hAnsi="Calibri" w:cs="Calibri"/>
                      <w:sz w:val="20"/>
                      <w:szCs w:val="20"/>
                    </w:rPr>
                  </w:pPr>
                  <w:r w:rsidRPr="00A21238">
                    <w:rPr>
                      <w:rFonts w:ascii="Calibri" w:hAnsi="Calibri" w:cs="Calibri"/>
                      <w:sz w:val="20"/>
                      <w:szCs w:val="20"/>
                    </w:rPr>
                    <w:t>19</w:t>
                  </w:r>
                </w:p>
              </w:tc>
              <w:tc>
                <w:tcPr>
                  <w:tcW w:w="15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0C54" w:rsidRPr="00A21238" w:rsidRDefault="00E10C54" w:rsidP="00AD27DC">
                  <w:pPr>
                    <w:jc w:val="right"/>
                    <w:rPr>
                      <w:rFonts w:ascii="Calibri" w:eastAsiaTheme="minorHAnsi" w:hAnsi="Calibri" w:cs="Calibri"/>
                      <w:sz w:val="20"/>
                      <w:szCs w:val="20"/>
                    </w:rPr>
                  </w:pPr>
                  <w:r w:rsidRPr="00A21238">
                    <w:rPr>
                      <w:rFonts w:ascii="Calibri" w:hAnsi="Calibri" w:cs="Calibri"/>
                      <w:sz w:val="20"/>
                      <w:szCs w:val="20"/>
                    </w:rPr>
                    <w:t>78</w:t>
                  </w:r>
                </w:p>
              </w:tc>
              <w:tc>
                <w:tcPr>
                  <w:tcW w:w="14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C54" w:rsidRPr="00A21238" w:rsidRDefault="00E10C54" w:rsidP="00AD27DC">
                  <w:pPr>
                    <w:jc w:val="right"/>
                    <w:rPr>
                      <w:rFonts w:ascii="Calibri" w:eastAsiaTheme="minorHAnsi" w:hAnsi="Calibri" w:cs="Calibri"/>
                      <w:sz w:val="20"/>
                      <w:szCs w:val="20"/>
                    </w:rPr>
                  </w:pPr>
                  <w:r w:rsidRPr="00A21238">
                    <w:rPr>
                      <w:rFonts w:ascii="Calibri" w:hAnsi="Calibri" w:cs="Calibri"/>
                      <w:sz w:val="20"/>
                      <w:szCs w:val="20"/>
                    </w:rPr>
                    <w:t>3(97)</w:t>
                  </w:r>
                </w:p>
              </w:tc>
              <w:tc>
                <w:tcPr>
                  <w:tcW w:w="3238" w:type="dxa"/>
                  <w:vAlign w:val="center"/>
                  <w:hideMark/>
                </w:tcPr>
                <w:p w:rsidR="00E10C54" w:rsidRPr="00A21238" w:rsidRDefault="00E10C54" w:rsidP="00AD27DC">
                  <w:pPr>
                    <w:rPr>
                      <w:rFonts w:eastAsiaTheme="minorHAnsi"/>
                    </w:rPr>
                  </w:pPr>
                  <w:r w:rsidRPr="00A21238">
                    <w:t> </w:t>
                  </w:r>
                </w:p>
              </w:tc>
            </w:tr>
            <w:tr w:rsidR="00E10C54" w:rsidRPr="00A21238" w:rsidTr="008C5CFC">
              <w:trPr>
                <w:trHeight w:val="270"/>
              </w:trPr>
              <w:tc>
                <w:tcPr>
                  <w:tcW w:w="28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0C54" w:rsidRPr="00A21238" w:rsidRDefault="00E10C54" w:rsidP="0002496E">
                  <w:pPr>
                    <w:rPr>
                      <w:rFonts w:ascii="Calibri" w:eastAsiaTheme="minorHAnsi" w:hAnsi="Calibri" w:cs="Calibri"/>
                      <w:b/>
                      <w:bCs/>
                      <w:sz w:val="20"/>
                      <w:szCs w:val="20"/>
                    </w:rPr>
                  </w:pPr>
                  <w:r w:rsidRPr="00A21238">
                    <w:rPr>
                      <w:rFonts w:ascii="Calibri" w:hAnsi="Calibri" w:cs="Calibri"/>
                      <w:b/>
                      <w:bCs/>
                      <w:sz w:val="20"/>
                      <w:szCs w:val="20"/>
                    </w:rPr>
                    <w:t>Hispanic</w:t>
                  </w:r>
                  <w:r w:rsidR="0002496E" w:rsidRPr="0002496E">
                    <w:rPr>
                      <w:rFonts w:ascii="Calibri" w:hAnsi="Calibri" w:cs="Calibri"/>
                      <w:b/>
                      <w:bCs/>
                      <w:noProof/>
                      <w:sz w:val="20"/>
                      <w:szCs w:val="20"/>
                      <w:vertAlign w:val="superscript"/>
                    </w:rPr>
                    <w:t>22, 44-46</w:t>
                  </w:r>
                  <w:r w:rsidRPr="00A21238">
                    <w:rPr>
                      <w:rFonts w:ascii="Calibri" w:hAnsi="Calibri" w:cs="Calibri"/>
                      <w:b/>
                      <w:bCs/>
                      <w:sz w:val="20"/>
                      <w:szCs w:val="20"/>
                    </w:rPr>
                    <w:t xml:space="preserve"> </w:t>
                  </w: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0C54" w:rsidRPr="00A21238" w:rsidRDefault="00E10C54" w:rsidP="00AD27DC">
                  <w:pPr>
                    <w:jc w:val="right"/>
                    <w:rPr>
                      <w:rFonts w:ascii="Calibri" w:eastAsiaTheme="minorHAnsi" w:hAnsi="Calibri" w:cs="Calibri"/>
                      <w:sz w:val="20"/>
                      <w:szCs w:val="20"/>
                    </w:rPr>
                  </w:pPr>
                  <w:r w:rsidRPr="00A21238">
                    <w:rPr>
                      <w:rFonts w:ascii="Calibri" w:hAnsi="Calibri" w:cs="Calibri"/>
                      <w:sz w:val="20"/>
                      <w:szCs w:val="20"/>
                    </w:rPr>
                    <w:t>17%</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0C54" w:rsidRPr="00A21238" w:rsidRDefault="00E10C54" w:rsidP="00AD27DC">
                  <w:pPr>
                    <w:jc w:val="right"/>
                    <w:rPr>
                      <w:rFonts w:ascii="Calibri" w:eastAsiaTheme="minorHAnsi" w:hAnsi="Calibri" w:cs="Calibri"/>
                      <w:sz w:val="20"/>
                      <w:szCs w:val="20"/>
                    </w:rPr>
                  </w:pPr>
                  <w:r w:rsidRPr="00A21238">
                    <w:rPr>
                      <w:rFonts w:ascii="Calibri" w:hAnsi="Calibri" w:cs="Calibri"/>
                      <w:sz w:val="20"/>
                      <w:szCs w:val="20"/>
                    </w:rPr>
                    <w:t>65</w:t>
                  </w:r>
                </w:p>
              </w:tc>
              <w:tc>
                <w:tcPr>
                  <w:tcW w:w="15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0C54" w:rsidRPr="00A21238" w:rsidRDefault="00E10C54" w:rsidP="00AD27DC">
                  <w:pPr>
                    <w:jc w:val="right"/>
                    <w:rPr>
                      <w:rFonts w:ascii="Calibri" w:eastAsiaTheme="minorHAnsi" w:hAnsi="Calibri" w:cs="Calibri"/>
                      <w:sz w:val="20"/>
                      <w:szCs w:val="20"/>
                    </w:rPr>
                  </w:pPr>
                  <w:r w:rsidRPr="00A21238">
                    <w:rPr>
                      <w:rFonts w:ascii="Calibri" w:hAnsi="Calibri" w:cs="Calibri"/>
                      <w:sz w:val="20"/>
                      <w:szCs w:val="20"/>
                    </w:rPr>
                    <w:t>307</w:t>
                  </w:r>
                </w:p>
              </w:tc>
              <w:tc>
                <w:tcPr>
                  <w:tcW w:w="14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C54" w:rsidRPr="00A21238" w:rsidRDefault="00E10C54" w:rsidP="00AD27DC">
                  <w:pPr>
                    <w:jc w:val="right"/>
                    <w:rPr>
                      <w:rFonts w:ascii="Calibri" w:eastAsiaTheme="minorHAnsi" w:hAnsi="Calibri" w:cs="Calibri"/>
                      <w:sz w:val="20"/>
                      <w:szCs w:val="20"/>
                    </w:rPr>
                  </w:pPr>
                  <w:r w:rsidRPr="00A21238">
                    <w:rPr>
                      <w:rFonts w:ascii="Calibri" w:hAnsi="Calibri" w:cs="Calibri"/>
                      <w:sz w:val="20"/>
                      <w:szCs w:val="20"/>
                    </w:rPr>
                    <w:t>4(372)</w:t>
                  </w:r>
                </w:p>
              </w:tc>
              <w:tc>
                <w:tcPr>
                  <w:tcW w:w="3238" w:type="dxa"/>
                  <w:vAlign w:val="center"/>
                  <w:hideMark/>
                </w:tcPr>
                <w:p w:rsidR="00E10C54" w:rsidRPr="00A21238" w:rsidRDefault="00E10C54" w:rsidP="00AD27DC">
                  <w:pPr>
                    <w:rPr>
                      <w:rFonts w:eastAsiaTheme="minorHAnsi"/>
                    </w:rPr>
                  </w:pPr>
                  <w:r w:rsidRPr="00A21238">
                    <w:t> </w:t>
                  </w:r>
                </w:p>
              </w:tc>
            </w:tr>
            <w:tr w:rsidR="00E10C54" w:rsidRPr="00A21238" w:rsidTr="008C5CFC">
              <w:trPr>
                <w:trHeight w:val="270"/>
              </w:trPr>
              <w:tc>
                <w:tcPr>
                  <w:tcW w:w="28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10C54" w:rsidRPr="00A21238" w:rsidRDefault="00E10C54" w:rsidP="0002496E">
                  <w:pPr>
                    <w:rPr>
                      <w:rFonts w:ascii="Calibri" w:eastAsiaTheme="minorHAnsi" w:hAnsi="Calibri" w:cs="Calibri"/>
                      <w:b/>
                      <w:bCs/>
                      <w:sz w:val="20"/>
                      <w:szCs w:val="20"/>
                    </w:rPr>
                  </w:pPr>
                  <w:r w:rsidRPr="00A21238">
                    <w:rPr>
                      <w:rFonts w:ascii="Calibri" w:hAnsi="Calibri" w:cs="Calibri"/>
                      <w:b/>
                      <w:bCs/>
                      <w:sz w:val="20"/>
                      <w:szCs w:val="20"/>
                    </w:rPr>
                    <w:t>Asian/Indian</w:t>
                  </w:r>
                  <w:r w:rsidR="0002496E" w:rsidRPr="0002496E">
                    <w:rPr>
                      <w:rFonts w:ascii="Calibri" w:hAnsi="Calibri" w:cs="Calibri"/>
                      <w:b/>
                      <w:bCs/>
                      <w:noProof/>
                      <w:sz w:val="20"/>
                      <w:szCs w:val="20"/>
                      <w:vertAlign w:val="superscript"/>
                    </w:rPr>
                    <w:t>47</w:t>
                  </w: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0C54" w:rsidRPr="00A21238" w:rsidRDefault="00E10C54" w:rsidP="00AD27DC">
                  <w:pPr>
                    <w:jc w:val="right"/>
                    <w:rPr>
                      <w:rFonts w:ascii="Calibri" w:eastAsiaTheme="minorHAnsi" w:hAnsi="Calibri" w:cs="Calibri"/>
                      <w:sz w:val="20"/>
                      <w:szCs w:val="20"/>
                    </w:rPr>
                  </w:pPr>
                  <w:r w:rsidRPr="00A21238">
                    <w:rPr>
                      <w:rFonts w:ascii="Calibri" w:hAnsi="Calibri" w:cs="Calibri"/>
                      <w:sz w:val="20"/>
                      <w:szCs w:val="20"/>
                    </w:rPr>
                    <w:t>52%</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0C54" w:rsidRPr="00A21238" w:rsidRDefault="00E10C54" w:rsidP="00AD27DC">
                  <w:pPr>
                    <w:jc w:val="right"/>
                    <w:rPr>
                      <w:rFonts w:ascii="Calibri" w:eastAsiaTheme="minorHAnsi" w:hAnsi="Calibri" w:cs="Calibri"/>
                      <w:sz w:val="20"/>
                      <w:szCs w:val="20"/>
                    </w:rPr>
                  </w:pPr>
                  <w:r w:rsidRPr="00A21238">
                    <w:rPr>
                      <w:rFonts w:ascii="Calibri" w:hAnsi="Calibri" w:cs="Calibri"/>
                      <w:sz w:val="20"/>
                      <w:szCs w:val="20"/>
                    </w:rPr>
                    <w:t>114</w:t>
                  </w:r>
                </w:p>
              </w:tc>
              <w:tc>
                <w:tcPr>
                  <w:tcW w:w="15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0C54" w:rsidRPr="00A21238" w:rsidRDefault="00E10C54" w:rsidP="00AD27DC">
                  <w:pPr>
                    <w:jc w:val="right"/>
                    <w:rPr>
                      <w:rFonts w:ascii="Calibri" w:eastAsiaTheme="minorHAnsi" w:hAnsi="Calibri" w:cs="Calibri"/>
                      <w:sz w:val="20"/>
                      <w:szCs w:val="20"/>
                    </w:rPr>
                  </w:pPr>
                  <w:r w:rsidRPr="00A21238">
                    <w:rPr>
                      <w:rFonts w:ascii="Calibri" w:hAnsi="Calibri" w:cs="Calibri"/>
                      <w:sz w:val="20"/>
                      <w:szCs w:val="20"/>
                    </w:rPr>
                    <w:t>106</w:t>
                  </w:r>
                </w:p>
              </w:tc>
              <w:tc>
                <w:tcPr>
                  <w:tcW w:w="14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0C54" w:rsidRPr="00A21238" w:rsidRDefault="00E10C54" w:rsidP="00AD27DC">
                  <w:pPr>
                    <w:jc w:val="right"/>
                    <w:rPr>
                      <w:rFonts w:ascii="Calibri" w:eastAsiaTheme="minorHAnsi" w:hAnsi="Calibri" w:cs="Calibri"/>
                      <w:sz w:val="20"/>
                      <w:szCs w:val="20"/>
                    </w:rPr>
                  </w:pPr>
                  <w:r w:rsidRPr="00A21238">
                    <w:rPr>
                      <w:rFonts w:ascii="Calibri" w:hAnsi="Calibri" w:cs="Calibri"/>
                      <w:sz w:val="20"/>
                      <w:szCs w:val="20"/>
                    </w:rPr>
                    <w:t>1(220)</w:t>
                  </w:r>
                </w:p>
              </w:tc>
              <w:tc>
                <w:tcPr>
                  <w:tcW w:w="3238" w:type="dxa"/>
                  <w:vAlign w:val="center"/>
                  <w:hideMark/>
                </w:tcPr>
                <w:p w:rsidR="00E10C54" w:rsidRPr="00A21238" w:rsidRDefault="00E10C54" w:rsidP="00AD27DC">
                  <w:pPr>
                    <w:rPr>
                      <w:rFonts w:eastAsiaTheme="minorHAnsi"/>
                      <w:sz w:val="20"/>
                      <w:szCs w:val="20"/>
                    </w:rPr>
                  </w:pPr>
                  <w:r w:rsidRPr="00A21238">
                    <w:rPr>
                      <w:sz w:val="20"/>
                      <w:szCs w:val="20"/>
                    </w:rPr>
                    <w:t> </w:t>
                  </w:r>
                </w:p>
              </w:tc>
            </w:tr>
          </w:tbl>
          <w:p w:rsidR="00565546" w:rsidRPr="002847AE" w:rsidRDefault="0001790B" w:rsidP="00E10C54">
            <w:pPr>
              <w:rPr>
                <w:rFonts w:ascii="Calibri" w:hAnsi="Calibri" w:cs="Calibri"/>
                <w:sz w:val="18"/>
                <w:szCs w:val="18"/>
              </w:rPr>
            </w:pPr>
            <w:r>
              <w:rPr>
                <w:rFonts w:asciiTheme="minorHAnsi" w:hAnsiTheme="minorHAnsi"/>
                <w:sz w:val="18"/>
                <w:szCs w:val="18"/>
              </w:rPr>
              <w:t xml:space="preserve">Abbreviations: </w:t>
            </w:r>
            <w:r w:rsidR="00565546" w:rsidRPr="002847AE">
              <w:rPr>
                <w:rFonts w:asciiTheme="minorHAnsi" w:hAnsiTheme="minorHAnsi"/>
                <w:sz w:val="18"/>
                <w:szCs w:val="18"/>
              </w:rPr>
              <w:t>n</w:t>
            </w:r>
            <w:r w:rsidR="00470CE4">
              <w:rPr>
                <w:rFonts w:asciiTheme="minorHAnsi" w:hAnsiTheme="minorHAnsi"/>
                <w:sz w:val="18"/>
                <w:szCs w:val="18"/>
              </w:rPr>
              <w:t>,</w:t>
            </w:r>
            <w:r w:rsidR="00565546" w:rsidRPr="002847AE">
              <w:rPr>
                <w:rFonts w:asciiTheme="minorHAnsi" w:hAnsiTheme="minorHAnsi"/>
                <w:sz w:val="18"/>
                <w:szCs w:val="18"/>
              </w:rPr>
              <w:t xml:space="preserve"> Number of studies; N</w:t>
            </w:r>
            <w:r w:rsidR="00470CE4">
              <w:rPr>
                <w:rFonts w:asciiTheme="minorHAnsi" w:hAnsiTheme="minorHAnsi"/>
                <w:sz w:val="18"/>
                <w:szCs w:val="18"/>
              </w:rPr>
              <w:t>,</w:t>
            </w:r>
            <w:r w:rsidR="00565546" w:rsidRPr="002847AE">
              <w:rPr>
                <w:rFonts w:asciiTheme="minorHAnsi" w:hAnsiTheme="minorHAnsi"/>
                <w:sz w:val="18"/>
                <w:szCs w:val="18"/>
              </w:rPr>
              <w:t xml:space="preserve"> Number of patients</w:t>
            </w:r>
            <w:r w:rsidR="00565546" w:rsidRPr="002847AE">
              <w:rPr>
                <w:rFonts w:ascii="Calibri" w:hAnsi="Calibri" w:cs="Calibri"/>
                <w:sz w:val="18"/>
                <w:szCs w:val="18"/>
              </w:rPr>
              <w:t xml:space="preserve"> </w:t>
            </w:r>
          </w:p>
          <w:p w:rsidR="00E10C54" w:rsidRPr="002847AE" w:rsidRDefault="00AC081E" w:rsidP="00E10C54">
            <w:pPr>
              <w:rPr>
                <w:rFonts w:ascii="Calibri" w:eastAsiaTheme="minorHAnsi" w:hAnsi="Calibri" w:cs="Calibri"/>
                <w:sz w:val="18"/>
                <w:szCs w:val="18"/>
              </w:rPr>
            </w:pPr>
            <w:proofErr w:type="gramStart"/>
            <w:r w:rsidRPr="00AC081E">
              <w:rPr>
                <w:rFonts w:ascii="Calibri" w:hAnsi="Calibri" w:cs="Calibri"/>
                <w:sz w:val="18"/>
                <w:szCs w:val="18"/>
                <w:vertAlign w:val="superscript"/>
              </w:rPr>
              <w:t>a</w:t>
            </w:r>
            <w:proofErr w:type="gramEnd"/>
            <w:r w:rsidR="00665CB4">
              <w:rPr>
                <w:rFonts w:ascii="Calibri" w:hAnsi="Calibri" w:cs="Calibri"/>
                <w:sz w:val="18"/>
                <w:szCs w:val="18"/>
                <w:vertAlign w:val="superscript"/>
              </w:rPr>
              <w:t xml:space="preserve"> </w:t>
            </w:r>
            <w:r w:rsidR="00E10C54" w:rsidRPr="002847AE">
              <w:rPr>
                <w:rFonts w:ascii="Calibri" w:hAnsi="Calibri" w:cs="Calibri"/>
                <w:sz w:val="18"/>
                <w:szCs w:val="18"/>
              </w:rPr>
              <w:t xml:space="preserve">Data for other populations were absent or too limited for analysis. </w:t>
            </w:r>
          </w:p>
          <w:p w:rsidR="00E10C54" w:rsidRPr="00A21238" w:rsidRDefault="00E10C54" w:rsidP="00E10C54">
            <w:pPr>
              <w:rPr>
                <w:rFonts w:ascii="Century Gothic" w:hAnsi="Century Gothic"/>
                <w:b/>
                <w:bCs/>
                <w:sz w:val="20"/>
                <w:szCs w:val="20"/>
              </w:rPr>
            </w:pPr>
          </w:p>
          <w:p w:rsidR="000809E3" w:rsidRPr="00A21238" w:rsidRDefault="000809E3" w:rsidP="00E10C54">
            <w:pPr>
              <w:rPr>
                <w:rFonts w:ascii="Century Gothic" w:hAnsi="Century Gothic"/>
                <w:b/>
                <w:bCs/>
                <w:sz w:val="20"/>
                <w:szCs w:val="20"/>
              </w:rPr>
            </w:pPr>
          </w:p>
          <w:p w:rsidR="004B4823" w:rsidRPr="00EC6C32" w:rsidRDefault="00E10C54" w:rsidP="00E10C54">
            <w:pPr>
              <w:ind w:hanging="105"/>
              <w:rPr>
                <w:b/>
                <w:bCs/>
                <w:sz w:val="22"/>
                <w:szCs w:val="22"/>
              </w:rPr>
            </w:pPr>
            <w:r w:rsidRPr="00EC6C32">
              <w:rPr>
                <w:b/>
                <w:bCs/>
                <w:sz w:val="22"/>
                <w:szCs w:val="22"/>
              </w:rPr>
              <w:t xml:space="preserve">Table </w:t>
            </w:r>
            <w:r w:rsidR="00A566D8" w:rsidRPr="00EC6C32">
              <w:rPr>
                <w:b/>
                <w:bCs/>
                <w:sz w:val="22"/>
                <w:szCs w:val="22"/>
              </w:rPr>
              <w:t>6</w:t>
            </w:r>
            <w:r w:rsidR="004B4823" w:rsidRPr="00EC6C32">
              <w:rPr>
                <w:b/>
                <w:bCs/>
                <w:sz w:val="22"/>
                <w:szCs w:val="22"/>
              </w:rPr>
              <w:t xml:space="preserve">:  Mean and Median age in Asian and Non-Asian lung adenocarcinoma patients </w:t>
            </w:r>
          </w:p>
          <w:p w:rsidR="004B4823" w:rsidRPr="00A21238" w:rsidRDefault="004B4823" w:rsidP="004B4823">
            <w:pPr>
              <w:ind w:hanging="108"/>
              <w:rPr>
                <w:rFonts w:ascii="Century Gothic" w:hAnsi="Century Gothic"/>
                <w:b/>
                <w:bCs/>
                <w:sz w:val="20"/>
                <w:szCs w:val="20"/>
              </w:rPr>
            </w:pPr>
            <w:r w:rsidRPr="00EC6C32">
              <w:rPr>
                <w:b/>
                <w:bCs/>
                <w:sz w:val="22"/>
                <w:szCs w:val="22"/>
              </w:rPr>
              <w:t xml:space="preserve">assessed for </w:t>
            </w:r>
            <w:r w:rsidRPr="00EC6C32">
              <w:rPr>
                <w:b/>
                <w:bCs/>
                <w:i/>
                <w:sz w:val="22"/>
                <w:szCs w:val="22"/>
              </w:rPr>
              <w:t>EGFR</w:t>
            </w:r>
            <w:r w:rsidRPr="00EC6C32">
              <w:rPr>
                <w:b/>
                <w:bCs/>
                <w:sz w:val="22"/>
                <w:szCs w:val="22"/>
              </w:rPr>
              <w:t xml:space="preserve"> mutation </w:t>
            </w:r>
            <w:proofErr w:type="spellStart"/>
            <w:r w:rsidRPr="00EC6C32">
              <w:rPr>
                <w:b/>
                <w:bCs/>
                <w:sz w:val="22"/>
                <w:szCs w:val="22"/>
              </w:rPr>
              <w:t>status</w:t>
            </w:r>
            <w:r w:rsidR="00AC081E" w:rsidRPr="00AC081E">
              <w:rPr>
                <w:rFonts w:ascii="Times New Roman Bold" w:hAnsi="Times New Roman Bold"/>
                <w:b/>
                <w:bCs/>
                <w:sz w:val="22"/>
                <w:szCs w:val="22"/>
                <w:vertAlign w:val="superscript"/>
              </w:rPr>
              <w:t>a</w:t>
            </w:r>
            <w:proofErr w:type="spellEnd"/>
          </w:p>
        </w:tc>
      </w:tr>
      <w:tr w:rsidR="008C5CFC" w:rsidRPr="00A21238" w:rsidTr="00DE7B57">
        <w:trPr>
          <w:trHeight w:val="315"/>
        </w:trPr>
        <w:tc>
          <w:tcPr>
            <w:tcW w:w="1086" w:type="pct"/>
            <w:tcBorders>
              <w:top w:val="nil"/>
              <w:left w:val="nil"/>
              <w:bottom w:val="nil"/>
              <w:right w:val="nil"/>
            </w:tcBorders>
            <w:shd w:val="clear" w:color="auto" w:fill="auto"/>
            <w:noWrap/>
            <w:vAlign w:val="bottom"/>
            <w:hideMark/>
          </w:tcPr>
          <w:p w:rsidR="004B4823" w:rsidRPr="00A21238" w:rsidRDefault="004B4823" w:rsidP="004B4823">
            <w:pPr>
              <w:rPr>
                <w:rFonts w:ascii="Calibri" w:hAnsi="Calibri" w:cs="Calibri"/>
                <w:sz w:val="22"/>
                <w:szCs w:val="22"/>
              </w:rPr>
            </w:pPr>
          </w:p>
        </w:tc>
        <w:tc>
          <w:tcPr>
            <w:tcW w:w="1114"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B4823" w:rsidRPr="00A21238" w:rsidRDefault="004B4823" w:rsidP="00525241">
            <w:pPr>
              <w:jc w:val="center"/>
              <w:rPr>
                <w:rFonts w:ascii="Calibri" w:hAnsi="Calibri" w:cs="Calibri"/>
                <w:b/>
                <w:bCs/>
                <w:sz w:val="20"/>
                <w:szCs w:val="20"/>
              </w:rPr>
            </w:pPr>
            <w:r w:rsidRPr="00A21238">
              <w:rPr>
                <w:rFonts w:ascii="Calibri" w:hAnsi="Calibri" w:cs="Calibri"/>
                <w:b/>
                <w:bCs/>
                <w:sz w:val="20"/>
                <w:szCs w:val="20"/>
              </w:rPr>
              <w:t xml:space="preserve">Mean </w:t>
            </w:r>
            <w:r w:rsidRPr="00A21238">
              <w:rPr>
                <w:rFonts w:ascii="Calibri" w:hAnsi="Calibri" w:cs="Calibri"/>
                <w:b/>
                <w:bCs/>
                <w:sz w:val="20"/>
                <w:szCs w:val="20"/>
                <w:u w:val="single"/>
              </w:rPr>
              <w:t>+</w:t>
            </w:r>
            <w:r w:rsidRPr="00A21238">
              <w:rPr>
                <w:rFonts w:ascii="Calibri" w:hAnsi="Calibri" w:cs="Calibri"/>
                <w:b/>
                <w:bCs/>
                <w:sz w:val="20"/>
                <w:szCs w:val="20"/>
              </w:rPr>
              <w:t xml:space="preserve"> SD</w:t>
            </w:r>
          </w:p>
        </w:tc>
        <w:tc>
          <w:tcPr>
            <w:tcW w:w="360" w:type="pct"/>
            <w:tcBorders>
              <w:top w:val="nil"/>
              <w:left w:val="nil"/>
              <w:bottom w:val="nil"/>
              <w:right w:val="nil"/>
            </w:tcBorders>
            <w:shd w:val="clear" w:color="auto" w:fill="auto"/>
            <w:noWrap/>
            <w:vAlign w:val="bottom"/>
            <w:hideMark/>
          </w:tcPr>
          <w:p w:rsidR="004B4823" w:rsidRPr="00A21238" w:rsidRDefault="004B4823" w:rsidP="004B4823">
            <w:pPr>
              <w:rPr>
                <w:rFonts w:ascii="Calibri" w:hAnsi="Calibri" w:cs="Calibri"/>
                <w:sz w:val="22"/>
                <w:szCs w:val="22"/>
              </w:rPr>
            </w:pPr>
          </w:p>
        </w:tc>
        <w:tc>
          <w:tcPr>
            <w:tcW w:w="683" w:type="pct"/>
            <w:tcBorders>
              <w:top w:val="nil"/>
              <w:left w:val="nil"/>
              <w:bottom w:val="nil"/>
              <w:right w:val="nil"/>
            </w:tcBorders>
            <w:shd w:val="clear" w:color="auto" w:fill="auto"/>
            <w:noWrap/>
            <w:vAlign w:val="bottom"/>
            <w:hideMark/>
          </w:tcPr>
          <w:p w:rsidR="004B4823" w:rsidRPr="00A21238" w:rsidRDefault="004B4823" w:rsidP="004B4823">
            <w:pPr>
              <w:rPr>
                <w:rFonts w:ascii="Calibri" w:hAnsi="Calibri" w:cs="Calibri"/>
                <w:sz w:val="22"/>
                <w:szCs w:val="22"/>
              </w:rPr>
            </w:pPr>
          </w:p>
        </w:tc>
        <w:tc>
          <w:tcPr>
            <w:tcW w:w="373" w:type="pct"/>
            <w:tcBorders>
              <w:top w:val="nil"/>
              <w:left w:val="nil"/>
              <w:bottom w:val="nil"/>
              <w:right w:val="nil"/>
            </w:tcBorders>
            <w:shd w:val="clear" w:color="auto" w:fill="auto"/>
            <w:noWrap/>
            <w:vAlign w:val="bottom"/>
            <w:hideMark/>
          </w:tcPr>
          <w:p w:rsidR="004B4823" w:rsidRPr="00A21238" w:rsidRDefault="004B4823" w:rsidP="004B4823">
            <w:pPr>
              <w:rPr>
                <w:rFonts w:ascii="Calibri" w:hAnsi="Calibri" w:cs="Calibri"/>
                <w:sz w:val="22"/>
                <w:szCs w:val="22"/>
              </w:rPr>
            </w:pPr>
          </w:p>
        </w:tc>
        <w:tc>
          <w:tcPr>
            <w:tcW w:w="1385" w:type="pct"/>
            <w:tcBorders>
              <w:top w:val="nil"/>
              <w:left w:val="nil"/>
              <w:bottom w:val="nil"/>
              <w:right w:val="nil"/>
            </w:tcBorders>
            <w:shd w:val="clear" w:color="auto" w:fill="auto"/>
            <w:noWrap/>
            <w:vAlign w:val="bottom"/>
            <w:hideMark/>
          </w:tcPr>
          <w:p w:rsidR="004B4823" w:rsidRPr="00A21238" w:rsidRDefault="004B4823" w:rsidP="004B4823">
            <w:pPr>
              <w:rPr>
                <w:rFonts w:ascii="Century Gothic" w:hAnsi="Century Gothic"/>
                <w:sz w:val="20"/>
                <w:szCs w:val="20"/>
              </w:rPr>
            </w:pPr>
          </w:p>
        </w:tc>
      </w:tr>
      <w:tr w:rsidR="008C5CFC" w:rsidRPr="00A21238" w:rsidTr="00DE7B57">
        <w:trPr>
          <w:trHeight w:val="285"/>
        </w:trPr>
        <w:tc>
          <w:tcPr>
            <w:tcW w:w="1086" w:type="pct"/>
            <w:tcBorders>
              <w:top w:val="single" w:sz="8" w:space="0" w:color="auto"/>
              <w:left w:val="single" w:sz="8" w:space="0" w:color="auto"/>
              <w:bottom w:val="single" w:sz="8" w:space="0" w:color="auto"/>
              <w:right w:val="single" w:sz="8" w:space="0" w:color="auto"/>
            </w:tcBorders>
            <w:shd w:val="clear" w:color="auto" w:fill="auto"/>
            <w:noWrap/>
            <w:hideMark/>
          </w:tcPr>
          <w:p w:rsidR="004B4823" w:rsidRPr="00A21238" w:rsidRDefault="004B4823" w:rsidP="004B4823">
            <w:pPr>
              <w:rPr>
                <w:rFonts w:ascii="Century Gothic" w:hAnsi="Century Gothic"/>
                <w:b/>
                <w:bCs/>
                <w:sz w:val="20"/>
                <w:szCs w:val="20"/>
              </w:rPr>
            </w:pPr>
            <w:r w:rsidRPr="00A21238">
              <w:rPr>
                <w:rFonts w:ascii="Century Gothic" w:hAnsi="Century Gothic"/>
                <w:b/>
                <w:bCs/>
                <w:sz w:val="20"/>
                <w:szCs w:val="20"/>
              </w:rPr>
              <w:t> </w:t>
            </w:r>
          </w:p>
        </w:tc>
        <w:tc>
          <w:tcPr>
            <w:tcW w:w="540" w:type="pct"/>
            <w:tcBorders>
              <w:top w:val="nil"/>
              <w:left w:val="nil"/>
              <w:bottom w:val="single" w:sz="8" w:space="0" w:color="auto"/>
              <w:right w:val="single" w:sz="8" w:space="0" w:color="auto"/>
            </w:tcBorders>
            <w:shd w:val="clear" w:color="auto" w:fill="auto"/>
            <w:vAlign w:val="bottom"/>
            <w:hideMark/>
          </w:tcPr>
          <w:p w:rsidR="004B4823" w:rsidRPr="00A21238" w:rsidRDefault="004B4823" w:rsidP="00525241">
            <w:pPr>
              <w:jc w:val="center"/>
              <w:rPr>
                <w:rFonts w:ascii="Calibri" w:hAnsi="Calibri" w:cs="Calibri"/>
                <w:b/>
                <w:bCs/>
                <w:i/>
                <w:iCs/>
                <w:sz w:val="20"/>
                <w:szCs w:val="20"/>
              </w:rPr>
            </w:pPr>
            <w:r w:rsidRPr="00A21238">
              <w:rPr>
                <w:rFonts w:ascii="Calibri" w:hAnsi="Calibri" w:cs="Calibri"/>
                <w:b/>
                <w:bCs/>
                <w:i/>
                <w:iCs/>
                <w:sz w:val="20"/>
                <w:szCs w:val="20"/>
              </w:rPr>
              <w:t>EGFR</w:t>
            </w:r>
            <w:r w:rsidRPr="00A21238">
              <w:rPr>
                <w:rFonts w:ascii="Calibri" w:hAnsi="Calibri" w:cs="Calibri"/>
                <w:b/>
                <w:bCs/>
                <w:sz w:val="20"/>
                <w:szCs w:val="20"/>
              </w:rPr>
              <w:t xml:space="preserve"> Pos</w:t>
            </w:r>
            <w:r w:rsidR="00BF402B" w:rsidRPr="00A21238">
              <w:rPr>
                <w:rFonts w:ascii="Calibri" w:hAnsi="Calibri" w:cs="Calibri"/>
                <w:b/>
                <w:bCs/>
                <w:sz w:val="20"/>
                <w:szCs w:val="20"/>
              </w:rPr>
              <w:t>itive</w:t>
            </w:r>
          </w:p>
        </w:tc>
        <w:tc>
          <w:tcPr>
            <w:tcW w:w="574" w:type="pct"/>
            <w:tcBorders>
              <w:top w:val="nil"/>
              <w:left w:val="nil"/>
              <w:bottom w:val="single" w:sz="8" w:space="0" w:color="auto"/>
              <w:right w:val="single" w:sz="8" w:space="0" w:color="auto"/>
            </w:tcBorders>
            <w:shd w:val="clear" w:color="auto" w:fill="auto"/>
            <w:vAlign w:val="bottom"/>
            <w:hideMark/>
          </w:tcPr>
          <w:p w:rsidR="004B4823" w:rsidRPr="00A21238" w:rsidRDefault="004B4823" w:rsidP="00525241">
            <w:pPr>
              <w:jc w:val="center"/>
              <w:rPr>
                <w:rFonts w:ascii="Calibri" w:hAnsi="Calibri" w:cs="Calibri"/>
                <w:b/>
                <w:bCs/>
                <w:i/>
                <w:iCs/>
                <w:sz w:val="20"/>
                <w:szCs w:val="20"/>
              </w:rPr>
            </w:pPr>
            <w:r w:rsidRPr="00A21238">
              <w:rPr>
                <w:rFonts w:ascii="Calibri" w:hAnsi="Calibri" w:cs="Calibri"/>
                <w:b/>
                <w:bCs/>
                <w:i/>
                <w:iCs/>
                <w:sz w:val="20"/>
                <w:szCs w:val="20"/>
              </w:rPr>
              <w:t>EGFR</w:t>
            </w:r>
            <w:r w:rsidRPr="00A21238">
              <w:rPr>
                <w:rFonts w:ascii="Calibri" w:hAnsi="Calibri" w:cs="Calibri"/>
                <w:b/>
                <w:bCs/>
                <w:sz w:val="20"/>
                <w:szCs w:val="20"/>
              </w:rPr>
              <w:t xml:space="preserve"> Neg</w:t>
            </w:r>
            <w:r w:rsidR="00BF402B" w:rsidRPr="00A21238">
              <w:rPr>
                <w:rFonts w:ascii="Calibri" w:hAnsi="Calibri" w:cs="Calibri"/>
                <w:b/>
                <w:bCs/>
                <w:sz w:val="20"/>
                <w:szCs w:val="20"/>
              </w:rPr>
              <w:t>ative</w:t>
            </w:r>
          </w:p>
        </w:tc>
        <w:tc>
          <w:tcPr>
            <w:tcW w:w="360" w:type="pct"/>
            <w:tcBorders>
              <w:top w:val="single" w:sz="8" w:space="0" w:color="auto"/>
              <w:left w:val="nil"/>
              <w:bottom w:val="single" w:sz="8" w:space="0" w:color="auto"/>
              <w:right w:val="single" w:sz="8" w:space="0" w:color="auto"/>
            </w:tcBorders>
            <w:shd w:val="clear" w:color="auto" w:fill="auto"/>
            <w:vAlign w:val="bottom"/>
            <w:hideMark/>
          </w:tcPr>
          <w:p w:rsidR="004B4823" w:rsidRPr="00A21238" w:rsidRDefault="004B4823" w:rsidP="00525241">
            <w:pPr>
              <w:jc w:val="center"/>
              <w:rPr>
                <w:rFonts w:ascii="Calibri" w:hAnsi="Calibri" w:cs="Calibri"/>
                <w:b/>
                <w:bCs/>
                <w:sz w:val="20"/>
                <w:szCs w:val="20"/>
              </w:rPr>
            </w:pPr>
            <w:r w:rsidRPr="00A21238">
              <w:rPr>
                <w:rFonts w:ascii="Calibri" w:hAnsi="Calibri" w:cs="Calibri"/>
                <w:b/>
                <w:bCs/>
                <w:sz w:val="20"/>
                <w:szCs w:val="20"/>
              </w:rPr>
              <w:t>n(N)</w:t>
            </w:r>
          </w:p>
        </w:tc>
        <w:tc>
          <w:tcPr>
            <w:tcW w:w="683" w:type="pct"/>
            <w:tcBorders>
              <w:top w:val="single" w:sz="8" w:space="0" w:color="auto"/>
              <w:left w:val="nil"/>
              <w:bottom w:val="single" w:sz="8" w:space="0" w:color="auto"/>
              <w:right w:val="single" w:sz="8" w:space="0" w:color="auto"/>
            </w:tcBorders>
            <w:shd w:val="clear" w:color="auto" w:fill="auto"/>
            <w:vAlign w:val="bottom"/>
            <w:hideMark/>
          </w:tcPr>
          <w:p w:rsidR="004B4823" w:rsidRPr="00A21238" w:rsidRDefault="004B4823" w:rsidP="00525241">
            <w:pPr>
              <w:jc w:val="center"/>
              <w:rPr>
                <w:rFonts w:ascii="Calibri" w:hAnsi="Calibri" w:cs="Calibri"/>
                <w:b/>
                <w:bCs/>
                <w:sz w:val="20"/>
                <w:szCs w:val="20"/>
              </w:rPr>
            </w:pPr>
            <w:r w:rsidRPr="00A21238">
              <w:rPr>
                <w:rFonts w:ascii="Calibri" w:hAnsi="Calibri" w:cs="Calibri"/>
                <w:b/>
                <w:bCs/>
                <w:sz w:val="20"/>
                <w:szCs w:val="20"/>
              </w:rPr>
              <w:t>WMD</w:t>
            </w:r>
          </w:p>
        </w:tc>
        <w:tc>
          <w:tcPr>
            <w:tcW w:w="373" w:type="pct"/>
            <w:tcBorders>
              <w:top w:val="single" w:sz="8" w:space="0" w:color="auto"/>
              <w:left w:val="nil"/>
              <w:bottom w:val="single" w:sz="8" w:space="0" w:color="auto"/>
              <w:right w:val="single" w:sz="8" w:space="0" w:color="auto"/>
            </w:tcBorders>
            <w:shd w:val="clear" w:color="auto" w:fill="auto"/>
            <w:vAlign w:val="bottom"/>
            <w:hideMark/>
          </w:tcPr>
          <w:p w:rsidR="004B4823" w:rsidRPr="00A21238" w:rsidRDefault="00F60EE8" w:rsidP="00525241">
            <w:pPr>
              <w:jc w:val="center"/>
              <w:rPr>
                <w:rFonts w:ascii="Calibri" w:hAnsi="Calibri" w:cs="Calibri"/>
                <w:b/>
                <w:bCs/>
                <w:sz w:val="20"/>
                <w:szCs w:val="20"/>
              </w:rPr>
            </w:pPr>
            <w:r w:rsidRPr="00A21238">
              <w:rPr>
                <w:rFonts w:ascii="Calibri" w:hAnsi="Calibri" w:cs="Calibri"/>
                <w:b/>
                <w:bCs/>
                <w:i/>
                <w:sz w:val="20"/>
                <w:szCs w:val="20"/>
              </w:rPr>
              <w:t>P</w:t>
            </w:r>
            <w:r w:rsidR="004B4823" w:rsidRPr="00A21238">
              <w:rPr>
                <w:rFonts w:ascii="Calibri" w:hAnsi="Calibri" w:cs="Calibri"/>
                <w:b/>
                <w:bCs/>
                <w:sz w:val="20"/>
                <w:szCs w:val="20"/>
              </w:rPr>
              <w:t>-value</w:t>
            </w:r>
          </w:p>
        </w:tc>
        <w:tc>
          <w:tcPr>
            <w:tcW w:w="1385" w:type="pct"/>
            <w:tcBorders>
              <w:top w:val="nil"/>
              <w:left w:val="nil"/>
              <w:bottom w:val="nil"/>
              <w:right w:val="nil"/>
            </w:tcBorders>
            <w:shd w:val="clear" w:color="auto" w:fill="auto"/>
            <w:noWrap/>
            <w:vAlign w:val="bottom"/>
            <w:hideMark/>
          </w:tcPr>
          <w:p w:rsidR="004B4823" w:rsidRPr="00A21238" w:rsidRDefault="004B4823" w:rsidP="004B4823">
            <w:pPr>
              <w:rPr>
                <w:rFonts w:ascii="Century Gothic" w:hAnsi="Century Gothic"/>
                <w:sz w:val="20"/>
                <w:szCs w:val="20"/>
              </w:rPr>
            </w:pPr>
          </w:p>
        </w:tc>
      </w:tr>
      <w:tr w:rsidR="008C5CFC" w:rsidRPr="00A21238" w:rsidTr="008C5CFC">
        <w:trPr>
          <w:trHeight w:val="285"/>
        </w:trPr>
        <w:tc>
          <w:tcPr>
            <w:tcW w:w="1086" w:type="pct"/>
            <w:tcBorders>
              <w:top w:val="nil"/>
              <w:left w:val="single" w:sz="8" w:space="0" w:color="auto"/>
              <w:bottom w:val="single" w:sz="8" w:space="0" w:color="auto"/>
              <w:right w:val="single" w:sz="8" w:space="0" w:color="auto"/>
            </w:tcBorders>
            <w:shd w:val="clear" w:color="auto" w:fill="auto"/>
            <w:noWrap/>
            <w:vAlign w:val="bottom"/>
            <w:hideMark/>
          </w:tcPr>
          <w:p w:rsidR="004B4823" w:rsidRPr="00A21238" w:rsidRDefault="004B4823" w:rsidP="0002496E">
            <w:pPr>
              <w:rPr>
                <w:rFonts w:ascii="Calibri" w:hAnsi="Calibri" w:cs="Calibri"/>
                <w:b/>
                <w:bCs/>
                <w:sz w:val="20"/>
                <w:szCs w:val="20"/>
              </w:rPr>
            </w:pPr>
            <w:r w:rsidRPr="00A21238">
              <w:rPr>
                <w:rFonts w:ascii="Calibri" w:hAnsi="Calibri" w:cs="Calibri"/>
                <w:b/>
                <w:bCs/>
                <w:sz w:val="20"/>
                <w:szCs w:val="20"/>
              </w:rPr>
              <w:t>Median Age (Asian patients)</w:t>
            </w:r>
            <w:r w:rsidR="0002496E" w:rsidRPr="0002496E">
              <w:rPr>
                <w:rFonts w:ascii="Calibri" w:hAnsi="Calibri" w:cs="Calibri"/>
                <w:b/>
                <w:bCs/>
                <w:noProof/>
                <w:sz w:val="20"/>
                <w:szCs w:val="20"/>
                <w:vertAlign w:val="superscript"/>
              </w:rPr>
              <w:t>10, 12, 15, 27, 31, 34, 35</w:t>
            </w:r>
            <w:r w:rsidRPr="00A21238">
              <w:rPr>
                <w:rFonts w:ascii="Calibri" w:hAnsi="Calibri" w:cs="Calibri"/>
                <w:b/>
                <w:bCs/>
                <w:sz w:val="20"/>
                <w:szCs w:val="20"/>
              </w:rPr>
              <w:t xml:space="preserve"> </w:t>
            </w:r>
          </w:p>
        </w:tc>
        <w:tc>
          <w:tcPr>
            <w:tcW w:w="540" w:type="pct"/>
            <w:tcBorders>
              <w:top w:val="nil"/>
              <w:left w:val="nil"/>
              <w:bottom w:val="single" w:sz="8" w:space="0" w:color="auto"/>
              <w:right w:val="single" w:sz="8" w:space="0" w:color="auto"/>
            </w:tcBorders>
            <w:shd w:val="clear" w:color="auto" w:fill="auto"/>
            <w:noWrap/>
            <w:vAlign w:val="bottom"/>
            <w:hideMark/>
          </w:tcPr>
          <w:p w:rsidR="004B4823" w:rsidRPr="00A21238" w:rsidRDefault="004B4823" w:rsidP="004B4823">
            <w:pPr>
              <w:rPr>
                <w:rFonts w:ascii="Calibri" w:hAnsi="Calibri" w:cs="Calibri"/>
                <w:sz w:val="20"/>
                <w:szCs w:val="20"/>
              </w:rPr>
            </w:pPr>
            <w:r w:rsidRPr="00A21238">
              <w:rPr>
                <w:rFonts w:ascii="Calibri" w:hAnsi="Calibri" w:cs="Calibri"/>
                <w:sz w:val="20"/>
                <w:szCs w:val="20"/>
              </w:rPr>
              <w:t xml:space="preserve">60.0 </w:t>
            </w:r>
            <w:r w:rsidRPr="00A21238">
              <w:rPr>
                <w:rFonts w:ascii="Calibri" w:hAnsi="Calibri" w:cs="Calibri"/>
                <w:sz w:val="20"/>
                <w:szCs w:val="20"/>
                <w:u w:val="single"/>
              </w:rPr>
              <w:t>+</w:t>
            </w:r>
            <w:r w:rsidRPr="00A21238">
              <w:rPr>
                <w:rFonts w:ascii="Calibri" w:hAnsi="Calibri" w:cs="Calibri"/>
                <w:sz w:val="20"/>
                <w:szCs w:val="20"/>
              </w:rPr>
              <w:t xml:space="preserve"> 4.1</w:t>
            </w:r>
          </w:p>
        </w:tc>
        <w:tc>
          <w:tcPr>
            <w:tcW w:w="574" w:type="pct"/>
            <w:tcBorders>
              <w:top w:val="nil"/>
              <w:left w:val="nil"/>
              <w:bottom w:val="single" w:sz="8" w:space="0" w:color="auto"/>
              <w:right w:val="single" w:sz="8" w:space="0" w:color="auto"/>
            </w:tcBorders>
            <w:shd w:val="clear" w:color="auto" w:fill="auto"/>
            <w:noWrap/>
            <w:vAlign w:val="bottom"/>
            <w:hideMark/>
          </w:tcPr>
          <w:p w:rsidR="004B4823" w:rsidRPr="00A21238" w:rsidRDefault="004B4823" w:rsidP="004B4823">
            <w:pPr>
              <w:rPr>
                <w:rFonts w:ascii="Calibri" w:hAnsi="Calibri" w:cs="Calibri"/>
                <w:sz w:val="20"/>
                <w:szCs w:val="20"/>
              </w:rPr>
            </w:pPr>
            <w:r w:rsidRPr="00A21238">
              <w:rPr>
                <w:rFonts w:ascii="Calibri" w:hAnsi="Calibri" w:cs="Calibri"/>
                <w:sz w:val="20"/>
                <w:szCs w:val="20"/>
              </w:rPr>
              <w:t xml:space="preserve">63.6 </w:t>
            </w:r>
            <w:r w:rsidRPr="00A21238">
              <w:rPr>
                <w:rFonts w:ascii="Calibri" w:hAnsi="Calibri" w:cs="Calibri"/>
                <w:sz w:val="20"/>
                <w:szCs w:val="20"/>
                <w:u w:val="single"/>
              </w:rPr>
              <w:t>+</w:t>
            </w:r>
            <w:r w:rsidRPr="00A21238">
              <w:rPr>
                <w:rFonts w:ascii="Calibri" w:hAnsi="Calibri" w:cs="Calibri"/>
                <w:sz w:val="20"/>
                <w:szCs w:val="20"/>
              </w:rPr>
              <w:t xml:space="preserve"> 4.0</w:t>
            </w:r>
          </w:p>
        </w:tc>
        <w:tc>
          <w:tcPr>
            <w:tcW w:w="360" w:type="pct"/>
            <w:tcBorders>
              <w:top w:val="nil"/>
              <w:left w:val="nil"/>
              <w:bottom w:val="single" w:sz="8" w:space="0" w:color="auto"/>
              <w:right w:val="single" w:sz="8" w:space="0" w:color="auto"/>
            </w:tcBorders>
            <w:shd w:val="clear" w:color="auto" w:fill="auto"/>
            <w:noWrap/>
            <w:vAlign w:val="bottom"/>
            <w:hideMark/>
          </w:tcPr>
          <w:p w:rsidR="004B4823" w:rsidRPr="00A21238" w:rsidRDefault="004B4823" w:rsidP="004B4823">
            <w:pPr>
              <w:rPr>
                <w:rFonts w:ascii="Calibri" w:hAnsi="Calibri" w:cs="Calibri"/>
                <w:sz w:val="20"/>
                <w:szCs w:val="20"/>
              </w:rPr>
            </w:pPr>
            <w:r w:rsidRPr="00A21238">
              <w:rPr>
                <w:rFonts w:ascii="Calibri" w:hAnsi="Calibri" w:cs="Calibri"/>
                <w:sz w:val="20"/>
                <w:szCs w:val="20"/>
              </w:rPr>
              <w:t>7(801)</w:t>
            </w:r>
          </w:p>
        </w:tc>
        <w:tc>
          <w:tcPr>
            <w:tcW w:w="683" w:type="pct"/>
            <w:tcBorders>
              <w:top w:val="nil"/>
              <w:left w:val="nil"/>
              <w:bottom w:val="single" w:sz="8" w:space="0" w:color="auto"/>
              <w:right w:val="single" w:sz="8" w:space="0" w:color="auto"/>
            </w:tcBorders>
            <w:shd w:val="clear" w:color="auto" w:fill="auto"/>
            <w:noWrap/>
            <w:vAlign w:val="bottom"/>
            <w:hideMark/>
          </w:tcPr>
          <w:p w:rsidR="004B4823" w:rsidRPr="00A21238" w:rsidRDefault="004B4823" w:rsidP="004B4823">
            <w:pPr>
              <w:rPr>
                <w:rFonts w:ascii="Calibri" w:hAnsi="Calibri" w:cs="Calibri"/>
                <w:sz w:val="20"/>
                <w:szCs w:val="20"/>
              </w:rPr>
            </w:pPr>
            <w:r w:rsidRPr="00A21238">
              <w:rPr>
                <w:rFonts w:ascii="Calibri" w:hAnsi="Calibri" w:cs="Calibri"/>
                <w:sz w:val="20"/>
                <w:szCs w:val="20"/>
              </w:rPr>
              <w:t>-3.41[-5.12,-1.70]</w:t>
            </w:r>
          </w:p>
        </w:tc>
        <w:tc>
          <w:tcPr>
            <w:tcW w:w="373" w:type="pct"/>
            <w:tcBorders>
              <w:top w:val="nil"/>
              <w:left w:val="nil"/>
              <w:bottom w:val="single" w:sz="8" w:space="0" w:color="auto"/>
              <w:right w:val="single" w:sz="8" w:space="0" w:color="auto"/>
            </w:tcBorders>
            <w:shd w:val="clear" w:color="auto" w:fill="auto"/>
            <w:noWrap/>
            <w:vAlign w:val="bottom"/>
            <w:hideMark/>
          </w:tcPr>
          <w:p w:rsidR="004B4823" w:rsidRPr="00A21238" w:rsidRDefault="00F60EE8" w:rsidP="004B4823">
            <w:pPr>
              <w:rPr>
                <w:rFonts w:ascii="Calibri" w:hAnsi="Calibri" w:cs="Calibri"/>
                <w:sz w:val="20"/>
                <w:szCs w:val="20"/>
              </w:rPr>
            </w:pPr>
            <w:r w:rsidRPr="00A21238">
              <w:rPr>
                <w:rFonts w:ascii="Calibri" w:hAnsi="Calibri" w:cs="Calibri"/>
                <w:i/>
                <w:sz w:val="20"/>
                <w:szCs w:val="20"/>
              </w:rPr>
              <w:t>P</w:t>
            </w:r>
            <w:r w:rsidRPr="00A21238">
              <w:rPr>
                <w:rFonts w:ascii="Calibri" w:hAnsi="Calibri" w:cs="Calibri"/>
                <w:sz w:val="20"/>
                <w:szCs w:val="20"/>
              </w:rPr>
              <w:t>&lt;.001</w:t>
            </w:r>
          </w:p>
        </w:tc>
        <w:tc>
          <w:tcPr>
            <w:tcW w:w="1385" w:type="pct"/>
            <w:tcBorders>
              <w:top w:val="nil"/>
              <w:left w:val="nil"/>
              <w:bottom w:val="nil"/>
              <w:right w:val="nil"/>
            </w:tcBorders>
            <w:shd w:val="clear" w:color="auto" w:fill="auto"/>
            <w:noWrap/>
            <w:vAlign w:val="bottom"/>
            <w:hideMark/>
          </w:tcPr>
          <w:p w:rsidR="004B4823" w:rsidRPr="00A21238" w:rsidRDefault="004B4823" w:rsidP="004B4823">
            <w:pPr>
              <w:rPr>
                <w:rFonts w:ascii="Century Gothic" w:hAnsi="Century Gothic"/>
                <w:sz w:val="20"/>
                <w:szCs w:val="20"/>
              </w:rPr>
            </w:pPr>
          </w:p>
        </w:tc>
      </w:tr>
      <w:tr w:rsidR="008C5CFC" w:rsidRPr="00A21238" w:rsidTr="008C5CFC">
        <w:trPr>
          <w:trHeight w:val="285"/>
        </w:trPr>
        <w:tc>
          <w:tcPr>
            <w:tcW w:w="1086" w:type="pct"/>
            <w:tcBorders>
              <w:top w:val="nil"/>
              <w:left w:val="single" w:sz="8" w:space="0" w:color="auto"/>
              <w:bottom w:val="single" w:sz="8" w:space="0" w:color="auto"/>
              <w:right w:val="single" w:sz="8" w:space="0" w:color="auto"/>
            </w:tcBorders>
            <w:shd w:val="clear" w:color="auto" w:fill="auto"/>
            <w:noWrap/>
            <w:vAlign w:val="bottom"/>
            <w:hideMark/>
          </w:tcPr>
          <w:p w:rsidR="004B4823" w:rsidRPr="00A21238" w:rsidRDefault="004B4823" w:rsidP="0002496E">
            <w:pPr>
              <w:rPr>
                <w:rFonts w:ascii="Calibri" w:hAnsi="Calibri" w:cs="Calibri"/>
                <w:b/>
                <w:bCs/>
                <w:sz w:val="20"/>
                <w:szCs w:val="20"/>
              </w:rPr>
            </w:pPr>
            <w:r w:rsidRPr="00A21238">
              <w:rPr>
                <w:rFonts w:ascii="Calibri" w:hAnsi="Calibri" w:cs="Calibri"/>
                <w:b/>
                <w:bCs/>
                <w:sz w:val="20"/>
                <w:szCs w:val="20"/>
              </w:rPr>
              <w:t>Mean Age (Asian patients)</w:t>
            </w:r>
            <w:r w:rsidR="0002496E" w:rsidRPr="0002496E">
              <w:rPr>
                <w:rFonts w:ascii="Calibri" w:hAnsi="Calibri" w:cs="Calibri"/>
                <w:b/>
                <w:bCs/>
                <w:noProof/>
                <w:sz w:val="20"/>
                <w:szCs w:val="20"/>
                <w:vertAlign w:val="superscript"/>
              </w:rPr>
              <w:t>36, 37</w:t>
            </w:r>
          </w:p>
        </w:tc>
        <w:tc>
          <w:tcPr>
            <w:tcW w:w="540" w:type="pct"/>
            <w:tcBorders>
              <w:top w:val="nil"/>
              <w:left w:val="nil"/>
              <w:bottom w:val="single" w:sz="8" w:space="0" w:color="auto"/>
              <w:right w:val="single" w:sz="8" w:space="0" w:color="auto"/>
            </w:tcBorders>
            <w:shd w:val="clear" w:color="auto" w:fill="auto"/>
            <w:noWrap/>
            <w:vAlign w:val="bottom"/>
            <w:hideMark/>
          </w:tcPr>
          <w:p w:rsidR="004B4823" w:rsidRPr="00A21238" w:rsidRDefault="004B4823" w:rsidP="004B4823">
            <w:pPr>
              <w:rPr>
                <w:rFonts w:ascii="Calibri" w:hAnsi="Calibri" w:cs="Calibri"/>
                <w:sz w:val="20"/>
                <w:szCs w:val="20"/>
              </w:rPr>
            </w:pPr>
            <w:r w:rsidRPr="00A21238">
              <w:rPr>
                <w:rFonts w:ascii="Calibri" w:hAnsi="Calibri" w:cs="Calibri"/>
                <w:sz w:val="20"/>
                <w:szCs w:val="20"/>
              </w:rPr>
              <w:t xml:space="preserve">63.3 </w:t>
            </w:r>
            <w:r w:rsidRPr="00A21238">
              <w:rPr>
                <w:rFonts w:ascii="Calibri" w:hAnsi="Calibri" w:cs="Calibri"/>
                <w:sz w:val="20"/>
                <w:szCs w:val="20"/>
                <w:u w:val="single"/>
              </w:rPr>
              <w:t>+</w:t>
            </w:r>
            <w:r w:rsidRPr="00A21238">
              <w:rPr>
                <w:rFonts w:ascii="Calibri" w:hAnsi="Calibri" w:cs="Calibri"/>
                <w:sz w:val="20"/>
                <w:szCs w:val="20"/>
              </w:rPr>
              <w:t xml:space="preserve"> 2.4</w:t>
            </w:r>
          </w:p>
        </w:tc>
        <w:tc>
          <w:tcPr>
            <w:tcW w:w="574" w:type="pct"/>
            <w:tcBorders>
              <w:top w:val="nil"/>
              <w:left w:val="nil"/>
              <w:bottom w:val="single" w:sz="8" w:space="0" w:color="auto"/>
              <w:right w:val="single" w:sz="8" w:space="0" w:color="auto"/>
            </w:tcBorders>
            <w:shd w:val="clear" w:color="auto" w:fill="auto"/>
            <w:noWrap/>
            <w:vAlign w:val="bottom"/>
            <w:hideMark/>
          </w:tcPr>
          <w:p w:rsidR="004B4823" w:rsidRPr="00A21238" w:rsidRDefault="004B4823" w:rsidP="004B4823">
            <w:pPr>
              <w:rPr>
                <w:rFonts w:ascii="Calibri" w:hAnsi="Calibri" w:cs="Calibri"/>
                <w:sz w:val="20"/>
                <w:szCs w:val="20"/>
              </w:rPr>
            </w:pPr>
            <w:r w:rsidRPr="00A21238">
              <w:rPr>
                <w:rFonts w:ascii="Calibri" w:hAnsi="Calibri" w:cs="Calibri"/>
                <w:sz w:val="20"/>
                <w:szCs w:val="20"/>
              </w:rPr>
              <w:t xml:space="preserve">63.4 </w:t>
            </w:r>
            <w:r w:rsidRPr="00A21238">
              <w:rPr>
                <w:rFonts w:ascii="Calibri" w:hAnsi="Calibri" w:cs="Calibri"/>
                <w:sz w:val="20"/>
                <w:szCs w:val="20"/>
                <w:u w:val="single"/>
              </w:rPr>
              <w:t>+</w:t>
            </w:r>
            <w:r w:rsidRPr="00A21238">
              <w:rPr>
                <w:rFonts w:ascii="Calibri" w:hAnsi="Calibri" w:cs="Calibri"/>
                <w:sz w:val="20"/>
                <w:szCs w:val="20"/>
              </w:rPr>
              <w:t xml:space="preserve"> 0.9</w:t>
            </w:r>
          </w:p>
        </w:tc>
        <w:tc>
          <w:tcPr>
            <w:tcW w:w="360" w:type="pct"/>
            <w:tcBorders>
              <w:top w:val="nil"/>
              <w:left w:val="nil"/>
              <w:bottom w:val="single" w:sz="8" w:space="0" w:color="auto"/>
              <w:right w:val="single" w:sz="8" w:space="0" w:color="auto"/>
            </w:tcBorders>
            <w:shd w:val="clear" w:color="auto" w:fill="auto"/>
            <w:noWrap/>
            <w:vAlign w:val="bottom"/>
            <w:hideMark/>
          </w:tcPr>
          <w:p w:rsidR="004B4823" w:rsidRPr="00A21238" w:rsidRDefault="004B4823" w:rsidP="004B4823">
            <w:pPr>
              <w:rPr>
                <w:rFonts w:ascii="Calibri" w:hAnsi="Calibri" w:cs="Calibri"/>
                <w:sz w:val="20"/>
                <w:szCs w:val="20"/>
              </w:rPr>
            </w:pPr>
            <w:r w:rsidRPr="00A21238">
              <w:rPr>
                <w:rFonts w:ascii="Calibri" w:hAnsi="Calibri" w:cs="Calibri"/>
                <w:sz w:val="20"/>
                <w:szCs w:val="20"/>
              </w:rPr>
              <w:t>2(701)</w:t>
            </w:r>
          </w:p>
        </w:tc>
        <w:tc>
          <w:tcPr>
            <w:tcW w:w="683" w:type="pct"/>
            <w:tcBorders>
              <w:top w:val="nil"/>
              <w:left w:val="nil"/>
              <w:bottom w:val="single" w:sz="8" w:space="0" w:color="auto"/>
              <w:right w:val="single" w:sz="8" w:space="0" w:color="auto"/>
            </w:tcBorders>
            <w:shd w:val="clear" w:color="auto" w:fill="auto"/>
            <w:noWrap/>
            <w:vAlign w:val="bottom"/>
            <w:hideMark/>
          </w:tcPr>
          <w:p w:rsidR="004B4823" w:rsidRPr="00A21238" w:rsidRDefault="004B4823" w:rsidP="004B4823">
            <w:pPr>
              <w:rPr>
                <w:rFonts w:ascii="Calibri" w:hAnsi="Calibri" w:cs="Calibri"/>
                <w:sz w:val="20"/>
                <w:szCs w:val="20"/>
              </w:rPr>
            </w:pPr>
            <w:r w:rsidRPr="00A21238">
              <w:rPr>
                <w:rFonts w:ascii="Calibri" w:hAnsi="Calibri" w:cs="Calibri"/>
                <w:sz w:val="20"/>
                <w:szCs w:val="20"/>
              </w:rPr>
              <w:t>-0.04[-2.10,2.02]</w:t>
            </w:r>
          </w:p>
        </w:tc>
        <w:tc>
          <w:tcPr>
            <w:tcW w:w="373" w:type="pct"/>
            <w:tcBorders>
              <w:top w:val="nil"/>
              <w:left w:val="nil"/>
              <w:bottom w:val="single" w:sz="8" w:space="0" w:color="auto"/>
              <w:right w:val="single" w:sz="8" w:space="0" w:color="auto"/>
            </w:tcBorders>
            <w:shd w:val="clear" w:color="auto" w:fill="auto"/>
            <w:noWrap/>
            <w:vAlign w:val="bottom"/>
            <w:hideMark/>
          </w:tcPr>
          <w:p w:rsidR="004B4823" w:rsidRPr="00A21238" w:rsidRDefault="00FE123D" w:rsidP="004B4823">
            <w:pPr>
              <w:rPr>
                <w:rFonts w:ascii="Calibri" w:hAnsi="Calibri" w:cs="Calibri"/>
                <w:sz w:val="20"/>
                <w:szCs w:val="20"/>
              </w:rPr>
            </w:pPr>
            <w:r w:rsidRPr="00FE123D">
              <w:rPr>
                <w:rFonts w:ascii="Calibri" w:hAnsi="Calibri" w:cs="Calibri"/>
                <w:i/>
                <w:sz w:val="20"/>
                <w:szCs w:val="20"/>
              </w:rPr>
              <w:t>P</w:t>
            </w:r>
            <w:r>
              <w:rPr>
                <w:rFonts w:ascii="Calibri" w:hAnsi="Calibri" w:cs="Calibri"/>
                <w:sz w:val="20"/>
                <w:szCs w:val="20"/>
              </w:rPr>
              <w:t>=</w:t>
            </w:r>
            <w:r w:rsidR="00041A50">
              <w:rPr>
                <w:rFonts w:ascii="Calibri" w:hAnsi="Calibri" w:cs="Calibri"/>
                <w:sz w:val="20"/>
                <w:szCs w:val="20"/>
              </w:rPr>
              <w:t>.97</w:t>
            </w:r>
          </w:p>
        </w:tc>
        <w:tc>
          <w:tcPr>
            <w:tcW w:w="1385" w:type="pct"/>
            <w:tcBorders>
              <w:top w:val="nil"/>
              <w:left w:val="nil"/>
              <w:bottom w:val="nil"/>
              <w:right w:val="nil"/>
            </w:tcBorders>
            <w:shd w:val="clear" w:color="auto" w:fill="auto"/>
            <w:noWrap/>
            <w:vAlign w:val="bottom"/>
            <w:hideMark/>
          </w:tcPr>
          <w:p w:rsidR="004B4823" w:rsidRPr="00A21238" w:rsidRDefault="004B4823" w:rsidP="004B4823">
            <w:pPr>
              <w:rPr>
                <w:rFonts w:ascii="Century Gothic" w:hAnsi="Century Gothic"/>
                <w:sz w:val="20"/>
                <w:szCs w:val="20"/>
              </w:rPr>
            </w:pPr>
          </w:p>
        </w:tc>
      </w:tr>
      <w:tr w:rsidR="008C5CFC" w:rsidRPr="00A21238" w:rsidTr="008C5CFC">
        <w:trPr>
          <w:trHeight w:val="285"/>
        </w:trPr>
        <w:tc>
          <w:tcPr>
            <w:tcW w:w="1086" w:type="pct"/>
            <w:tcBorders>
              <w:top w:val="nil"/>
              <w:left w:val="single" w:sz="8" w:space="0" w:color="auto"/>
              <w:bottom w:val="single" w:sz="8" w:space="0" w:color="auto"/>
              <w:right w:val="single" w:sz="8" w:space="0" w:color="auto"/>
            </w:tcBorders>
            <w:shd w:val="clear" w:color="auto" w:fill="auto"/>
            <w:noWrap/>
            <w:vAlign w:val="bottom"/>
            <w:hideMark/>
          </w:tcPr>
          <w:p w:rsidR="004B4823" w:rsidRPr="00A21238" w:rsidRDefault="004B4823" w:rsidP="0002496E">
            <w:pPr>
              <w:rPr>
                <w:rFonts w:ascii="Calibri" w:hAnsi="Calibri" w:cs="Calibri"/>
                <w:b/>
                <w:bCs/>
                <w:sz w:val="20"/>
                <w:szCs w:val="20"/>
              </w:rPr>
            </w:pPr>
            <w:r w:rsidRPr="00A21238">
              <w:rPr>
                <w:rFonts w:ascii="Calibri" w:hAnsi="Calibri" w:cs="Calibri"/>
                <w:b/>
                <w:bCs/>
                <w:sz w:val="20"/>
                <w:szCs w:val="20"/>
              </w:rPr>
              <w:t>Median Age (non-Asian patients)</w:t>
            </w:r>
            <w:r w:rsidR="0002496E" w:rsidRPr="0002496E">
              <w:rPr>
                <w:rFonts w:ascii="Calibri" w:hAnsi="Calibri" w:cs="Calibri"/>
                <w:b/>
                <w:bCs/>
                <w:noProof/>
                <w:sz w:val="20"/>
                <w:szCs w:val="20"/>
                <w:vertAlign w:val="superscript"/>
              </w:rPr>
              <w:t>10, 20, 22, 25, 43, 45, 46, 48</w:t>
            </w:r>
            <w:r w:rsidRPr="00A21238">
              <w:rPr>
                <w:rFonts w:ascii="Calibri" w:hAnsi="Calibri" w:cs="Calibri"/>
                <w:b/>
                <w:bCs/>
                <w:sz w:val="20"/>
                <w:szCs w:val="20"/>
              </w:rPr>
              <w:t xml:space="preserve"> </w:t>
            </w:r>
          </w:p>
        </w:tc>
        <w:tc>
          <w:tcPr>
            <w:tcW w:w="540" w:type="pct"/>
            <w:tcBorders>
              <w:top w:val="nil"/>
              <w:left w:val="nil"/>
              <w:bottom w:val="single" w:sz="8" w:space="0" w:color="auto"/>
              <w:right w:val="single" w:sz="8" w:space="0" w:color="auto"/>
            </w:tcBorders>
            <w:shd w:val="clear" w:color="auto" w:fill="auto"/>
            <w:noWrap/>
            <w:vAlign w:val="bottom"/>
            <w:hideMark/>
          </w:tcPr>
          <w:p w:rsidR="004B4823" w:rsidRPr="00A21238" w:rsidRDefault="004B4823" w:rsidP="004B4823">
            <w:pPr>
              <w:rPr>
                <w:rFonts w:ascii="Calibri" w:hAnsi="Calibri" w:cs="Calibri"/>
                <w:sz w:val="20"/>
                <w:szCs w:val="20"/>
              </w:rPr>
            </w:pPr>
            <w:r w:rsidRPr="00A21238">
              <w:rPr>
                <w:rFonts w:ascii="Calibri" w:hAnsi="Calibri" w:cs="Calibri"/>
                <w:sz w:val="20"/>
                <w:szCs w:val="20"/>
              </w:rPr>
              <w:t xml:space="preserve">60.4 </w:t>
            </w:r>
            <w:r w:rsidRPr="00A21238">
              <w:rPr>
                <w:rFonts w:ascii="Calibri" w:hAnsi="Calibri" w:cs="Calibri"/>
                <w:sz w:val="20"/>
                <w:szCs w:val="20"/>
                <w:u w:val="single"/>
              </w:rPr>
              <w:t>+</w:t>
            </w:r>
            <w:r w:rsidRPr="00A21238">
              <w:rPr>
                <w:rFonts w:ascii="Calibri" w:hAnsi="Calibri" w:cs="Calibri"/>
                <w:sz w:val="20"/>
                <w:szCs w:val="20"/>
              </w:rPr>
              <w:t xml:space="preserve"> 6.7</w:t>
            </w:r>
          </w:p>
        </w:tc>
        <w:tc>
          <w:tcPr>
            <w:tcW w:w="574" w:type="pct"/>
            <w:tcBorders>
              <w:top w:val="nil"/>
              <w:left w:val="nil"/>
              <w:bottom w:val="single" w:sz="8" w:space="0" w:color="auto"/>
              <w:right w:val="single" w:sz="8" w:space="0" w:color="auto"/>
            </w:tcBorders>
            <w:shd w:val="clear" w:color="auto" w:fill="auto"/>
            <w:noWrap/>
            <w:vAlign w:val="bottom"/>
            <w:hideMark/>
          </w:tcPr>
          <w:p w:rsidR="004B4823" w:rsidRPr="00A21238" w:rsidRDefault="004B4823" w:rsidP="004B4823">
            <w:pPr>
              <w:rPr>
                <w:rFonts w:ascii="Calibri" w:hAnsi="Calibri" w:cs="Calibri"/>
                <w:sz w:val="20"/>
                <w:szCs w:val="20"/>
              </w:rPr>
            </w:pPr>
            <w:r w:rsidRPr="00A21238">
              <w:rPr>
                <w:rFonts w:ascii="Calibri" w:hAnsi="Calibri" w:cs="Calibri"/>
                <w:sz w:val="20"/>
                <w:szCs w:val="20"/>
              </w:rPr>
              <w:t xml:space="preserve">61.7 </w:t>
            </w:r>
            <w:r w:rsidRPr="00A21238">
              <w:rPr>
                <w:rFonts w:ascii="Calibri" w:hAnsi="Calibri" w:cs="Calibri"/>
                <w:sz w:val="20"/>
                <w:szCs w:val="20"/>
                <w:u w:val="single"/>
              </w:rPr>
              <w:t>+</w:t>
            </w:r>
            <w:r w:rsidRPr="00A21238">
              <w:rPr>
                <w:rFonts w:ascii="Calibri" w:hAnsi="Calibri" w:cs="Calibri"/>
                <w:sz w:val="20"/>
                <w:szCs w:val="20"/>
              </w:rPr>
              <w:t xml:space="preserve"> 3.8</w:t>
            </w:r>
          </w:p>
        </w:tc>
        <w:tc>
          <w:tcPr>
            <w:tcW w:w="360" w:type="pct"/>
            <w:tcBorders>
              <w:top w:val="nil"/>
              <w:left w:val="nil"/>
              <w:bottom w:val="single" w:sz="8" w:space="0" w:color="auto"/>
              <w:right w:val="single" w:sz="8" w:space="0" w:color="auto"/>
            </w:tcBorders>
            <w:shd w:val="clear" w:color="auto" w:fill="auto"/>
            <w:noWrap/>
            <w:vAlign w:val="bottom"/>
            <w:hideMark/>
          </w:tcPr>
          <w:p w:rsidR="004B4823" w:rsidRPr="00A21238" w:rsidRDefault="004B4823" w:rsidP="004B4823">
            <w:pPr>
              <w:rPr>
                <w:rFonts w:ascii="Calibri" w:hAnsi="Calibri" w:cs="Calibri"/>
                <w:sz w:val="20"/>
                <w:szCs w:val="20"/>
              </w:rPr>
            </w:pPr>
            <w:r w:rsidRPr="00A21238">
              <w:rPr>
                <w:rFonts w:ascii="Calibri" w:hAnsi="Calibri" w:cs="Calibri"/>
                <w:sz w:val="20"/>
                <w:szCs w:val="20"/>
              </w:rPr>
              <w:t>8(3269)</w:t>
            </w:r>
          </w:p>
        </w:tc>
        <w:tc>
          <w:tcPr>
            <w:tcW w:w="683" w:type="pct"/>
            <w:tcBorders>
              <w:top w:val="nil"/>
              <w:left w:val="nil"/>
              <w:bottom w:val="single" w:sz="8" w:space="0" w:color="auto"/>
              <w:right w:val="single" w:sz="8" w:space="0" w:color="auto"/>
            </w:tcBorders>
            <w:shd w:val="clear" w:color="auto" w:fill="auto"/>
            <w:noWrap/>
            <w:vAlign w:val="bottom"/>
            <w:hideMark/>
          </w:tcPr>
          <w:p w:rsidR="004B4823" w:rsidRPr="00A21238" w:rsidRDefault="004B4823" w:rsidP="004B4823">
            <w:pPr>
              <w:rPr>
                <w:rFonts w:ascii="Calibri" w:hAnsi="Calibri" w:cs="Calibri"/>
                <w:sz w:val="20"/>
                <w:szCs w:val="20"/>
              </w:rPr>
            </w:pPr>
            <w:r w:rsidRPr="00A21238">
              <w:rPr>
                <w:rFonts w:ascii="Calibri" w:hAnsi="Calibri" w:cs="Calibri"/>
                <w:sz w:val="20"/>
                <w:szCs w:val="20"/>
              </w:rPr>
              <w:t>-0.91[-3.05,1.22]</w:t>
            </w:r>
          </w:p>
        </w:tc>
        <w:tc>
          <w:tcPr>
            <w:tcW w:w="373" w:type="pct"/>
            <w:tcBorders>
              <w:top w:val="nil"/>
              <w:left w:val="nil"/>
              <w:bottom w:val="single" w:sz="8" w:space="0" w:color="auto"/>
              <w:right w:val="single" w:sz="8" w:space="0" w:color="auto"/>
            </w:tcBorders>
            <w:shd w:val="clear" w:color="auto" w:fill="auto"/>
            <w:noWrap/>
            <w:vAlign w:val="bottom"/>
            <w:hideMark/>
          </w:tcPr>
          <w:p w:rsidR="004B4823" w:rsidRPr="00A21238" w:rsidRDefault="00FE123D" w:rsidP="004B4823">
            <w:pPr>
              <w:rPr>
                <w:rFonts w:ascii="Calibri" w:hAnsi="Calibri" w:cs="Calibri"/>
                <w:sz w:val="20"/>
                <w:szCs w:val="20"/>
              </w:rPr>
            </w:pPr>
            <w:r w:rsidRPr="00FE123D">
              <w:rPr>
                <w:rFonts w:ascii="Calibri" w:hAnsi="Calibri" w:cs="Calibri"/>
                <w:i/>
                <w:sz w:val="20"/>
                <w:szCs w:val="20"/>
              </w:rPr>
              <w:t>P</w:t>
            </w:r>
            <w:r>
              <w:rPr>
                <w:rFonts w:ascii="Calibri" w:hAnsi="Calibri" w:cs="Calibri"/>
                <w:sz w:val="20"/>
                <w:szCs w:val="20"/>
              </w:rPr>
              <w:t>=</w:t>
            </w:r>
            <w:r w:rsidR="00041A50">
              <w:rPr>
                <w:rFonts w:ascii="Calibri" w:hAnsi="Calibri" w:cs="Calibri"/>
                <w:sz w:val="20"/>
                <w:szCs w:val="20"/>
              </w:rPr>
              <w:t>.40</w:t>
            </w:r>
          </w:p>
        </w:tc>
        <w:tc>
          <w:tcPr>
            <w:tcW w:w="1385" w:type="pct"/>
            <w:tcBorders>
              <w:top w:val="nil"/>
              <w:left w:val="nil"/>
              <w:bottom w:val="nil"/>
              <w:right w:val="nil"/>
            </w:tcBorders>
            <w:shd w:val="clear" w:color="auto" w:fill="auto"/>
            <w:noWrap/>
            <w:vAlign w:val="bottom"/>
            <w:hideMark/>
          </w:tcPr>
          <w:p w:rsidR="004B4823" w:rsidRPr="00A21238" w:rsidRDefault="004B4823" w:rsidP="004B4823">
            <w:pPr>
              <w:rPr>
                <w:rFonts w:ascii="Century Gothic" w:hAnsi="Century Gothic"/>
                <w:sz w:val="20"/>
                <w:szCs w:val="20"/>
              </w:rPr>
            </w:pPr>
          </w:p>
        </w:tc>
      </w:tr>
      <w:tr w:rsidR="008C5CFC" w:rsidRPr="00A21238" w:rsidTr="008C5CFC">
        <w:trPr>
          <w:trHeight w:val="285"/>
        </w:trPr>
        <w:tc>
          <w:tcPr>
            <w:tcW w:w="1086" w:type="pct"/>
            <w:tcBorders>
              <w:top w:val="nil"/>
              <w:left w:val="single" w:sz="8" w:space="0" w:color="auto"/>
              <w:bottom w:val="single" w:sz="8" w:space="0" w:color="auto"/>
              <w:right w:val="single" w:sz="8" w:space="0" w:color="auto"/>
            </w:tcBorders>
            <w:shd w:val="clear" w:color="auto" w:fill="auto"/>
            <w:noWrap/>
            <w:vAlign w:val="bottom"/>
            <w:hideMark/>
          </w:tcPr>
          <w:p w:rsidR="004B4823" w:rsidRPr="00A21238" w:rsidRDefault="004B4823" w:rsidP="0002496E">
            <w:pPr>
              <w:rPr>
                <w:rFonts w:ascii="Calibri" w:hAnsi="Calibri" w:cs="Calibri"/>
                <w:b/>
                <w:bCs/>
                <w:sz w:val="20"/>
                <w:szCs w:val="20"/>
              </w:rPr>
            </w:pPr>
            <w:r w:rsidRPr="00A21238">
              <w:rPr>
                <w:rFonts w:ascii="Calibri" w:hAnsi="Calibri" w:cs="Calibri"/>
                <w:b/>
                <w:bCs/>
                <w:sz w:val="20"/>
                <w:szCs w:val="20"/>
              </w:rPr>
              <w:t>Mean Age (non-Asian patients)</w:t>
            </w:r>
            <w:r w:rsidR="0002496E" w:rsidRPr="0002496E">
              <w:rPr>
                <w:rFonts w:ascii="Calibri" w:hAnsi="Calibri" w:cs="Calibri"/>
                <w:b/>
                <w:bCs/>
                <w:noProof/>
                <w:sz w:val="20"/>
                <w:szCs w:val="20"/>
                <w:vertAlign w:val="superscript"/>
              </w:rPr>
              <w:t>32, 40, 42, 49</w:t>
            </w:r>
          </w:p>
        </w:tc>
        <w:tc>
          <w:tcPr>
            <w:tcW w:w="540" w:type="pct"/>
            <w:tcBorders>
              <w:top w:val="nil"/>
              <w:left w:val="nil"/>
              <w:bottom w:val="single" w:sz="8" w:space="0" w:color="auto"/>
              <w:right w:val="single" w:sz="8" w:space="0" w:color="auto"/>
            </w:tcBorders>
            <w:shd w:val="clear" w:color="auto" w:fill="auto"/>
            <w:noWrap/>
            <w:vAlign w:val="bottom"/>
            <w:hideMark/>
          </w:tcPr>
          <w:p w:rsidR="004B4823" w:rsidRPr="00A21238" w:rsidRDefault="004B4823" w:rsidP="004B4823">
            <w:pPr>
              <w:rPr>
                <w:rFonts w:ascii="Calibri" w:hAnsi="Calibri" w:cs="Calibri"/>
                <w:sz w:val="20"/>
                <w:szCs w:val="20"/>
              </w:rPr>
            </w:pPr>
            <w:r w:rsidRPr="00A21238">
              <w:rPr>
                <w:rFonts w:ascii="Calibri" w:hAnsi="Calibri" w:cs="Calibri"/>
                <w:sz w:val="20"/>
                <w:szCs w:val="20"/>
              </w:rPr>
              <w:t xml:space="preserve">63.6 </w:t>
            </w:r>
            <w:r w:rsidRPr="00A21238">
              <w:rPr>
                <w:rFonts w:ascii="Calibri" w:hAnsi="Calibri" w:cs="Calibri"/>
                <w:sz w:val="20"/>
                <w:szCs w:val="20"/>
                <w:u w:val="single"/>
              </w:rPr>
              <w:t>+</w:t>
            </w:r>
            <w:r w:rsidRPr="00A21238">
              <w:rPr>
                <w:rFonts w:ascii="Calibri" w:hAnsi="Calibri" w:cs="Calibri"/>
                <w:sz w:val="20"/>
                <w:szCs w:val="20"/>
              </w:rPr>
              <w:t xml:space="preserve"> 4.7</w:t>
            </w:r>
          </w:p>
        </w:tc>
        <w:tc>
          <w:tcPr>
            <w:tcW w:w="574" w:type="pct"/>
            <w:tcBorders>
              <w:top w:val="nil"/>
              <w:left w:val="nil"/>
              <w:bottom w:val="single" w:sz="8" w:space="0" w:color="auto"/>
              <w:right w:val="single" w:sz="8" w:space="0" w:color="auto"/>
            </w:tcBorders>
            <w:shd w:val="clear" w:color="auto" w:fill="auto"/>
            <w:noWrap/>
            <w:vAlign w:val="bottom"/>
            <w:hideMark/>
          </w:tcPr>
          <w:p w:rsidR="004B4823" w:rsidRPr="00A21238" w:rsidRDefault="004B4823" w:rsidP="004B4823">
            <w:pPr>
              <w:rPr>
                <w:rFonts w:ascii="Calibri" w:hAnsi="Calibri" w:cs="Calibri"/>
                <w:sz w:val="20"/>
                <w:szCs w:val="20"/>
              </w:rPr>
            </w:pPr>
            <w:r w:rsidRPr="00A21238">
              <w:rPr>
                <w:rFonts w:ascii="Calibri" w:hAnsi="Calibri" w:cs="Calibri"/>
                <w:sz w:val="20"/>
                <w:szCs w:val="20"/>
              </w:rPr>
              <w:t xml:space="preserve">61.9 </w:t>
            </w:r>
            <w:r w:rsidRPr="00A21238">
              <w:rPr>
                <w:rFonts w:ascii="Calibri" w:hAnsi="Calibri" w:cs="Calibri"/>
                <w:sz w:val="20"/>
                <w:szCs w:val="20"/>
                <w:u w:val="single"/>
              </w:rPr>
              <w:t>+</w:t>
            </w:r>
            <w:r w:rsidRPr="00A21238">
              <w:rPr>
                <w:rFonts w:ascii="Calibri" w:hAnsi="Calibri" w:cs="Calibri"/>
                <w:sz w:val="20"/>
                <w:szCs w:val="20"/>
              </w:rPr>
              <w:t xml:space="preserve"> 4.9</w:t>
            </w:r>
          </w:p>
        </w:tc>
        <w:tc>
          <w:tcPr>
            <w:tcW w:w="360" w:type="pct"/>
            <w:tcBorders>
              <w:top w:val="nil"/>
              <w:left w:val="nil"/>
              <w:bottom w:val="single" w:sz="8" w:space="0" w:color="auto"/>
              <w:right w:val="single" w:sz="8" w:space="0" w:color="auto"/>
            </w:tcBorders>
            <w:shd w:val="clear" w:color="auto" w:fill="auto"/>
            <w:noWrap/>
            <w:vAlign w:val="bottom"/>
            <w:hideMark/>
          </w:tcPr>
          <w:p w:rsidR="004B4823" w:rsidRPr="00A21238" w:rsidRDefault="004B4823" w:rsidP="004B4823">
            <w:pPr>
              <w:rPr>
                <w:rFonts w:ascii="Calibri" w:hAnsi="Calibri" w:cs="Calibri"/>
                <w:sz w:val="20"/>
                <w:szCs w:val="20"/>
              </w:rPr>
            </w:pPr>
            <w:r w:rsidRPr="00A21238">
              <w:rPr>
                <w:rFonts w:ascii="Calibri" w:hAnsi="Calibri" w:cs="Calibri"/>
                <w:sz w:val="20"/>
                <w:szCs w:val="20"/>
              </w:rPr>
              <w:t>4(656)</w:t>
            </w:r>
          </w:p>
        </w:tc>
        <w:tc>
          <w:tcPr>
            <w:tcW w:w="683" w:type="pct"/>
            <w:tcBorders>
              <w:top w:val="nil"/>
              <w:left w:val="nil"/>
              <w:bottom w:val="single" w:sz="8" w:space="0" w:color="auto"/>
              <w:right w:val="single" w:sz="8" w:space="0" w:color="auto"/>
            </w:tcBorders>
            <w:shd w:val="clear" w:color="auto" w:fill="auto"/>
            <w:noWrap/>
            <w:vAlign w:val="bottom"/>
            <w:hideMark/>
          </w:tcPr>
          <w:p w:rsidR="004B4823" w:rsidRPr="00A21238" w:rsidRDefault="004B4823" w:rsidP="004B4823">
            <w:pPr>
              <w:rPr>
                <w:rFonts w:ascii="Calibri" w:hAnsi="Calibri" w:cs="Calibri"/>
                <w:sz w:val="20"/>
                <w:szCs w:val="20"/>
              </w:rPr>
            </w:pPr>
            <w:r w:rsidRPr="00A21238">
              <w:rPr>
                <w:rFonts w:ascii="Calibri" w:hAnsi="Calibri" w:cs="Calibri"/>
                <w:sz w:val="20"/>
                <w:szCs w:val="20"/>
              </w:rPr>
              <w:t>1.70[-1.90,5.31]</w:t>
            </w:r>
          </w:p>
        </w:tc>
        <w:tc>
          <w:tcPr>
            <w:tcW w:w="373" w:type="pct"/>
            <w:tcBorders>
              <w:top w:val="nil"/>
              <w:left w:val="nil"/>
              <w:bottom w:val="single" w:sz="8" w:space="0" w:color="auto"/>
              <w:right w:val="single" w:sz="8" w:space="0" w:color="auto"/>
            </w:tcBorders>
            <w:shd w:val="clear" w:color="auto" w:fill="auto"/>
            <w:noWrap/>
            <w:vAlign w:val="bottom"/>
            <w:hideMark/>
          </w:tcPr>
          <w:p w:rsidR="004B4823" w:rsidRPr="00A21238" w:rsidRDefault="00FE123D" w:rsidP="004B4823">
            <w:pPr>
              <w:rPr>
                <w:rFonts w:ascii="Calibri" w:hAnsi="Calibri" w:cs="Calibri"/>
                <w:sz w:val="20"/>
                <w:szCs w:val="20"/>
              </w:rPr>
            </w:pPr>
            <w:r w:rsidRPr="00FE123D">
              <w:rPr>
                <w:rFonts w:ascii="Calibri" w:hAnsi="Calibri" w:cs="Calibri"/>
                <w:i/>
                <w:sz w:val="20"/>
                <w:szCs w:val="20"/>
              </w:rPr>
              <w:t>P</w:t>
            </w:r>
            <w:r>
              <w:rPr>
                <w:rFonts w:ascii="Calibri" w:hAnsi="Calibri" w:cs="Calibri"/>
                <w:sz w:val="20"/>
                <w:szCs w:val="20"/>
              </w:rPr>
              <w:t>=</w:t>
            </w:r>
            <w:r w:rsidR="00041A50">
              <w:rPr>
                <w:rFonts w:ascii="Calibri" w:hAnsi="Calibri" w:cs="Calibri"/>
                <w:sz w:val="20"/>
                <w:szCs w:val="20"/>
              </w:rPr>
              <w:t>.35</w:t>
            </w:r>
          </w:p>
        </w:tc>
        <w:tc>
          <w:tcPr>
            <w:tcW w:w="1385" w:type="pct"/>
            <w:tcBorders>
              <w:top w:val="nil"/>
              <w:left w:val="nil"/>
              <w:bottom w:val="nil"/>
              <w:right w:val="nil"/>
            </w:tcBorders>
            <w:shd w:val="clear" w:color="auto" w:fill="auto"/>
            <w:noWrap/>
            <w:vAlign w:val="bottom"/>
            <w:hideMark/>
          </w:tcPr>
          <w:p w:rsidR="004B4823" w:rsidRPr="00A21238" w:rsidRDefault="004B4823" w:rsidP="004B4823">
            <w:pPr>
              <w:rPr>
                <w:rFonts w:ascii="Century Gothic" w:hAnsi="Century Gothic"/>
                <w:sz w:val="20"/>
                <w:szCs w:val="20"/>
              </w:rPr>
            </w:pPr>
          </w:p>
        </w:tc>
      </w:tr>
    </w:tbl>
    <w:p w:rsidR="00FA6D42" w:rsidRPr="002847AE" w:rsidRDefault="0001790B" w:rsidP="00A26FF8">
      <w:pPr>
        <w:ind w:hanging="90"/>
        <w:rPr>
          <w:rFonts w:asciiTheme="minorHAnsi" w:hAnsiTheme="minorHAnsi" w:cs="Arial"/>
          <w:b/>
          <w:sz w:val="18"/>
          <w:szCs w:val="18"/>
        </w:rPr>
      </w:pPr>
      <w:r>
        <w:rPr>
          <w:rFonts w:asciiTheme="minorHAnsi" w:hAnsiTheme="minorHAnsi"/>
          <w:sz w:val="18"/>
          <w:szCs w:val="18"/>
        </w:rPr>
        <w:t xml:space="preserve">Abbreviations: </w:t>
      </w:r>
      <w:r w:rsidR="00565546" w:rsidRPr="002847AE">
        <w:rPr>
          <w:rFonts w:asciiTheme="minorHAnsi" w:hAnsiTheme="minorHAnsi"/>
          <w:sz w:val="18"/>
          <w:szCs w:val="18"/>
        </w:rPr>
        <w:t>n</w:t>
      </w:r>
      <w:r w:rsidR="00470CE4">
        <w:rPr>
          <w:rFonts w:asciiTheme="minorHAnsi" w:hAnsiTheme="minorHAnsi"/>
          <w:sz w:val="18"/>
          <w:szCs w:val="18"/>
        </w:rPr>
        <w:t>,</w:t>
      </w:r>
      <w:r w:rsidR="00565546" w:rsidRPr="002847AE">
        <w:rPr>
          <w:rFonts w:asciiTheme="minorHAnsi" w:hAnsiTheme="minorHAnsi"/>
          <w:sz w:val="18"/>
          <w:szCs w:val="18"/>
        </w:rPr>
        <w:t xml:space="preserve"> Number of studies; N</w:t>
      </w:r>
      <w:r w:rsidR="00470CE4">
        <w:rPr>
          <w:rFonts w:asciiTheme="minorHAnsi" w:hAnsiTheme="minorHAnsi"/>
          <w:sz w:val="18"/>
          <w:szCs w:val="18"/>
        </w:rPr>
        <w:t>,</w:t>
      </w:r>
      <w:r w:rsidR="00565546" w:rsidRPr="002847AE">
        <w:rPr>
          <w:rFonts w:asciiTheme="minorHAnsi" w:hAnsiTheme="minorHAnsi"/>
          <w:sz w:val="18"/>
          <w:szCs w:val="18"/>
        </w:rPr>
        <w:t xml:space="preserve"> Number of patients</w:t>
      </w:r>
      <w:r w:rsidR="00FA6D42" w:rsidRPr="002847AE">
        <w:rPr>
          <w:rFonts w:asciiTheme="minorHAnsi" w:hAnsiTheme="minorHAnsi"/>
          <w:sz w:val="18"/>
          <w:szCs w:val="18"/>
        </w:rPr>
        <w:t>;</w:t>
      </w:r>
      <w:r w:rsidR="00565546" w:rsidRPr="002847AE">
        <w:rPr>
          <w:rFonts w:ascii="Calibri" w:hAnsi="Calibri" w:cs="Calibri"/>
          <w:sz w:val="18"/>
          <w:szCs w:val="18"/>
        </w:rPr>
        <w:t xml:space="preserve"> </w:t>
      </w:r>
      <w:r w:rsidR="00FA6D42" w:rsidRPr="002847AE">
        <w:rPr>
          <w:rFonts w:ascii="Calibri" w:hAnsi="Calibri"/>
          <w:sz w:val="18"/>
          <w:szCs w:val="18"/>
        </w:rPr>
        <w:t>WMD</w:t>
      </w:r>
      <w:r w:rsidR="00470CE4">
        <w:rPr>
          <w:rFonts w:ascii="Calibri" w:hAnsi="Calibri"/>
          <w:sz w:val="18"/>
          <w:szCs w:val="18"/>
        </w:rPr>
        <w:t>,</w:t>
      </w:r>
      <w:r w:rsidR="00FA6D42" w:rsidRPr="002847AE">
        <w:rPr>
          <w:rFonts w:ascii="Calibri" w:hAnsi="Calibri"/>
          <w:sz w:val="18"/>
          <w:szCs w:val="18"/>
        </w:rPr>
        <w:t xml:space="preserve"> Weighted mean difference</w:t>
      </w:r>
    </w:p>
    <w:p w:rsidR="00027452" w:rsidRPr="002847AE" w:rsidRDefault="00AC081E" w:rsidP="007A225F">
      <w:pPr>
        <w:ind w:hanging="90"/>
        <w:rPr>
          <w:rFonts w:ascii="Calibri" w:hAnsi="Calibri" w:cs="Calibri"/>
          <w:sz w:val="18"/>
          <w:szCs w:val="18"/>
        </w:rPr>
      </w:pPr>
      <w:proofErr w:type="gramStart"/>
      <w:r w:rsidRPr="00AC081E">
        <w:rPr>
          <w:rFonts w:ascii="Calibri" w:hAnsi="Calibri" w:cs="Calibri"/>
          <w:sz w:val="18"/>
          <w:szCs w:val="18"/>
          <w:vertAlign w:val="superscript"/>
        </w:rPr>
        <w:t>a</w:t>
      </w:r>
      <w:proofErr w:type="gramEnd"/>
      <w:r w:rsidR="00665CB4">
        <w:rPr>
          <w:rFonts w:ascii="Calibri" w:hAnsi="Calibri" w:cs="Calibri"/>
          <w:sz w:val="18"/>
          <w:szCs w:val="18"/>
          <w:vertAlign w:val="superscript"/>
        </w:rPr>
        <w:t xml:space="preserve"> </w:t>
      </w:r>
      <w:r w:rsidR="004B4823" w:rsidRPr="002847AE">
        <w:rPr>
          <w:rFonts w:ascii="Calibri" w:hAnsi="Calibri" w:cs="Calibri"/>
          <w:sz w:val="18"/>
          <w:szCs w:val="18"/>
        </w:rPr>
        <w:t>Some studies without detailed ethnic origin data were classified as primarily Asian and primarily non-Asian based on study site</w:t>
      </w:r>
    </w:p>
    <w:p w:rsidR="00952B04" w:rsidRPr="00A21238" w:rsidRDefault="00952B04">
      <w:r w:rsidRPr="00A21238">
        <w:br w:type="page"/>
      </w:r>
    </w:p>
    <w:tbl>
      <w:tblPr>
        <w:tblW w:w="13068" w:type="dxa"/>
        <w:tblInd w:w="-15" w:type="dxa"/>
        <w:tblCellMar>
          <w:left w:w="0" w:type="dxa"/>
          <w:right w:w="0" w:type="dxa"/>
        </w:tblCellMar>
        <w:tblLook w:val="04A0"/>
      </w:tblPr>
      <w:tblGrid>
        <w:gridCol w:w="15"/>
        <w:gridCol w:w="2988"/>
        <w:gridCol w:w="1530"/>
        <w:gridCol w:w="1440"/>
        <w:gridCol w:w="1530"/>
        <w:gridCol w:w="1440"/>
        <w:gridCol w:w="90"/>
        <w:gridCol w:w="558"/>
        <w:gridCol w:w="3477"/>
      </w:tblGrid>
      <w:tr w:rsidR="004E4D4F" w:rsidRPr="00A21238" w:rsidTr="009426B6">
        <w:trPr>
          <w:gridAfter w:val="2"/>
          <w:wAfter w:w="4035" w:type="dxa"/>
          <w:trHeight w:val="270"/>
        </w:trPr>
        <w:tc>
          <w:tcPr>
            <w:tcW w:w="8943" w:type="dxa"/>
            <w:gridSpan w:val="6"/>
            <w:noWrap/>
            <w:tcMar>
              <w:top w:w="0" w:type="dxa"/>
              <w:left w:w="108" w:type="dxa"/>
              <w:bottom w:w="0" w:type="dxa"/>
              <w:right w:w="108" w:type="dxa"/>
            </w:tcMar>
            <w:vAlign w:val="bottom"/>
            <w:hideMark/>
          </w:tcPr>
          <w:p w:rsidR="00BD5C72" w:rsidRPr="00EC6C32" w:rsidRDefault="00E10C54">
            <w:pPr>
              <w:rPr>
                <w:rFonts w:eastAsiaTheme="minorHAnsi"/>
                <w:b/>
                <w:bCs/>
                <w:sz w:val="22"/>
                <w:szCs w:val="22"/>
              </w:rPr>
            </w:pPr>
            <w:r w:rsidRPr="00EC6C32">
              <w:rPr>
                <w:b/>
                <w:bCs/>
                <w:sz w:val="22"/>
                <w:szCs w:val="22"/>
              </w:rPr>
              <w:lastRenderedPageBreak/>
              <w:t xml:space="preserve">Table </w:t>
            </w:r>
            <w:r w:rsidR="00A566D8" w:rsidRPr="00EC6C32">
              <w:rPr>
                <w:b/>
                <w:bCs/>
                <w:sz w:val="22"/>
                <w:szCs w:val="22"/>
              </w:rPr>
              <w:t>7</w:t>
            </w:r>
            <w:r w:rsidR="0032192C">
              <w:rPr>
                <w:b/>
                <w:bCs/>
                <w:sz w:val="22"/>
                <w:szCs w:val="22"/>
              </w:rPr>
              <w:t xml:space="preserve">: </w:t>
            </w:r>
            <w:proofErr w:type="spellStart"/>
            <w:r w:rsidR="0032192C">
              <w:rPr>
                <w:b/>
                <w:bCs/>
                <w:sz w:val="22"/>
                <w:szCs w:val="22"/>
              </w:rPr>
              <w:t>Clinicopathologic</w:t>
            </w:r>
            <w:proofErr w:type="spellEnd"/>
            <w:r w:rsidR="00BD5C72" w:rsidRPr="00EC6C32">
              <w:rPr>
                <w:b/>
                <w:bCs/>
                <w:sz w:val="22"/>
                <w:szCs w:val="22"/>
              </w:rPr>
              <w:t xml:space="preserve"> characteristics in relation to </w:t>
            </w:r>
            <w:r w:rsidR="00BD5C72" w:rsidRPr="00EC6C32">
              <w:rPr>
                <w:b/>
                <w:bCs/>
                <w:i/>
                <w:iCs/>
                <w:sz w:val="22"/>
                <w:szCs w:val="22"/>
              </w:rPr>
              <w:t>EGFR</w:t>
            </w:r>
            <w:r w:rsidR="00BD5C72" w:rsidRPr="00EC6C32">
              <w:rPr>
                <w:b/>
                <w:bCs/>
                <w:sz w:val="22"/>
                <w:szCs w:val="22"/>
              </w:rPr>
              <w:t xml:space="preserve"> mutation status in studies containing primarily Asian </w:t>
            </w:r>
            <w:proofErr w:type="spellStart"/>
            <w:r w:rsidR="00BD5C72" w:rsidRPr="00EC6C32">
              <w:rPr>
                <w:b/>
                <w:bCs/>
                <w:sz w:val="22"/>
                <w:szCs w:val="22"/>
              </w:rPr>
              <w:t>patients</w:t>
            </w:r>
            <w:r w:rsidR="00AC081E" w:rsidRPr="00AC081E">
              <w:rPr>
                <w:rFonts w:ascii="Times New Roman Bold" w:hAnsi="Times New Roman Bold"/>
                <w:b/>
                <w:bCs/>
                <w:sz w:val="22"/>
                <w:szCs w:val="22"/>
                <w:vertAlign w:val="superscript"/>
              </w:rPr>
              <w:t>a</w:t>
            </w:r>
            <w:proofErr w:type="spellEnd"/>
          </w:p>
        </w:tc>
        <w:tc>
          <w:tcPr>
            <w:tcW w:w="90" w:type="dxa"/>
            <w:vAlign w:val="center"/>
            <w:hideMark/>
          </w:tcPr>
          <w:p w:rsidR="00BD5C72" w:rsidRPr="00A21238" w:rsidRDefault="00BD5C72">
            <w:pPr>
              <w:rPr>
                <w:rFonts w:eastAsiaTheme="minorHAnsi"/>
              </w:rPr>
            </w:pPr>
            <w:r w:rsidRPr="00A21238">
              <w:t> </w:t>
            </w:r>
          </w:p>
        </w:tc>
      </w:tr>
      <w:tr w:rsidR="003C2ED1" w:rsidRPr="00A21238" w:rsidTr="00DE7B57">
        <w:trPr>
          <w:gridAfter w:val="2"/>
          <w:wAfter w:w="4035" w:type="dxa"/>
          <w:trHeight w:val="270"/>
        </w:trPr>
        <w:tc>
          <w:tcPr>
            <w:tcW w:w="3003" w:type="dxa"/>
            <w:gridSpan w:val="2"/>
            <w:shd w:val="clear" w:color="auto" w:fill="auto"/>
            <w:noWrap/>
            <w:tcMar>
              <w:top w:w="0" w:type="dxa"/>
              <w:left w:w="108" w:type="dxa"/>
              <w:bottom w:w="0" w:type="dxa"/>
              <w:right w:w="108" w:type="dxa"/>
            </w:tcMar>
            <w:vAlign w:val="bottom"/>
            <w:hideMark/>
          </w:tcPr>
          <w:p w:rsidR="00BD5C72" w:rsidRPr="00A21238" w:rsidRDefault="00BD5C72">
            <w:pPr>
              <w:rPr>
                <w:rFonts w:asciiTheme="minorHAnsi" w:eastAsiaTheme="minorEastAsia" w:hAnsiTheme="minorHAnsi" w:cstheme="minorBidi"/>
                <w:sz w:val="22"/>
                <w:szCs w:val="22"/>
              </w:rPr>
            </w:pPr>
          </w:p>
        </w:tc>
        <w:tc>
          <w:tcPr>
            <w:tcW w:w="153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b/>
                <w:bCs/>
                <w:sz w:val="20"/>
                <w:szCs w:val="20"/>
              </w:rPr>
            </w:pPr>
            <w:r w:rsidRPr="00A21238">
              <w:rPr>
                <w:rFonts w:ascii="Calibri" w:hAnsi="Calibri" w:cs="Calibri"/>
                <w:b/>
                <w:bCs/>
                <w:i/>
                <w:iCs/>
                <w:sz w:val="20"/>
                <w:szCs w:val="20"/>
              </w:rPr>
              <w:t>EGFR</w:t>
            </w:r>
            <w:r w:rsidRPr="00A21238">
              <w:rPr>
                <w:rFonts w:ascii="Calibri" w:hAnsi="Calibri" w:cs="Calibri"/>
                <w:b/>
                <w:bCs/>
                <w:sz w:val="20"/>
                <w:szCs w:val="20"/>
              </w:rPr>
              <w:t xml:space="preserve"> Mutation prevalence</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b/>
                <w:bCs/>
                <w:sz w:val="20"/>
                <w:szCs w:val="20"/>
              </w:rPr>
            </w:pPr>
            <w:r w:rsidRPr="00A21238">
              <w:rPr>
                <w:rFonts w:ascii="Calibri" w:hAnsi="Calibri" w:cs="Calibri"/>
                <w:b/>
                <w:bCs/>
                <w:i/>
                <w:iCs/>
                <w:sz w:val="20"/>
                <w:szCs w:val="20"/>
              </w:rPr>
              <w:t>EGFR</w:t>
            </w:r>
            <w:r w:rsidRPr="00A21238">
              <w:rPr>
                <w:rFonts w:ascii="Calibri" w:hAnsi="Calibri" w:cs="Calibri"/>
                <w:b/>
                <w:bCs/>
                <w:sz w:val="20"/>
                <w:szCs w:val="20"/>
              </w:rPr>
              <w:t xml:space="preserve"> Positive</w:t>
            </w:r>
          </w:p>
        </w:tc>
        <w:tc>
          <w:tcPr>
            <w:tcW w:w="1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b/>
                <w:bCs/>
                <w:sz w:val="20"/>
                <w:szCs w:val="20"/>
              </w:rPr>
            </w:pPr>
            <w:r w:rsidRPr="00A21238">
              <w:rPr>
                <w:rFonts w:ascii="Calibri" w:hAnsi="Calibri" w:cs="Calibri"/>
                <w:b/>
                <w:bCs/>
                <w:i/>
                <w:iCs/>
                <w:sz w:val="20"/>
                <w:szCs w:val="20"/>
              </w:rPr>
              <w:t>EGFR</w:t>
            </w:r>
            <w:r w:rsidRPr="00A21238">
              <w:rPr>
                <w:rFonts w:ascii="Calibri" w:hAnsi="Calibri" w:cs="Calibri"/>
                <w:b/>
                <w:bCs/>
                <w:sz w:val="20"/>
                <w:szCs w:val="20"/>
              </w:rPr>
              <w:t xml:space="preserve"> Negative</w:t>
            </w:r>
          </w:p>
        </w:tc>
        <w:tc>
          <w:tcPr>
            <w:tcW w:w="144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b/>
                <w:bCs/>
                <w:sz w:val="20"/>
                <w:szCs w:val="20"/>
              </w:rPr>
            </w:pPr>
            <w:r w:rsidRPr="00A21238">
              <w:rPr>
                <w:rFonts w:ascii="Calibri" w:hAnsi="Calibri" w:cs="Calibri"/>
                <w:b/>
                <w:bCs/>
                <w:sz w:val="20"/>
                <w:szCs w:val="20"/>
              </w:rPr>
              <w:t>n(N)</w:t>
            </w:r>
          </w:p>
        </w:tc>
        <w:tc>
          <w:tcPr>
            <w:tcW w:w="90" w:type="dxa"/>
            <w:vAlign w:val="center"/>
            <w:hideMark/>
          </w:tcPr>
          <w:p w:rsidR="00BD5C72" w:rsidRPr="00A21238" w:rsidRDefault="00BD5C72">
            <w:pPr>
              <w:rPr>
                <w:rFonts w:eastAsiaTheme="minorHAnsi"/>
              </w:rPr>
            </w:pPr>
            <w:r w:rsidRPr="00A21238">
              <w:t> </w:t>
            </w:r>
          </w:p>
        </w:tc>
      </w:tr>
      <w:tr w:rsidR="003C2ED1" w:rsidRPr="00A21238" w:rsidTr="00DE7B57">
        <w:trPr>
          <w:gridAfter w:val="2"/>
          <w:wAfter w:w="4035" w:type="dxa"/>
          <w:trHeight w:val="285"/>
        </w:trPr>
        <w:tc>
          <w:tcPr>
            <w:tcW w:w="3003"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pPr>
              <w:rPr>
                <w:rFonts w:ascii="Calibri" w:eastAsiaTheme="minorHAnsi" w:hAnsi="Calibri" w:cs="Calibri"/>
                <w:b/>
                <w:bCs/>
                <w:sz w:val="20"/>
                <w:szCs w:val="20"/>
              </w:rPr>
            </w:pPr>
            <w:r w:rsidRPr="00A21238">
              <w:rPr>
                <w:rFonts w:ascii="Calibri" w:hAnsi="Calibri" w:cs="Calibri"/>
                <w:b/>
                <w:bCs/>
                <w:sz w:val="20"/>
                <w:szCs w:val="20"/>
              </w:rPr>
              <w:t>Age w/ cut-off</w:t>
            </w:r>
          </w:p>
        </w:tc>
        <w:tc>
          <w:tcPr>
            <w:tcW w:w="15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pPr>
              <w:rPr>
                <w:rFonts w:ascii="Calibri" w:eastAsiaTheme="minorHAnsi" w:hAnsi="Calibri" w:cs="Calibri"/>
                <w:sz w:val="20"/>
                <w:szCs w:val="20"/>
              </w:rPr>
            </w:pPr>
            <w:r w:rsidRPr="00A21238">
              <w:rPr>
                <w:rFonts w:ascii="Calibri" w:hAnsi="Calibri" w:cs="Calibri"/>
                <w:sz w:val="20"/>
                <w:szCs w:val="20"/>
              </w:rPr>
              <w:t> </w:t>
            </w:r>
          </w:p>
        </w:tc>
        <w:tc>
          <w:tcPr>
            <w:tcW w:w="14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pPr>
              <w:rPr>
                <w:rFonts w:ascii="Calibri" w:eastAsiaTheme="minorHAnsi" w:hAnsi="Calibri" w:cs="Calibri"/>
                <w:sz w:val="20"/>
                <w:szCs w:val="20"/>
              </w:rPr>
            </w:pPr>
            <w:r w:rsidRPr="00A21238">
              <w:rPr>
                <w:rFonts w:ascii="Calibri" w:hAnsi="Calibri" w:cs="Calibri"/>
                <w:sz w:val="20"/>
                <w:szCs w:val="20"/>
              </w:rPr>
              <w:t> </w:t>
            </w:r>
          </w:p>
        </w:tc>
        <w:tc>
          <w:tcPr>
            <w:tcW w:w="15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pPr>
              <w:rPr>
                <w:rFonts w:ascii="Calibri" w:eastAsiaTheme="minorHAnsi" w:hAnsi="Calibri" w:cs="Calibri"/>
                <w:sz w:val="20"/>
                <w:szCs w:val="20"/>
              </w:rPr>
            </w:pPr>
            <w:r w:rsidRPr="00A21238">
              <w:rPr>
                <w:rFonts w:ascii="Calibri" w:hAnsi="Calibri" w:cs="Calibri"/>
                <w:sz w:val="20"/>
                <w:szCs w:val="20"/>
              </w:rPr>
              <w:t> </w:t>
            </w:r>
          </w:p>
        </w:tc>
        <w:tc>
          <w:tcPr>
            <w:tcW w:w="14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pPr>
              <w:jc w:val="right"/>
              <w:rPr>
                <w:rFonts w:ascii="Calibri" w:eastAsiaTheme="minorHAnsi" w:hAnsi="Calibri" w:cs="Calibri"/>
                <w:sz w:val="20"/>
                <w:szCs w:val="20"/>
              </w:rPr>
            </w:pPr>
            <w:r w:rsidRPr="00A21238">
              <w:rPr>
                <w:rFonts w:ascii="Calibri" w:hAnsi="Calibri" w:cs="Calibri"/>
                <w:sz w:val="20"/>
                <w:szCs w:val="20"/>
              </w:rPr>
              <w:t> </w:t>
            </w:r>
          </w:p>
        </w:tc>
        <w:tc>
          <w:tcPr>
            <w:tcW w:w="90" w:type="dxa"/>
            <w:vAlign w:val="center"/>
            <w:hideMark/>
          </w:tcPr>
          <w:p w:rsidR="00BD5C72" w:rsidRPr="00A21238" w:rsidRDefault="00BD5C72">
            <w:pPr>
              <w:rPr>
                <w:rFonts w:eastAsiaTheme="minorHAnsi"/>
              </w:rPr>
            </w:pPr>
            <w:r w:rsidRPr="00A21238">
              <w:t> </w:t>
            </w:r>
          </w:p>
        </w:tc>
      </w:tr>
      <w:tr w:rsidR="003C2ED1" w:rsidRPr="00A21238" w:rsidTr="009426B6">
        <w:trPr>
          <w:gridAfter w:val="2"/>
          <w:wAfter w:w="4035" w:type="dxa"/>
          <w:trHeight w:val="270"/>
        </w:trPr>
        <w:tc>
          <w:tcPr>
            <w:tcW w:w="3003"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02496E">
            <w:pPr>
              <w:ind w:left="285"/>
              <w:rPr>
                <w:rFonts w:ascii="Calibri" w:eastAsiaTheme="minorHAnsi" w:hAnsi="Calibri" w:cs="Calibri"/>
                <w:b/>
                <w:bCs/>
                <w:sz w:val="20"/>
                <w:szCs w:val="20"/>
              </w:rPr>
            </w:pPr>
            <w:r w:rsidRPr="00A21238">
              <w:rPr>
                <w:rFonts w:ascii="Calibri" w:hAnsi="Calibri" w:cs="Calibri"/>
                <w:b/>
                <w:bCs/>
                <w:sz w:val="20"/>
                <w:szCs w:val="20"/>
              </w:rPr>
              <w:t>&lt;65</w:t>
            </w:r>
            <w:r w:rsidR="0002496E" w:rsidRPr="0002496E">
              <w:rPr>
                <w:rFonts w:ascii="Calibri" w:hAnsi="Calibri" w:cs="Calibri"/>
                <w:b/>
                <w:bCs/>
                <w:noProof/>
                <w:sz w:val="20"/>
                <w:szCs w:val="20"/>
                <w:vertAlign w:val="superscript"/>
              </w:rPr>
              <w:t>18, 21, 29, 31, 36, 38</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46%</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370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433</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6(803)</w:t>
            </w:r>
          </w:p>
        </w:tc>
        <w:tc>
          <w:tcPr>
            <w:tcW w:w="90" w:type="dxa"/>
            <w:vAlign w:val="center"/>
            <w:hideMark/>
          </w:tcPr>
          <w:p w:rsidR="00BD5C72" w:rsidRPr="00A21238" w:rsidRDefault="00BD5C72">
            <w:pPr>
              <w:rPr>
                <w:rFonts w:eastAsiaTheme="minorHAnsi"/>
              </w:rPr>
            </w:pPr>
            <w:r w:rsidRPr="00A21238">
              <w:t> </w:t>
            </w:r>
          </w:p>
        </w:tc>
      </w:tr>
      <w:tr w:rsidR="003C2ED1" w:rsidRPr="00A21238" w:rsidTr="00DE7B57">
        <w:trPr>
          <w:gridAfter w:val="2"/>
          <w:wAfter w:w="4035" w:type="dxa"/>
          <w:trHeight w:val="270"/>
        </w:trPr>
        <w:tc>
          <w:tcPr>
            <w:tcW w:w="3003"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02496E">
            <w:pPr>
              <w:ind w:left="285"/>
              <w:rPr>
                <w:rFonts w:ascii="Calibri" w:eastAsiaTheme="minorHAnsi" w:hAnsi="Calibri" w:cs="Calibri"/>
                <w:b/>
                <w:bCs/>
                <w:sz w:val="20"/>
                <w:szCs w:val="20"/>
              </w:rPr>
            </w:pPr>
            <w:r w:rsidRPr="00A21238">
              <w:rPr>
                <w:rFonts w:ascii="Calibri" w:hAnsi="Calibri" w:cs="Calibri"/>
                <w:b/>
                <w:bCs/>
                <w:sz w:val="20"/>
                <w:szCs w:val="20"/>
                <w:u w:val="single"/>
              </w:rPr>
              <w:t>&gt;</w:t>
            </w:r>
            <w:r w:rsidRPr="00A21238">
              <w:rPr>
                <w:rFonts w:ascii="Calibri" w:hAnsi="Calibri" w:cs="Calibri"/>
                <w:b/>
                <w:bCs/>
                <w:sz w:val="20"/>
                <w:szCs w:val="20"/>
              </w:rPr>
              <w:t>65</w:t>
            </w:r>
            <w:r w:rsidR="0002496E" w:rsidRPr="0002496E">
              <w:rPr>
                <w:rFonts w:ascii="Calibri" w:hAnsi="Calibri" w:cs="Calibri"/>
                <w:b/>
                <w:bCs/>
                <w:noProof/>
                <w:sz w:val="20"/>
                <w:szCs w:val="20"/>
                <w:vertAlign w:val="superscript"/>
              </w:rPr>
              <w:t>18, 29, 31, 36, 38</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38%</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432</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709</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5(1141)</w:t>
            </w:r>
          </w:p>
        </w:tc>
        <w:tc>
          <w:tcPr>
            <w:tcW w:w="90" w:type="dxa"/>
            <w:vAlign w:val="center"/>
            <w:hideMark/>
          </w:tcPr>
          <w:p w:rsidR="00BD5C72" w:rsidRPr="00A21238" w:rsidRDefault="00BD5C72">
            <w:pPr>
              <w:rPr>
                <w:rFonts w:eastAsiaTheme="minorHAnsi"/>
              </w:rPr>
            </w:pPr>
            <w:r w:rsidRPr="00A21238">
              <w:t> </w:t>
            </w:r>
          </w:p>
        </w:tc>
      </w:tr>
      <w:tr w:rsidR="003C2ED1" w:rsidRPr="00A21238" w:rsidTr="00DE7B57">
        <w:trPr>
          <w:gridAfter w:val="2"/>
          <w:wAfter w:w="4035" w:type="dxa"/>
          <w:trHeight w:val="322"/>
        </w:trPr>
        <w:tc>
          <w:tcPr>
            <w:tcW w:w="3003"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7F34E3">
            <w:pPr>
              <w:rPr>
                <w:rFonts w:ascii="Calibri" w:eastAsiaTheme="minorHAnsi" w:hAnsi="Calibri" w:cs="Calibri"/>
                <w:b/>
                <w:bCs/>
                <w:sz w:val="20"/>
                <w:szCs w:val="20"/>
              </w:rPr>
            </w:pPr>
            <w:r w:rsidRPr="00A21238">
              <w:rPr>
                <w:rFonts w:ascii="Calibri" w:hAnsi="Calibri" w:cs="Calibri"/>
                <w:b/>
                <w:bCs/>
                <w:sz w:val="20"/>
                <w:szCs w:val="20"/>
              </w:rPr>
              <w:t>Sex</w:t>
            </w:r>
          </w:p>
        </w:tc>
        <w:tc>
          <w:tcPr>
            <w:tcW w:w="153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p>
        </w:tc>
        <w:tc>
          <w:tcPr>
            <w:tcW w:w="144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p>
        </w:tc>
        <w:tc>
          <w:tcPr>
            <w:tcW w:w="153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p>
        </w:tc>
        <w:tc>
          <w:tcPr>
            <w:tcW w:w="144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p>
        </w:tc>
        <w:tc>
          <w:tcPr>
            <w:tcW w:w="90" w:type="dxa"/>
            <w:vAlign w:val="center"/>
            <w:hideMark/>
          </w:tcPr>
          <w:p w:rsidR="00BD5C72" w:rsidRPr="00A21238" w:rsidRDefault="00BD5C72">
            <w:pPr>
              <w:rPr>
                <w:rFonts w:eastAsiaTheme="minorHAnsi"/>
              </w:rPr>
            </w:pPr>
            <w:r w:rsidRPr="00A21238">
              <w:t> </w:t>
            </w:r>
          </w:p>
        </w:tc>
      </w:tr>
      <w:tr w:rsidR="003C2ED1" w:rsidRPr="00A21238" w:rsidTr="009426B6">
        <w:trPr>
          <w:gridAfter w:val="2"/>
          <w:wAfter w:w="4035" w:type="dxa"/>
          <w:trHeight w:val="270"/>
        </w:trPr>
        <w:tc>
          <w:tcPr>
            <w:tcW w:w="3003"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02496E">
            <w:pPr>
              <w:ind w:left="285"/>
              <w:rPr>
                <w:rFonts w:ascii="Calibri" w:eastAsiaTheme="minorHAnsi" w:hAnsi="Calibri" w:cs="Calibri"/>
                <w:b/>
                <w:bCs/>
                <w:sz w:val="20"/>
                <w:szCs w:val="20"/>
              </w:rPr>
            </w:pPr>
            <w:r w:rsidRPr="00A21238">
              <w:rPr>
                <w:rFonts w:ascii="Calibri" w:hAnsi="Calibri" w:cs="Calibri"/>
                <w:b/>
                <w:bCs/>
                <w:sz w:val="20"/>
                <w:szCs w:val="20"/>
              </w:rPr>
              <w:t>Female</w:t>
            </w:r>
            <w:r w:rsidR="0002496E" w:rsidRPr="0002496E">
              <w:rPr>
                <w:rFonts w:ascii="Calibri" w:hAnsi="Calibri" w:cs="Calibri"/>
                <w:b/>
                <w:bCs/>
                <w:noProof/>
                <w:sz w:val="20"/>
                <w:szCs w:val="20"/>
                <w:vertAlign w:val="superscript"/>
              </w:rPr>
              <w:t>8-19, 21, 23, 24, 26-31, 34-38, 50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58%</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1027</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733</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27(1760)</w:t>
            </w:r>
          </w:p>
        </w:tc>
        <w:tc>
          <w:tcPr>
            <w:tcW w:w="90" w:type="dxa"/>
            <w:vAlign w:val="center"/>
            <w:hideMark/>
          </w:tcPr>
          <w:p w:rsidR="00BD5C72" w:rsidRPr="00A21238" w:rsidRDefault="00BD5C72">
            <w:pPr>
              <w:rPr>
                <w:rFonts w:eastAsiaTheme="minorHAnsi"/>
              </w:rPr>
            </w:pPr>
            <w:r w:rsidRPr="00A21238">
              <w:t> </w:t>
            </w:r>
          </w:p>
        </w:tc>
      </w:tr>
      <w:tr w:rsidR="003C2ED1" w:rsidRPr="00A21238" w:rsidTr="00DE7B57">
        <w:trPr>
          <w:gridAfter w:val="2"/>
          <w:wAfter w:w="4035" w:type="dxa"/>
          <w:trHeight w:val="367"/>
        </w:trPr>
        <w:tc>
          <w:tcPr>
            <w:tcW w:w="3003"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02496E">
            <w:pPr>
              <w:ind w:firstLine="285"/>
              <w:rPr>
                <w:rFonts w:ascii="Calibri" w:eastAsiaTheme="minorHAnsi" w:hAnsi="Calibri" w:cs="Calibri"/>
                <w:b/>
                <w:bCs/>
                <w:sz w:val="20"/>
                <w:szCs w:val="20"/>
              </w:rPr>
            </w:pPr>
            <w:r w:rsidRPr="00A21238">
              <w:rPr>
                <w:rFonts w:ascii="Calibri" w:hAnsi="Calibri" w:cs="Calibri"/>
                <w:b/>
                <w:bCs/>
                <w:sz w:val="20"/>
                <w:szCs w:val="20"/>
              </w:rPr>
              <w:t>Male</w:t>
            </w:r>
            <w:r w:rsidR="0002496E" w:rsidRPr="0002496E">
              <w:rPr>
                <w:rFonts w:ascii="Calibri" w:hAnsi="Calibri" w:cs="Calibri"/>
                <w:b/>
                <w:bCs/>
                <w:noProof/>
                <w:sz w:val="20"/>
                <w:szCs w:val="20"/>
                <w:vertAlign w:val="superscript"/>
              </w:rPr>
              <w:t>8-19, 23, 24, 26-31, 34-38, 50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32%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456</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962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26(1418)</w:t>
            </w:r>
          </w:p>
        </w:tc>
        <w:tc>
          <w:tcPr>
            <w:tcW w:w="90" w:type="dxa"/>
            <w:vAlign w:val="center"/>
            <w:hideMark/>
          </w:tcPr>
          <w:p w:rsidR="00BD5C72" w:rsidRPr="00A21238" w:rsidRDefault="00BD5C72">
            <w:pPr>
              <w:rPr>
                <w:rFonts w:eastAsiaTheme="minorHAnsi"/>
              </w:rPr>
            </w:pPr>
            <w:r w:rsidRPr="00A21238">
              <w:t> </w:t>
            </w:r>
          </w:p>
        </w:tc>
      </w:tr>
      <w:tr w:rsidR="003C2ED1" w:rsidRPr="00A21238" w:rsidTr="00DE7B57">
        <w:trPr>
          <w:gridAfter w:val="2"/>
          <w:wAfter w:w="4035" w:type="dxa"/>
          <w:trHeight w:val="270"/>
        </w:trPr>
        <w:tc>
          <w:tcPr>
            <w:tcW w:w="3003"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pPr>
              <w:rPr>
                <w:rFonts w:ascii="Calibri" w:eastAsiaTheme="minorHAnsi" w:hAnsi="Calibri" w:cs="Calibri"/>
                <w:b/>
                <w:bCs/>
                <w:sz w:val="20"/>
                <w:szCs w:val="20"/>
              </w:rPr>
            </w:pPr>
            <w:r w:rsidRPr="00A21238">
              <w:rPr>
                <w:rFonts w:ascii="Calibri" w:hAnsi="Calibri" w:cs="Calibri"/>
                <w:b/>
                <w:bCs/>
                <w:sz w:val="20"/>
                <w:szCs w:val="20"/>
              </w:rPr>
              <w:t>Smoking</w:t>
            </w:r>
          </w:p>
        </w:tc>
        <w:tc>
          <w:tcPr>
            <w:tcW w:w="153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p>
        </w:tc>
        <w:tc>
          <w:tcPr>
            <w:tcW w:w="144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p>
        </w:tc>
        <w:tc>
          <w:tcPr>
            <w:tcW w:w="153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p>
        </w:tc>
        <w:tc>
          <w:tcPr>
            <w:tcW w:w="144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p>
        </w:tc>
        <w:tc>
          <w:tcPr>
            <w:tcW w:w="90" w:type="dxa"/>
            <w:vAlign w:val="center"/>
            <w:hideMark/>
          </w:tcPr>
          <w:p w:rsidR="00BD5C72" w:rsidRPr="00A21238" w:rsidRDefault="00BD5C72">
            <w:pPr>
              <w:rPr>
                <w:rFonts w:eastAsiaTheme="minorHAnsi"/>
              </w:rPr>
            </w:pPr>
            <w:r w:rsidRPr="00A21238">
              <w:t> </w:t>
            </w:r>
          </w:p>
        </w:tc>
      </w:tr>
      <w:tr w:rsidR="003C2ED1" w:rsidRPr="00A21238" w:rsidTr="009426B6">
        <w:trPr>
          <w:gridAfter w:val="2"/>
          <w:wAfter w:w="4035" w:type="dxa"/>
          <w:trHeight w:val="295"/>
        </w:trPr>
        <w:tc>
          <w:tcPr>
            <w:tcW w:w="3003"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02496E">
            <w:pPr>
              <w:ind w:firstLine="285"/>
              <w:rPr>
                <w:rFonts w:ascii="Calibri" w:eastAsiaTheme="minorHAnsi" w:hAnsi="Calibri" w:cs="Calibri"/>
                <w:b/>
                <w:bCs/>
                <w:sz w:val="20"/>
                <w:szCs w:val="20"/>
              </w:rPr>
            </w:pPr>
            <w:r w:rsidRPr="00A21238">
              <w:rPr>
                <w:rFonts w:ascii="Calibri" w:hAnsi="Calibri" w:cs="Calibri"/>
                <w:b/>
                <w:bCs/>
                <w:sz w:val="20"/>
                <w:szCs w:val="20"/>
              </w:rPr>
              <w:t>Never</w:t>
            </w:r>
            <w:r w:rsidR="0002496E" w:rsidRPr="0002496E">
              <w:rPr>
                <w:rFonts w:ascii="Calibri" w:hAnsi="Calibri" w:cs="Calibri"/>
                <w:b/>
                <w:bCs/>
                <w:noProof/>
                <w:sz w:val="20"/>
                <w:szCs w:val="20"/>
                <w:vertAlign w:val="superscript"/>
              </w:rPr>
              <w:t>8-12, 15-19, 23, 24, 26, 28-30, 34-38, 50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58%</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843</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599</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22(1442)</w:t>
            </w:r>
          </w:p>
        </w:tc>
        <w:tc>
          <w:tcPr>
            <w:tcW w:w="90" w:type="dxa"/>
            <w:vAlign w:val="center"/>
            <w:hideMark/>
          </w:tcPr>
          <w:p w:rsidR="00BD5C72" w:rsidRPr="00A21238" w:rsidRDefault="00BD5C72">
            <w:pPr>
              <w:rPr>
                <w:rFonts w:eastAsiaTheme="minorHAnsi"/>
              </w:rPr>
            </w:pPr>
            <w:r w:rsidRPr="00A21238">
              <w:t> </w:t>
            </w:r>
          </w:p>
        </w:tc>
      </w:tr>
      <w:tr w:rsidR="003C2ED1" w:rsidRPr="00A21238" w:rsidTr="00DE7B57">
        <w:trPr>
          <w:gridAfter w:val="2"/>
          <w:wAfter w:w="4035" w:type="dxa"/>
          <w:trHeight w:val="270"/>
        </w:trPr>
        <w:tc>
          <w:tcPr>
            <w:tcW w:w="3003"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02496E">
            <w:pPr>
              <w:ind w:firstLine="285"/>
              <w:rPr>
                <w:rFonts w:ascii="Calibri" w:eastAsiaTheme="minorHAnsi" w:hAnsi="Calibri" w:cs="Calibri"/>
                <w:b/>
                <w:bCs/>
                <w:sz w:val="20"/>
                <w:szCs w:val="20"/>
              </w:rPr>
            </w:pPr>
            <w:r w:rsidRPr="00A21238">
              <w:rPr>
                <w:rFonts w:ascii="Calibri" w:hAnsi="Calibri" w:cs="Calibri"/>
                <w:b/>
                <w:bCs/>
                <w:sz w:val="20"/>
                <w:szCs w:val="20"/>
              </w:rPr>
              <w:t>Ever</w:t>
            </w:r>
            <w:r w:rsidR="0002496E" w:rsidRPr="0002496E">
              <w:rPr>
                <w:rFonts w:ascii="Calibri" w:hAnsi="Calibri" w:cs="Calibri"/>
                <w:b/>
                <w:bCs/>
                <w:noProof/>
                <w:sz w:val="20"/>
                <w:szCs w:val="20"/>
                <w:vertAlign w:val="superscript"/>
              </w:rPr>
              <w:t>8-12, 15-19, 23, 24, 26, 28-30, 34-38, 50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26%</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265</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767</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22(1032)</w:t>
            </w:r>
          </w:p>
        </w:tc>
        <w:tc>
          <w:tcPr>
            <w:tcW w:w="90" w:type="dxa"/>
            <w:vAlign w:val="center"/>
            <w:hideMark/>
          </w:tcPr>
          <w:p w:rsidR="00BD5C72" w:rsidRPr="00A21238" w:rsidRDefault="00BD5C72">
            <w:pPr>
              <w:rPr>
                <w:rFonts w:eastAsiaTheme="minorHAnsi"/>
              </w:rPr>
            </w:pPr>
            <w:r w:rsidRPr="00A21238">
              <w:t> </w:t>
            </w:r>
          </w:p>
        </w:tc>
      </w:tr>
      <w:tr w:rsidR="003C2ED1" w:rsidRPr="00A21238" w:rsidTr="00DE7B57">
        <w:trPr>
          <w:gridAfter w:val="2"/>
          <w:wAfter w:w="4035" w:type="dxa"/>
          <w:trHeight w:val="270"/>
        </w:trPr>
        <w:tc>
          <w:tcPr>
            <w:tcW w:w="3003"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pPr>
              <w:rPr>
                <w:rFonts w:ascii="Calibri" w:eastAsiaTheme="minorHAnsi" w:hAnsi="Calibri" w:cs="Calibri"/>
                <w:b/>
                <w:bCs/>
                <w:sz w:val="20"/>
                <w:szCs w:val="20"/>
              </w:rPr>
            </w:pPr>
            <w:r w:rsidRPr="00A21238">
              <w:rPr>
                <w:rFonts w:ascii="Calibri" w:hAnsi="Calibri" w:cs="Calibri"/>
                <w:b/>
                <w:bCs/>
                <w:sz w:val="20"/>
                <w:szCs w:val="20"/>
              </w:rPr>
              <w:t>History of Smoking (pack-years)</w:t>
            </w:r>
          </w:p>
        </w:tc>
        <w:tc>
          <w:tcPr>
            <w:tcW w:w="153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p>
        </w:tc>
        <w:tc>
          <w:tcPr>
            <w:tcW w:w="144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p>
        </w:tc>
        <w:tc>
          <w:tcPr>
            <w:tcW w:w="153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p>
        </w:tc>
        <w:tc>
          <w:tcPr>
            <w:tcW w:w="144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p>
        </w:tc>
        <w:tc>
          <w:tcPr>
            <w:tcW w:w="90" w:type="dxa"/>
            <w:vAlign w:val="center"/>
            <w:hideMark/>
          </w:tcPr>
          <w:p w:rsidR="00BD5C72" w:rsidRPr="00A21238" w:rsidRDefault="00BD5C72">
            <w:pPr>
              <w:rPr>
                <w:rFonts w:eastAsiaTheme="minorHAnsi"/>
              </w:rPr>
            </w:pPr>
            <w:r w:rsidRPr="00A21238">
              <w:t> </w:t>
            </w:r>
          </w:p>
        </w:tc>
      </w:tr>
      <w:tr w:rsidR="003C2ED1" w:rsidRPr="00A21238" w:rsidTr="009426B6">
        <w:trPr>
          <w:gridAfter w:val="2"/>
          <w:wAfter w:w="4035" w:type="dxa"/>
          <w:trHeight w:val="270"/>
        </w:trPr>
        <w:tc>
          <w:tcPr>
            <w:tcW w:w="3003"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02496E">
            <w:pPr>
              <w:ind w:firstLine="285"/>
              <w:rPr>
                <w:rFonts w:ascii="Calibri" w:eastAsiaTheme="minorHAnsi" w:hAnsi="Calibri" w:cs="Calibri"/>
                <w:b/>
                <w:bCs/>
                <w:sz w:val="20"/>
                <w:szCs w:val="20"/>
              </w:rPr>
            </w:pPr>
            <w:r w:rsidRPr="00A21238">
              <w:rPr>
                <w:rFonts w:ascii="Calibri" w:hAnsi="Calibri" w:cs="Calibri"/>
                <w:b/>
                <w:bCs/>
                <w:sz w:val="20"/>
                <w:szCs w:val="20"/>
              </w:rPr>
              <w:t>0-10</w:t>
            </w:r>
            <w:r w:rsidR="0002496E" w:rsidRPr="0002496E">
              <w:rPr>
                <w:rFonts w:ascii="Calibri" w:hAnsi="Calibri" w:cs="Calibri"/>
                <w:b/>
                <w:bCs/>
                <w:noProof/>
                <w:sz w:val="20"/>
                <w:szCs w:val="20"/>
                <w:vertAlign w:val="superscript"/>
              </w:rPr>
              <w:t>29</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67%</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10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5</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1(15)</w:t>
            </w:r>
          </w:p>
        </w:tc>
        <w:tc>
          <w:tcPr>
            <w:tcW w:w="90" w:type="dxa"/>
            <w:vAlign w:val="center"/>
            <w:hideMark/>
          </w:tcPr>
          <w:p w:rsidR="00BD5C72" w:rsidRPr="00A21238" w:rsidRDefault="00BD5C72">
            <w:pPr>
              <w:rPr>
                <w:rFonts w:eastAsiaTheme="minorHAnsi"/>
              </w:rPr>
            </w:pPr>
            <w:r w:rsidRPr="00A21238">
              <w:t> </w:t>
            </w:r>
          </w:p>
        </w:tc>
      </w:tr>
      <w:tr w:rsidR="003C2ED1" w:rsidRPr="00A21238" w:rsidTr="009426B6">
        <w:trPr>
          <w:gridAfter w:val="2"/>
          <w:wAfter w:w="4035" w:type="dxa"/>
          <w:trHeight w:val="270"/>
        </w:trPr>
        <w:tc>
          <w:tcPr>
            <w:tcW w:w="3003"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02496E">
            <w:pPr>
              <w:ind w:firstLine="285"/>
              <w:rPr>
                <w:rFonts w:ascii="Calibri" w:eastAsiaTheme="minorHAnsi" w:hAnsi="Calibri" w:cs="Calibri"/>
                <w:b/>
                <w:bCs/>
                <w:sz w:val="20"/>
                <w:szCs w:val="20"/>
              </w:rPr>
            </w:pPr>
            <w:r w:rsidRPr="00A21238">
              <w:rPr>
                <w:rFonts w:ascii="Calibri" w:hAnsi="Calibri" w:cs="Calibri"/>
                <w:b/>
                <w:bCs/>
                <w:sz w:val="20"/>
                <w:szCs w:val="20"/>
              </w:rPr>
              <w:t>11-40</w:t>
            </w:r>
            <w:r w:rsidR="0002496E" w:rsidRPr="0002496E">
              <w:rPr>
                <w:rFonts w:ascii="Calibri" w:hAnsi="Calibri" w:cs="Calibri"/>
                <w:b/>
                <w:bCs/>
                <w:noProof/>
                <w:sz w:val="20"/>
                <w:szCs w:val="20"/>
                <w:vertAlign w:val="superscript"/>
              </w:rPr>
              <w:t>29</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45%</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5</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6</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1(11)</w:t>
            </w:r>
          </w:p>
        </w:tc>
        <w:tc>
          <w:tcPr>
            <w:tcW w:w="90" w:type="dxa"/>
            <w:vAlign w:val="center"/>
            <w:hideMark/>
          </w:tcPr>
          <w:p w:rsidR="00BD5C72" w:rsidRPr="00A21238" w:rsidRDefault="00BD5C72">
            <w:pPr>
              <w:rPr>
                <w:rFonts w:eastAsiaTheme="minorHAnsi"/>
              </w:rPr>
            </w:pPr>
            <w:r w:rsidRPr="00A21238">
              <w:t> </w:t>
            </w:r>
          </w:p>
        </w:tc>
      </w:tr>
      <w:tr w:rsidR="003C2ED1" w:rsidRPr="00A21238" w:rsidTr="009426B6">
        <w:trPr>
          <w:gridAfter w:val="2"/>
          <w:wAfter w:w="4035" w:type="dxa"/>
          <w:trHeight w:val="270"/>
        </w:trPr>
        <w:tc>
          <w:tcPr>
            <w:tcW w:w="3003"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02496E">
            <w:pPr>
              <w:ind w:firstLine="285"/>
              <w:rPr>
                <w:rFonts w:ascii="Calibri" w:eastAsiaTheme="minorHAnsi" w:hAnsi="Calibri" w:cs="Calibri"/>
                <w:b/>
                <w:bCs/>
                <w:sz w:val="20"/>
                <w:szCs w:val="20"/>
              </w:rPr>
            </w:pPr>
            <w:r w:rsidRPr="00A21238">
              <w:rPr>
                <w:rFonts w:ascii="Calibri" w:hAnsi="Calibri" w:cs="Calibri"/>
                <w:b/>
                <w:bCs/>
                <w:sz w:val="20"/>
                <w:szCs w:val="20"/>
              </w:rPr>
              <w:t>&gt;40</w:t>
            </w:r>
            <w:r w:rsidR="0002496E" w:rsidRPr="0002496E">
              <w:rPr>
                <w:rFonts w:ascii="Calibri" w:hAnsi="Calibri" w:cs="Calibri"/>
                <w:b/>
                <w:bCs/>
                <w:noProof/>
                <w:sz w:val="20"/>
                <w:szCs w:val="20"/>
                <w:vertAlign w:val="superscript"/>
              </w:rPr>
              <w:t>29</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23%</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5</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17</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1(22)</w:t>
            </w:r>
          </w:p>
        </w:tc>
        <w:tc>
          <w:tcPr>
            <w:tcW w:w="90" w:type="dxa"/>
            <w:vAlign w:val="center"/>
            <w:hideMark/>
          </w:tcPr>
          <w:p w:rsidR="00BD5C72" w:rsidRPr="00A21238" w:rsidRDefault="00BD5C72">
            <w:pPr>
              <w:rPr>
                <w:rFonts w:eastAsiaTheme="minorHAnsi"/>
              </w:rPr>
            </w:pPr>
            <w:r w:rsidRPr="00A21238">
              <w:t> </w:t>
            </w:r>
          </w:p>
        </w:tc>
      </w:tr>
      <w:tr w:rsidR="003C2ED1" w:rsidRPr="00A21238" w:rsidTr="00DE7B57">
        <w:trPr>
          <w:gridAfter w:val="2"/>
          <w:wAfter w:w="4035" w:type="dxa"/>
          <w:trHeight w:val="270"/>
        </w:trPr>
        <w:tc>
          <w:tcPr>
            <w:tcW w:w="3003"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02496E">
            <w:pPr>
              <w:ind w:firstLine="285"/>
              <w:rPr>
                <w:rFonts w:ascii="Calibri" w:eastAsiaTheme="minorHAnsi" w:hAnsi="Calibri" w:cs="Calibri"/>
                <w:b/>
                <w:bCs/>
                <w:sz w:val="20"/>
                <w:szCs w:val="20"/>
              </w:rPr>
            </w:pPr>
            <w:r w:rsidRPr="00A21238">
              <w:rPr>
                <w:rFonts w:ascii="Calibri" w:hAnsi="Calibri" w:cs="Calibri"/>
                <w:b/>
                <w:bCs/>
                <w:sz w:val="20"/>
                <w:szCs w:val="20"/>
              </w:rPr>
              <w:t>&gt;20</w:t>
            </w:r>
            <w:r w:rsidR="0002496E" w:rsidRPr="0002496E">
              <w:rPr>
                <w:rFonts w:ascii="Calibri" w:hAnsi="Calibri" w:cs="Calibri"/>
                <w:b/>
                <w:bCs/>
                <w:noProof/>
                <w:sz w:val="20"/>
                <w:szCs w:val="20"/>
                <w:vertAlign w:val="superscript"/>
              </w:rPr>
              <w:t>31</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25%</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13</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40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1(53)</w:t>
            </w:r>
          </w:p>
        </w:tc>
        <w:tc>
          <w:tcPr>
            <w:tcW w:w="90" w:type="dxa"/>
            <w:vAlign w:val="center"/>
            <w:hideMark/>
          </w:tcPr>
          <w:p w:rsidR="00BD5C72" w:rsidRPr="00A21238" w:rsidRDefault="00BD5C72">
            <w:pPr>
              <w:rPr>
                <w:rFonts w:eastAsiaTheme="minorHAnsi"/>
              </w:rPr>
            </w:pPr>
            <w:r w:rsidRPr="00A21238">
              <w:t> </w:t>
            </w:r>
          </w:p>
        </w:tc>
      </w:tr>
      <w:tr w:rsidR="003C2ED1" w:rsidRPr="00A21238" w:rsidTr="00DE7B57">
        <w:trPr>
          <w:gridAfter w:val="2"/>
          <w:wAfter w:w="4035" w:type="dxa"/>
          <w:trHeight w:val="277"/>
        </w:trPr>
        <w:tc>
          <w:tcPr>
            <w:tcW w:w="3003"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pPr>
              <w:rPr>
                <w:rFonts w:ascii="Calibri" w:eastAsiaTheme="minorHAnsi" w:hAnsi="Calibri" w:cs="Calibri"/>
                <w:b/>
                <w:bCs/>
                <w:sz w:val="20"/>
                <w:szCs w:val="20"/>
              </w:rPr>
            </w:pPr>
            <w:r w:rsidRPr="00A21238">
              <w:rPr>
                <w:rFonts w:ascii="Calibri" w:hAnsi="Calibri" w:cs="Calibri"/>
                <w:b/>
                <w:bCs/>
                <w:sz w:val="20"/>
                <w:szCs w:val="20"/>
              </w:rPr>
              <w:t>Histology</w:t>
            </w:r>
          </w:p>
        </w:tc>
        <w:tc>
          <w:tcPr>
            <w:tcW w:w="153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p>
        </w:tc>
        <w:tc>
          <w:tcPr>
            <w:tcW w:w="144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p>
        </w:tc>
        <w:tc>
          <w:tcPr>
            <w:tcW w:w="153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p>
        </w:tc>
        <w:tc>
          <w:tcPr>
            <w:tcW w:w="144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p>
        </w:tc>
        <w:tc>
          <w:tcPr>
            <w:tcW w:w="90" w:type="dxa"/>
            <w:vAlign w:val="center"/>
            <w:hideMark/>
          </w:tcPr>
          <w:p w:rsidR="00BD5C72" w:rsidRPr="00A21238" w:rsidRDefault="00BD5C72">
            <w:pPr>
              <w:rPr>
                <w:rFonts w:eastAsiaTheme="minorHAnsi"/>
              </w:rPr>
            </w:pPr>
            <w:r w:rsidRPr="00A21238">
              <w:t> </w:t>
            </w:r>
          </w:p>
        </w:tc>
      </w:tr>
      <w:tr w:rsidR="003C2ED1" w:rsidRPr="00A21238" w:rsidTr="009426B6">
        <w:trPr>
          <w:gridAfter w:val="2"/>
          <w:wAfter w:w="4035" w:type="dxa"/>
          <w:trHeight w:val="270"/>
        </w:trPr>
        <w:tc>
          <w:tcPr>
            <w:tcW w:w="3003"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02496E">
            <w:pPr>
              <w:ind w:firstLine="285"/>
              <w:rPr>
                <w:rFonts w:ascii="Calibri" w:eastAsiaTheme="minorHAnsi" w:hAnsi="Calibri" w:cs="Calibri"/>
                <w:b/>
                <w:bCs/>
                <w:sz w:val="20"/>
                <w:szCs w:val="20"/>
              </w:rPr>
            </w:pPr>
            <w:r w:rsidRPr="00A21238">
              <w:rPr>
                <w:rFonts w:ascii="Calibri" w:hAnsi="Calibri" w:cs="Calibri"/>
                <w:b/>
                <w:bCs/>
                <w:sz w:val="20"/>
                <w:szCs w:val="20"/>
              </w:rPr>
              <w:t>Adenocarcinoma</w:t>
            </w:r>
            <w:r w:rsidR="0002496E" w:rsidRPr="0002496E">
              <w:rPr>
                <w:rFonts w:ascii="Calibri" w:hAnsi="Calibri" w:cs="Calibri"/>
                <w:b/>
                <w:bCs/>
                <w:noProof/>
                <w:sz w:val="20"/>
                <w:szCs w:val="20"/>
                <w:vertAlign w:val="superscript"/>
              </w:rPr>
              <w:t>8-14, 16-19, 23, 24, 26-31, 34-38, 50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50%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1278</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1256</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243197" w:rsidP="00525241">
            <w:pPr>
              <w:jc w:val="center"/>
              <w:rPr>
                <w:rFonts w:ascii="Calibri" w:eastAsiaTheme="minorHAnsi" w:hAnsi="Calibri" w:cs="Calibri"/>
                <w:sz w:val="20"/>
                <w:szCs w:val="20"/>
              </w:rPr>
            </w:pPr>
            <w:r w:rsidRPr="00A21238">
              <w:rPr>
                <w:rFonts w:ascii="Calibri" w:hAnsi="Calibri" w:cs="Calibri"/>
                <w:sz w:val="20"/>
                <w:szCs w:val="20"/>
              </w:rPr>
              <w:t>25</w:t>
            </w:r>
            <w:r w:rsidR="00BD5C72" w:rsidRPr="00A21238">
              <w:rPr>
                <w:rFonts w:ascii="Calibri" w:hAnsi="Calibri" w:cs="Calibri"/>
                <w:sz w:val="20"/>
                <w:szCs w:val="20"/>
              </w:rPr>
              <w:t>(2534)</w:t>
            </w:r>
          </w:p>
        </w:tc>
        <w:tc>
          <w:tcPr>
            <w:tcW w:w="90" w:type="dxa"/>
            <w:vAlign w:val="center"/>
            <w:hideMark/>
          </w:tcPr>
          <w:p w:rsidR="00BD5C72" w:rsidRPr="00A21238" w:rsidRDefault="00BD5C72">
            <w:pPr>
              <w:rPr>
                <w:rFonts w:eastAsiaTheme="minorHAnsi"/>
              </w:rPr>
            </w:pPr>
            <w:r w:rsidRPr="00A21238">
              <w:t> </w:t>
            </w:r>
          </w:p>
        </w:tc>
      </w:tr>
      <w:tr w:rsidR="003C2ED1" w:rsidRPr="00A21238" w:rsidTr="009426B6">
        <w:trPr>
          <w:gridAfter w:val="2"/>
          <w:wAfter w:w="4035" w:type="dxa"/>
          <w:trHeight w:val="313"/>
        </w:trPr>
        <w:tc>
          <w:tcPr>
            <w:tcW w:w="3003"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02496E">
            <w:pPr>
              <w:ind w:firstLine="285"/>
              <w:rPr>
                <w:rFonts w:ascii="Calibri" w:eastAsiaTheme="minorHAnsi" w:hAnsi="Calibri" w:cs="Calibri"/>
                <w:b/>
                <w:bCs/>
                <w:sz w:val="20"/>
                <w:szCs w:val="20"/>
              </w:rPr>
            </w:pPr>
            <w:r w:rsidRPr="00A21238">
              <w:rPr>
                <w:rFonts w:ascii="Calibri" w:hAnsi="Calibri" w:cs="Calibri"/>
                <w:b/>
                <w:bCs/>
                <w:sz w:val="20"/>
                <w:szCs w:val="20"/>
              </w:rPr>
              <w:t>Squamous</w:t>
            </w:r>
            <w:r w:rsidR="0002496E" w:rsidRPr="0002496E">
              <w:rPr>
                <w:rFonts w:ascii="Calibri" w:hAnsi="Calibri" w:cs="Calibri"/>
                <w:b/>
                <w:bCs/>
                <w:noProof/>
                <w:sz w:val="20"/>
                <w:szCs w:val="20"/>
                <w:vertAlign w:val="superscript"/>
              </w:rPr>
              <w:t>12, 17, 28, 31, 34-36, 50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5%</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8</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160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8(168)</w:t>
            </w:r>
          </w:p>
        </w:tc>
        <w:tc>
          <w:tcPr>
            <w:tcW w:w="90" w:type="dxa"/>
            <w:vAlign w:val="center"/>
            <w:hideMark/>
          </w:tcPr>
          <w:p w:rsidR="00BD5C72" w:rsidRPr="00A21238" w:rsidRDefault="00BD5C72">
            <w:pPr>
              <w:rPr>
                <w:rFonts w:eastAsiaTheme="minorHAnsi"/>
              </w:rPr>
            </w:pPr>
            <w:r w:rsidRPr="00A21238">
              <w:t> </w:t>
            </w:r>
          </w:p>
        </w:tc>
      </w:tr>
      <w:tr w:rsidR="003C2ED1" w:rsidRPr="00A21238" w:rsidTr="009426B6">
        <w:trPr>
          <w:gridAfter w:val="2"/>
          <w:wAfter w:w="4035" w:type="dxa"/>
          <w:trHeight w:val="270"/>
        </w:trPr>
        <w:tc>
          <w:tcPr>
            <w:tcW w:w="3003"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02496E">
            <w:pPr>
              <w:ind w:firstLine="285"/>
              <w:rPr>
                <w:rFonts w:ascii="Calibri" w:eastAsiaTheme="minorHAnsi" w:hAnsi="Calibri" w:cs="Calibri"/>
                <w:b/>
                <w:bCs/>
                <w:sz w:val="20"/>
                <w:szCs w:val="20"/>
              </w:rPr>
            </w:pPr>
            <w:r w:rsidRPr="00A21238">
              <w:rPr>
                <w:rFonts w:ascii="Calibri" w:hAnsi="Calibri" w:cs="Calibri"/>
                <w:b/>
                <w:bCs/>
                <w:sz w:val="20"/>
                <w:szCs w:val="20"/>
              </w:rPr>
              <w:t>Adenosquamous</w:t>
            </w:r>
            <w:r w:rsidR="0002496E" w:rsidRPr="0002496E">
              <w:rPr>
                <w:rFonts w:ascii="Calibri" w:hAnsi="Calibri" w:cs="Calibri"/>
                <w:b/>
                <w:bCs/>
                <w:noProof/>
                <w:sz w:val="20"/>
                <w:szCs w:val="20"/>
                <w:vertAlign w:val="superscript"/>
              </w:rPr>
              <w:t>28, 31</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67%</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4</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2(6)</w:t>
            </w:r>
          </w:p>
        </w:tc>
        <w:tc>
          <w:tcPr>
            <w:tcW w:w="90" w:type="dxa"/>
            <w:vAlign w:val="center"/>
            <w:hideMark/>
          </w:tcPr>
          <w:p w:rsidR="00BD5C72" w:rsidRPr="00A21238" w:rsidRDefault="00BD5C72">
            <w:pPr>
              <w:rPr>
                <w:rFonts w:eastAsiaTheme="minorHAnsi"/>
              </w:rPr>
            </w:pPr>
            <w:r w:rsidRPr="00A21238">
              <w:t> </w:t>
            </w:r>
          </w:p>
        </w:tc>
      </w:tr>
      <w:tr w:rsidR="003C2ED1" w:rsidRPr="00A21238" w:rsidTr="00DE7B57">
        <w:trPr>
          <w:gridAfter w:val="2"/>
          <w:wAfter w:w="4035" w:type="dxa"/>
          <w:trHeight w:val="223"/>
        </w:trPr>
        <w:tc>
          <w:tcPr>
            <w:tcW w:w="3003"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02496E">
            <w:pPr>
              <w:ind w:firstLine="285"/>
              <w:rPr>
                <w:rFonts w:ascii="Calibri" w:eastAsiaTheme="minorHAnsi" w:hAnsi="Calibri" w:cs="Calibri"/>
                <w:b/>
                <w:bCs/>
                <w:sz w:val="20"/>
                <w:szCs w:val="20"/>
              </w:rPr>
            </w:pPr>
            <w:r w:rsidRPr="00A21238">
              <w:rPr>
                <w:rFonts w:ascii="Calibri" w:hAnsi="Calibri" w:cs="Calibri"/>
                <w:b/>
                <w:bCs/>
                <w:sz w:val="20"/>
                <w:szCs w:val="20"/>
              </w:rPr>
              <w:t>Large cell</w:t>
            </w:r>
            <w:r w:rsidR="0002496E" w:rsidRPr="0002496E">
              <w:rPr>
                <w:rFonts w:ascii="Calibri" w:hAnsi="Calibri" w:cs="Calibri"/>
                <w:b/>
                <w:bCs/>
                <w:noProof/>
                <w:sz w:val="20"/>
                <w:szCs w:val="20"/>
                <w:vertAlign w:val="superscript"/>
              </w:rPr>
              <w:t>13, 28, 31, 35</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7%</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1</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14</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4(15)</w:t>
            </w:r>
          </w:p>
        </w:tc>
        <w:tc>
          <w:tcPr>
            <w:tcW w:w="90" w:type="dxa"/>
            <w:vAlign w:val="center"/>
            <w:hideMark/>
          </w:tcPr>
          <w:p w:rsidR="00BD5C72" w:rsidRPr="00A21238" w:rsidRDefault="00BD5C72">
            <w:pPr>
              <w:rPr>
                <w:rFonts w:eastAsiaTheme="minorHAnsi"/>
              </w:rPr>
            </w:pPr>
            <w:r w:rsidRPr="00A21238">
              <w:t> </w:t>
            </w:r>
          </w:p>
        </w:tc>
      </w:tr>
      <w:tr w:rsidR="003C2ED1" w:rsidRPr="00A21238" w:rsidTr="00DE7B57">
        <w:trPr>
          <w:gridAfter w:val="2"/>
          <w:wAfter w:w="4035" w:type="dxa"/>
          <w:trHeight w:val="295"/>
        </w:trPr>
        <w:tc>
          <w:tcPr>
            <w:tcW w:w="3003"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pPr>
              <w:rPr>
                <w:rFonts w:ascii="Calibri" w:eastAsiaTheme="minorHAnsi" w:hAnsi="Calibri" w:cs="Calibri"/>
                <w:b/>
                <w:bCs/>
                <w:sz w:val="20"/>
                <w:szCs w:val="20"/>
              </w:rPr>
            </w:pPr>
            <w:r w:rsidRPr="00A21238">
              <w:rPr>
                <w:rFonts w:ascii="Calibri" w:hAnsi="Calibri" w:cs="Calibri"/>
                <w:b/>
                <w:bCs/>
                <w:sz w:val="20"/>
                <w:szCs w:val="20"/>
              </w:rPr>
              <w:t>Differentiation</w:t>
            </w:r>
            <w:r w:rsidR="00DE7B57">
              <w:rPr>
                <w:rFonts w:ascii="Calibri" w:hAnsi="Calibri" w:cs="Calibri"/>
                <w:b/>
                <w:bCs/>
                <w:sz w:val="20"/>
                <w:szCs w:val="20"/>
              </w:rPr>
              <w:t>-Two grades</w:t>
            </w:r>
          </w:p>
        </w:tc>
        <w:tc>
          <w:tcPr>
            <w:tcW w:w="153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p>
        </w:tc>
        <w:tc>
          <w:tcPr>
            <w:tcW w:w="144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p>
        </w:tc>
        <w:tc>
          <w:tcPr>
            <w:tcW w:w="153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p>
        </w:tc>
        <w:tc>
          <w:tcPr>
            <w:tcW w:w="144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p>
        </w:tc>
        <w:tc>
          <w:tcPr>
            <w:tcW w:w="90" w:type="dxa"/>
            <w:vAlign w:val="center"/>
            <w:hideMark/>
          </w:tcPr>
          <w:p w:rsidR="00BD5C72" w:rsidRPr="00A21238" w:rsidRDefault="00BD5C72">
            <w:pPr>
              <w:rPr>
                <w:rFonts w:eastAsiaTheme="minorHAnsi"/>
              </w:rPr>
            </w:pPr>
            <w:r w:rsidRPr="00A21238">
              <w:t> </w:t>
            </w:r>
          </w:p>
        </w:tc>
      </w:tr>
      <w:tr w:rsidR="003C2ED1" w:rsidRPr="00A21238" w:rsidTr="009426B6">
        <w:trPr>
          <w:gridAfter w:val="2"/>
          <w:wAfter w:w="4035" w:type="dxa"/>
          <w:trHeight w:val="313"/>
        </w:trPr>
        <w:tc>
          <w:tcPr>
            <w:tcW w:w="3003"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02496E">
            <w:pPr>
              <w:ind w:firstLine="285"/>
              <w:rPr>
                <w:rFonts w:ascii="Calibri" w:eastAsiaTheme="minorHAnsi" w:hAnsi="Calibri" w:cs="Calibri"/>
                <w:b/>
                <w:bCs/>
                <w:sz w:val="20"/>
                <w:szCs w:val="20"/>
              </w:rPr>
            </w:pPr>
            <w:r w:rsidRPr="00A21238">
              <w:rPr>
                <w:rFonts w:ascii="Calibri" w:hAnsi="Calibri" w:cs="Calibri"/>
                <w:b/>
                <w:bCs/>
                <w:sz w:val="20"/>
                <w:szCs w:val="20"/>
              </w:rPr>
              <w:t>Well</w:t>
            </w:r>
            <w:r w:rsidR="0002496E" w:rsidRPr="0002496E">
              <w:rPr>
                <w:rFonts w:ascii="Calibri" w:hAnsi="Calibri" w:cs="Calibri"/>
                <w:b/>
                <w:bCs/>
                <w:noProof/>
                <w:sz w:val="20"/>
                <w:szCs w:val="20"/>
                <w:vertAlign w:val="superscript"/>
              </w:rPr>
              <w:t>19, 51, 52</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37%</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62</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107</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3(169)</w:t>
            </w:r>
          </w:p>
        </w:tc>
        <w:tc>
          <w:tcPr>
            <w:tcW w:w="90" w:type="dxa"/>
            <w:vAlign w:val="center"/>
            <w:hideMark/>
          </w:tcPr>
          <w:p w:rsidR="00BD5C72" w:rsidRPr="00A21238" w:rsidRDefault="00BD5C72">
            <w:pPr>
              <w:rPr>
                <w:rFonts w:eastAsiaTheme="minorHAnsi"/>
              </w:rPr>
            </w:pPr>
            <w:r w:rsidRPr="00A21238">
              <w:t> </w:t>
            </w:r>
          </w:p>
        </w:tc>
      </w:tr>
      <w:tr w:rsidR="003C2ED1" w:rsidRPr="00A21238" w:rsidTr="00DE7B57">
        <w:trPr>
          <w:gridAfter w:val="2"/>
          <w:wAfter w:w="4035" w:type="dxa"/>
          <w:trHeight w:val="270"/>
        </w:trPr>
        <w:tc>
          <w:tcPr>
            <w:tcW w:w="3003"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02496E">
            <w:pPr>
              <w:ind w:firstLine="285"/>
              <w:rPr>
                <w:rFonts w:ascii="Calibri" w:eastAsiaTheme="minorHAnsi" w:hAnsi="Calibri" w:cs="Calibri"/>
                <w:b/>
                <w:bCs/>
                <w:sz w:val="20"/>
                <w:szCs w:val="20"/>
              </w:rPr>
            </w:pPr>
            <w:r w:rsidRPr="00A21238">
              <w:rPr>
                <w:rFonts w:ascii="Calibri" w:hAnsi="Calibri" w:cs="Calibri"/>
                <w:b/>
                <w:bCs/>
                <w:sz w:val="20"/>
                <w:szCs w:val="20"/>
              </w:rPr>
              <w:t>Moderate to Poor</w:t>
            </w:r>
            <w:r w:rsidR="0002496E" w:rsidRPr="0002496E">
              <w:rPr>
                <w:rFonts w:ascii="Calibri" w:hAnsi="Calibri" w:cs="Calibri"/>
                <w:b/>
                <w:bCs/>
                <w:noProof/>
                <w:sz w:val="20"/>
                <w:szCs w:val="20"/>
                <w:vertAlign w:val="superscript"/>
              </w:rPr>
              <w:t>19, 51, 52</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14%</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27</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162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3(189)</w:t>
            </w:r>
          </w:p>
        </w:tc>
        <w:tc>
          <w:tcPr>
            <w:tcW w:w="90" w:type="dxa"/>
            <w:vAlign w:val="center"/>
            <w:hideMark/>
          </w:tcPr>
          <w:p w:rsidR="00BD5C72" w:rsidRPr="00A21238" w:rsidRDefault="00BD5C72">
            <w:pPr>
              <w:rPr>
                <w:rFonts w:eastAsiaTheme="minorHAnsi"/>
              </w:rPr>
            </w:pPr>
            <w:r w:rsidRPr="00A21238">
              <w:t> </w:t>
            </w:r>
          </w:p>
        </w:tc>
      </w:tr>
      <w:tr w:rsidR="003C2ED1" w:rsidRPr="00A21238" w:rsidTr="00DE7B57">
        <w:trPr>
          <w:gridAfter w:val="2"/>
          <w:wAfter w:w="4035" w:type="dxa"/>
          <w:trHeight w:val="270"/>
        </w:trPr>
        <w:tc>
          <w:tcPr>
            <w:tcW w:w="3003"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DE7B57">
            <w:pPr>
              <w:rPr>
                <w:rFonts w:ascii="Calibri" w:eastAsiaTheme="minorHAnsi" w:hAnsi="Calibri" w:cs="Calibri"/>
                <w:b/>
                <w:bCs/>
                <w:sz w:val="20"/>
                <w:szCs w:val="20"/>
              </w:rPr>
            </w:pPr>
            <w:r>
              <w:rPr>
                <w:rFonts w:ascii="Calibri" w:hAnsi="Calibri" w:cs="Calibri"/>
                <w:b/>
                <w:bCs/>
                <w:sz w:val="20"/>
                <w:szCs w:val="20"/>
              </w:rPr>
              <w:t>Differentiation-</w:t>
            </w:r>
            <w:r w:rsidR="00BD5C72" w:rsidRPr="00A21238">
              <w:rPr>
                <w:rFonts w:ascii="Calibri" w:hAnsi="Calibri" w:cs="Calibri"/>
                <w:b/>
                <w:bCs/>
                <w:sz w:val="20"/>
                <w:szCs w:val="20"/>
              </w:rPr>
              <w:t>Three grades</w:t>
            </w:r>
          </w:p>
        </w:tc>
        <w:tc>
          <w:tcPr>
            <w:tcW w:w="153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p>
        </w:tc>
        <w:tc>
          <w:tcPr>
            <w:tcW w:w="144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p>
        </w:tc>
        <w:tc>
          <w:tcPr>
            <w:tcW w:w="153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p>
        </w:tc>
        <w:tc>
          <w:tcPr>
            <w:tcW w:w="144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p>
        </w:tc>
        <w:tc>
          <w:tcPr>
            <w:tcW w:w="90" w:type="dxa"/>
            <w:vAlign w:val="center"/>
            <w:hideMark/>
          </w:tcPr>
          <w:p w:rsidR="00BD5C72" w:rsidRPr="00A21238" w:rsidRDefault="00BD5C72">
            <w:pPr>
              <w:rPr>
                <w:rFonts w:eastAsiaTheme="minorHAnsi"/>
              </w:rPr>
            </w:pPr>
            <w:r w:rsidRPr="00A21238">
              <w:t> </w:t>
            </w:r>
          </w:p>
        </w:tc>
      </w:tr>
      <w:tr w:rsidR="003C2ED1" w:rsidRPr="00A21238" w:rsidTr="009426B6">
        <w:trPr>
          <w:gridAfter w:val="2"/>
          <w:wAfter w:w="4035" w:type="dxa"/>
          <w:trHeight w:val="277"/>
        </w:trPr>
        <w:tc>
          <w:tcPr>
            <w:tcW w:w="3003"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02496E">
            <w:pPr>
              <w:ind w:firstLine="285"/>
              <w:rPr>
                <w:rFonts w:ascii="Calibri" w:eastAsiaTheme="minorHAnsi" w:hAnsi="Calibri" w:cs="Calibri"/>
                <w:b/>
                <w:bCs/>
                <w:sz w:val="20"/>
                <w:szCs w:val="20"/>
              </w:rPr>
            </w:pPr>
            <w:r w:rsidRPr="00A21238">
              <w:rPr>
                <w:rFonts w:ascii="Calibri" w:hAnsi="Calibri" w:cs="Calibri"/>
                <w:b/>
                <w:bCs/>
                <w:sz w:val="20"/>
                <w:szCs w:val="20"/>
              </w:rPr>
              <w:t>Well</w:t>
            </w:r>
            <w:r w:rsidR="0002496E" w:rsidRPr="0002496E">
              <w:rPr>
                <w:rFonts w:ascii="Calibri" w:hAnsi="Calibri" w:cs="Calibri"/>
                <w:b/>
                <w:bCs/>
                <w:noProof/>
                <w:sz w:val="20"/>
                <w:szCs w:val="20"/>
                <w:vertAlign w:val="superscript"/>
              </w:rPr>
              <w:t>18, 27</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65%</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28</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15</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2(43)</w:t>
            </w:r>
          </w:p>
        </w:tc>
        <w:tc>
          <w:tcPr>
            <w:tcW w:w="90" w:type="dxa"/>
            <w:vAlign w:val="center"/>
            <w:hideMark/>
          </w:tcPr>
          <w:p w:rsidR="00BD5C72" w:rsidRPr="00A21238" w:rsidRDefault="00BD5C72">
            <w:pPr>
              <w:rPr>
                <w:rFonts w:eastAsiaTheme="minorHAnsi"/>
              </w:rPr>
            </w:pPr>
            <w:r w:rsidRPr="00A21238">
              <w:t> </w:t>
            </w:r>
          </w:p>
        </w:tc>
      </w:tr>
      <w:tr w:rsidR="003C2ED1" w:rsidRPr="00A21238" w:rsidTr="009426B6">
        <w:trPr>
          <w:gridAfter w:val="2"/>
          <w:wAfter w:w="4035" w:type="dxa"/>
          <w:trHeight w:val="270"/>
        </w:trPr>
        <w:tc>
          <w:tcPr>
            <w:tcW w:w="3003" w:type="dxa"/>
            <w:gridSpan w:val="2"/>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BD5C72" w:rsidRPr="00A21238" w:rsidRDefault="00BD5C72" w:rsidP="0002496E">
            <w:pPr>
              <w:ind w:firstLine="285"/>
              <w:rPr>
                <w:rFonts w:ascii="Calibri" w:eastAsiaTheme="minorHAnsi" w:hAnsi="Calibri" w:cs="Calibri"/>
                <w:b/>
                <w:bCs/>
                <w:sz w:val="20"/>
                <w:szCs w:val="20"/>
              </w:rPr>
            </w:pPr>
            <w:r w:rsidRPr="00A21238">
              <w:rPr>
                <w:rFonts w:ascii="Calibri" w:hAnsi="Calibri" w:cs="Calibri"/>
                <w:b/>
                <w:bCs/>
                <w:sz w:val="20"/>
                <w:szCs w:val="20"/>
              </w:rPr>
              <w:t>Moderate</w:t>
            </w:r>
            <w:r w:rsidR="0002496E" w:rsidRPr="0002496E">
              <w:rPr>
                <w:rFonts w:ascii="Calibri" w:hAnsi="Calibri" w:cs="Calibri"/>
                <w:b/>
                <w:bCs/>
                <w:noProof/>
                <w:sz w:val="20"/>
                <w:szCs w:val="20"/>
                <w:vertAlign w:val="superscript"/>
              </w:rPr>
              <w:t>18, 27</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48%</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59</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63</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2(122)</w:t>
            </w:r>
          </w:p>
        </w:tc>
        <w:tc>
          <w:tcPr>
            <w:tcW w:w="90" w:type="dxa"/>
            <w:vAlign w:val="center"/>
            <w:hideMark/>
          </w:tcPr>
          <w:p w:rsidR="00BD5C72" w:rsidRPr="00A21238" w:rsidRDefault="00BD5C72">
            <w:pPr>
              <w:rPr>
                <w:rFonts w:eastAsiaTheme="minorHAnsi"/>
              </w:rPr>
            </w:pPr>
            <w:r w:rsidRPr="00A21238">
              <w:t> </w:t>
            </w:r>
          </w:p>
        </w:tc>
      </w:tr>
      <w:tr w:rsidR="003C2ED1" w:rsidRPr="00A21238" w:rsidTr="00314FD6">
        <w:trPr>
          <w:gridAfter w:val="2"/>
          <w:wAfter w:w="4035" w:type="dxa"/>
          <w:trHeight w:val="232"/>
        </w:trPr>
        <w:tc>
          <w:tcPr>
            <w:tcW w:w="3003"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BD5C72" w:rsidRPr="00A21238" w:rsidRDefault="00BD5C72" w:rsidP="0002496E">
            <w:pPr>
              <w:ind w:firstLine="285"/>
              <w:rPr>
                <w:rFonts w:ascii="Calibri" w:eastAsiaTheme="minorHAnsi" w:hAnsi="Calibri" w:cs="Calibri"/>
                <w:b/>
                <w:bCs/>
                <w:sz w:val="20"/>
                <w:szCs w:val="20"/>
              </w:rPr>
            </w:pPr>
            <w:r w:rsidRPr="00A21238">
              <w:rPr>
                <w:rFonts w:ascii="Calibri" w:hAnsi="Calibri" w:cs="Calibri"/>
                <w:b/>
                <w:bCs/>
                <w:sz w:val="20"/>
                <w:szCs w:val="20"/>
              </w:rPr>
              <w:t>Poor</w:t>
            </w:r>
            <w:r w:rsidR="0002496E" w:rsidRPr="0002496E">
              <w:rPr>
                <w:rFonts w:ascii="Calibri" w:hAnsi="Calibri" w:cs="Calibri"/>
                <w:b/>
                <w:bCs/>
                <w:noProof/>
                <w:sz w:val="20"/>
                <w:szCs w:val="20"/>
                <w:vertAlign w:val="superscript"/>
              </w:rPr>
              <w:t>18, 27</w:t>
            </w:r>
          </w:p>
        </w:tc>
        <w:tc>
          <w:tcPr>
            <w:tcW w:w="1530" w:type="dxa"/>
            <w:tcBorders>
              <w:top w:val="nil"/>
              <w:left w:val="single" w:sz="4" w:space="0" w:color="auto"/>
              <w:bottom w:val="single" w:sz="4"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34%</w:t>
            </w:r>
          </w:p>
        </w:tc>
        <w:tc>
          <w:tcPr>
            <w:tcW w:w="144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17</w:t>
            </w:r>
          </w:p>
        </w:tc>
        <w:tc>
          <w:tcPr>
            <w:tcW w:w="153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33</w:t>
            </w:r>
          </w:p>
        </w:tc>
        <w:tc>
          <w:tcPr>
            <w:tcW w:w="144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BD5C72" w:rsidRPr="00A21238" w:rsidRDefault="00BD5C72" w:rsidP="00525241">
            <w:pPr>
              <w:jc w:val="center"/>
              <w:rPr>
                <w:rFonts w:ascii="Calibri" w:eastAsiaTheme="minorHAnsi" w:hAnsi="Calibri" w:cs="Calibri"/>
                <w:sz w:val="20"/>
                <w:szCs w:val="20"/>
              </w:rPr>
            </w:pPr>
            <w:r w:rsidRPr="00A21238">
              <w:rPr>
                <w:rFonts w:ascii="Calibri" w:hAnsi="Calibri" w:cs="Calibri"/>
                <w:sz w:val="20"/>
                <w:szCs w:val="20"/>
              </w:rPr>
              <w:t>2(50)</w:t>
            </w:r>
          </w:p>
        </w:tc>
        <w:tc>
          <w:tcPr>
            <w:tcW w:w="90" w:type="dxa"/>
            <w:vAlign w:val="center"/>
            <w:hideMark/>
          </w:tcPr>
          <w:p w:rsidR="00314FD6" w:rsidRPr="00314FD6" w:rsidRDefault="00BD5C72">
            <w:r w:rsidRPr="00A21238">
              <w:t> </w:t>
            </w:r>
          </w:p>
        </w:tc>
      </w:tr>
      <w:tr w:rsidR="00314FD6" w:rsidRPr="00A21238" w:rsidTr="00314FD6">
        <w:trPr>
          <w:gridAfter w:val="2"/>
          <w:wAfter w:w="4035" w:type="dxa"/>
          <w:trHeight w:val="232"/>
        </w:trPr>
        <w:tc>
          <w:tcPr>
            <w:tcW w:w="8943" w:type="dxa"/>
            <w:gridSpan w:val="6"/>
            <w:tcBorders>
              <w:top w:val="single" w:sz="4" w:space="0" w:color="auto"/>
            </w:tcBorders>
            <w:noWrap/>
            <w:tcMar>
              <w:top w:w="0" w:type="dxa"/>
              <w:left w:w="108" w:type="dxa"/>
              <w:bottom w:w="0" w:type="dxa"/>
              <w:right w:w="108" w:type="dxa"/>
            </w:tcMar>
            <w:vAlign w:val="bottom"/>
            <w:hideMark/>
          </w:tcPr>
          <w:p w:rsidR="00314FD6" w:rsidRPr="002847AE" w:rsidRDefault="0001790B" w:rsidP="00A26FF8">
            <w:pPr>
              <w:ind w:hanging="75"/>
              <w:rPr>
                <w:rFonts w:asciiTheme="minorHAnsi" w:hAnsiTheme="minorHAnsi" w:cstheme="minorHAnsi"/>
                <w:bCs/>
                <w:sz w:val="18"/>
                <w:szCs w:val="18"/>
              </w:rPr>
            </w:pPr>
            <w:r>
              <w:rPr>
                <w:rFonts w:asciiTheme="minorHAnsi" w:hAnsiTheme="minorHAnsi"/>
                <w:sz w:val="18"/>
                <w:szCs w:val="18"/>
              </w:rPr>
              <w:t xml:space="preserve">Abbreviations: </w:t>
            </w:r>
            <w:r w:rsidR="00665CB4">
              <w:rPr>
                <w:rFonts w:asciiTheme="minorHAnsi" w:hAnsiTheme="minorHAnsi"/>
                <w:sz w:val="18"/>
                <w:szCs w:val="18"/>
              </w:rPr>
              <w:t xml:space="preserve">n, </w:t>
            </w:r>
            <w:r w:rsidR="00665CB4" w:rsidRPr="002847AE">
              <w:rPr>
                <w:rFonts w:asciiTheme="minorHAnsi" w:hAnsiTheme="minorHAnsi"/>
                <w:sz w:val="18"/>
                <w:szCs w:val="18"/>
              </w:rPr>
              <w:t>Number</w:t>
            </w:r>
            <w:r w:rsidR="00314FD6" w:rsidRPr="002847AE">
              <w:rPr>
                <w:rFonts w:asciiTheme="minorHAnsi" w:hAnsiTheme="minorHAnsi"/>
                <w:sz w:val="18"/>
                <w:szCs w:val="18"/>
              </w:rPr>
              <w:t xml:space="preserve"> of studies; N</w:t>
            </w:r>
            <w:r w:rsidR="00470CE4">
              <w:rPr>
                <w:rFonts w:asciiTheme="minorHAnsi" w:hAnsiTheme="minorHAnsi"/>
                <w:sz w:val="18"/>
                <w:szCs w:val="18"/>
              </w:rPr>
              <w:t>,</w:t>
            </w:r>
            <w:r w:rsidR="00314FD6" w:rsidRPr="002847AE">
              <w:rPr>
                <w:rFonts w:asciiTheme="minorHAnsi" w:hAnsiTheme="minorHAnsi"/>
                <w:sz w:val="18"/>
                <w:szCs w:val="18"/>
              </w:rPr>
              <w:t xml:space="preserve"> Number of patients</w:t>
            </w:r>
            <w:r w:rsidR="00314FD6" w:rsidRPr="002847AE">
              <w:rPr>
                <w:rFonts w:asciiTheme="minorHAnsi" w:hAnsiTheme="minorHAnsi" w:cstheme="minorHAnsi"/>
                <w:bCs/>
                <w:sz w:val="18"/>
                <w:szCs w:val="18"/>
              </w:rPr>
              <w:t xml:space="preserve"> </w:t>
            </w:r>
          </w:p>
          <w:p w:rsidR="00314FD6" w:rsidRPr="00A21238" w:rsidRDefault="00AC081E" w:rsidP="00A26FF8">
            <w:pPr>
              <w:tabs>
                <w:tab w:val="left" w:pos="135"/>
              </w:tabs>
              <w:ind w:hanging="75"/>
              <w:rPr>
                <w:rFonts w:ascii="Calibri" w:hAnsi="Calibri" w:cs="Calibri"/>
                <w:sz w:val="20"/>
                <w:szCs w:val="20"/>
              </w:rPr>
            </w:pPr>
            <w:r w:rsidRPr="00AC081E">
              <w:rPr>
                <w:rFonts w:asciiTheme="minorHAnsi" w:hAnsiTheme="minorHAnsi" w:cstheme="minorHAnsi"/>
                <w:bCs/>
                <w:sz w:val="18"/>
                <w:szCs w:val="18"/>
                <w:vertAlign w:val="superscript"/>
              </w:rPr>
              <w:t>a</w:t>
            </w:r>
            <w:r w:rsidR="00665CB4">
              <w:rPr>
                <w:rFonts w:asciiTheme="minorHAnsi" w:hAnsiTheme="minorHAnsi" w:cstheme="minorHAnsi"/>
                <w:bCs/>
                <w:sz w:val="18"/>
                <w:szCs w:val="18"/>
                <w:vertAlign w:val="superscript"/>
              </w:rPr>
              <w:t xml:space="preserve"> </w:t>
            </w:r>
            <w:r w:rsidR="00314FD6" w:rsidRPr="002847AE">
              <w:rPr>
                <w:rFonts w:asciiTheme="minorHAnsi" w:hAnsiTheme="minorHAnsi" w:cstheme="minorHAnsi"/>
                <w:bCs/>
                <w:sz w:val="18"/>
                <w:szCs w:val="18"/>
              </w:rPr>
              <w:t>Note: Most studies contained primarily patients with adenocarcinoma</w:t>
            </w:r>
          </w:p>
        </w:tc>
        <w:tc>
          <w:tcPr>
            <w:tcW w:w="90" w:type="dxa"/>
            <w:tcBorders>
              <w:left w:val="nil"/>
            </w:tcBorders>
            <w:vAlign w:val="center"/>
            <w:hideMark/>
          </w:tcPr>
          <w:p w:rsidR="00314FD6" w:rsidRPr="00A21238" w:rsidRDefault="00314FD6"/>
        </w:tc>
      </w:tr>
      <w:tr w:rsidR="00BD5C72" w:rsidRPr="00A21238" w:rsidTr="009426B6">
        <w:trPr>
          <w:trHeight w:val="8620"/>
        </w:trPr>
        <w:tc>
          <w:tcPr>
            <w:tcW w:w="13068" w:type="dxa"/>
            <w:gridSpan w:val="9"/>
            <w:noWrap/>
            <w:tcMar>
              <w:top w:w="0" w:type="dxa"/>
              <w:left w:w="108" w:type="dxa"/>
              <w:bottom w:w="0" w:type="dxa"/>
              <w:right w:w="108" w:type="dxa"/>
            </w:tcMar>
            <w:vAlign w:val="bottom"/>
          </w:tcPr>
          <w:tbl>
            <w:tblPr>
              <w:tblW w:w="12852" w:type="dxa"/>
              <w:tblCellMar>
                <w:left w:w="0" w:type="dxa"/>
                <w:right w:w="0" w:type="dxa"/>
              </w:tblCellMar>
              <w:tblLook w:val="04A0"/>
            </w:tblPr>
            <w:tblGrid>
              <w:gridCol w:w="2895"/>
              <w:gridCol w:w="1530"/>
              <w:gridCol w:w="2250"/>
              <w:gridCol w:w="1530"/>
              <w:gridCol w:w="1400"/>
              <w:gridCol w:w="3022"/>
              <w:gridCol w:w="214"/>
              <w:gridCol w:w="11"/>
            </w:tblGrid>
            <w:tr w:rsidR="001C347C" w:rsidRPr="00A21238" w:rsidTr="001C347C">
              <w:trPr>
                <w:gridAfter w:val="1"/>
                <w:wAfter w:w="11" w:type="dxa"/>
                <w:trHeight w:val="270"/>
              </w:trPr>
              <w:tc>
                <w:tcPr>
                  <w:tcW w:w="12841" w:type="dxa"/>
                  <w:gridSpan w:val="7"/>
                  <w:noWrap/>
                  <w:tcMar>
                    <w:top w:w="0" w:type="dxa"/>
                    <w:left w:w="108" w:type="dxa"/>
                    <w:bottom w:w="0" w:type="dxa"/>
                    <w:right w:w="108" w:type="dxa"/>
                  </w:tcMar>
                  <w:vAlign w:val="bottom"/>
                </w:tcPr>
                <w:p w:rsidR="00243197" w:rsidRPr="00A21238" w:rsidRDefault="00243197">
                  <w:pPr>
                    <w:rPr>
                      <w:rFonts w:ascii="Century Gothic" w:hAnsi="Century Gothic"/>
                      <w:b/>
                      <w:bCs/>
                      <w:sz w:val="20"/>
                      <w:szCs w:val="20"/>
                    </w:rPr>
                  </w:pPr>
                </w:p>
                <w:p w:rsidR="001C347C" w:rsidRPr="002847AE" w:rsidRDefault="00D9506C">
                  <w:pPr>
                    <w:rPr>
                      <w:b/>
                      <w:bCs/>
                      <w:sz w:val="22"/>
                      <w:szCs w:val="22"/>
                    </w:rPr>
                  </w:pPr>
                  <w:r w:rsidRPr="002847AE">
                    <w:rPr>
                      <w:b/>
                      <w:bCs/>
                      <w:sz w:val="22"/>
                      <w:szCs w:val="22"/>
                    </w:rPr>
                    <w:t>T</w:t>
                  </w:r>
                  <w:r w:rsidR="00E10C54" w:rsidRPr="002847AE">
                    <w:rPr>
                      <w:b/>
                      <w:bCs/>
                      <w:sz w:val="22"/>
                      <w:szCs w:val="22"/>
                    </w:rPr>
                    <w:t xml:space="preserve">able </w:t>
                  </w:r>
                  <w:r w:rsidR="00A566D8" w:rsidRPr="002847AE">
                    <w:rPr>
                      <w:b/>
                      <w:bCs/>
                      <w:sz w:val="22"/>
                      <w:szCs w:val="22"/>
                    </w:rPr>
                    <w:t>8</w:t>
                  </w:r>
                  <w:r w:rsidR="0032192C">
                    <w:rPr>
                      <w:b/>
                      <w:bCs/>
                      <w:sz w:val="22"/>
                      <w:szCs w:val="22"/>
                    </w:rPr>
                    <w:t xml:space="preserve">: </w:t>
                  </w:r>
                  <w:proofErr w:type="spellStart"/>
                  <w:r w:rsidR="0032192C">
                    <w:rPr>
                      <w:b/>
                      <w:bCs/>
                      <w:sz w:val="22"/>
                      <w:szCs w:val="22"/>
                    </w:rPr>
                    <w:t>Clinicopathologic</w:t>
                  </w:r>
                  <w:proofErr w:type="spellEnd"/>
                  <w:r w:rsidR="001C347C" w:rsidRPr="002847AE">
                    <w:rPr>
                      <w:b/>
                      <w:bCs/>
                      <w:sz w:val="22"/>
                      <w:szCs w:val="22"/>
                    </w:rPr>
                    <w:t xml:space="preserve"> characteristics in relation to </w:t>
                  </w:r>
                  <w:r w:rsidR="001C347C" w:rsidRPr="002847AE">
                    <w:rPr>
                      <w:b/>
                      <w:bCs/>
                      <w:i/>
                      <w:iCs/>
                      <w:sz w:val="22"/>
                      <w:szCs w:val="22"/>
                    </w:rPr>
                    <w:t>EGFR</w:t>
                  </w:r>
                  <w:r w:rsidR="001C347C" w:rsidRPr="002847AE">
                    <w:rPr>
                      <w:b/>
                      <w:bCs/>
                      <w:sz w:val="22"/>
                      <w:szCs w:val="22"/>
                    </w:rPr>
                    <w:t xml:space="preserve"> mutation status in studies containing </w:t>
                  </w:r>
                </w:p>
                <w:p w:rsidR="001C347C" w:rsidRPr="00A21238" w:rsidRDefault="001C347C">
                  <w:pPr>
                    <w:rPr>
                      <w:rFonts w:ascii="Century Gothic" w:eastAsiaTheme="minorHAnsi" w:hAnsi="Century Gothic"/>
                      <w:b/>
                      <w:bCs/>
                      <w:sz w:val="20"/>
                      <w:szCs w:val="20"/>
                    </w:rPr>
                  </w:pPr>
                  <w:r w:rsidRPr="002847AE">
                    <w:rPr>
                      <w:b/>
                      <w:bCs/>
                      <w:sz w:val="22"/>
                      <w:szCs w:val="22"/>
                    </w:rPr>
                    <w:t xml:space="preserve">primarily Non-Asian </w:t>
                  </w:r>
                  <w:proofErr w:type="spellStart"/>
                  <w:r w:rsidRPr="002847AE">
                    <w:rPr>
                      <w:b/>
                      <w:bCs/>
                      <w:sz w:val="22"/>
                      <w:szCs w:val="22"/>
                    </w:rPr>
                    <w:t>patients</w:t>
                  </w:r>
                  <w:r w:rsidR="00AC081E" w:rsidRPr="00AC081E">
                    <w:rPr>
                      <w:rFonts w:ascii="Times New Roman Bold" w:hAnsi="Times New Roman Bold"/>
                      <w:b/>
                      <w:bCs/>
                      <w:sz w:val="22"/>
                      <w:szCs w:val="22"/>
                      <w:vertAlign w:val="superscript"/>
                    </w:rPr>
                    <w:t>a</w:t>
                  </w:r>
                  <w:proofErr w:type="spellEnd"/>
                </w:p>
              </w:tc>
            </w:tr>
            <w:tr w:rsidR="003C2ED1" w:rsidRPr="00A21238" w:rsidTr="00817982">
              <w:trPr>
                <w:trHeight w:val="270"/>
              </w:trPr>
              <w:tc>
                <w:tcPr>
                  <w:tcW w:w="2895" w:type="dxa"/>
                  <w:shd w:val="clear" w:color="auto" w:fill="auto"/>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c>
                <w:tcPr>
                  <w:tcW w:w="153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b/>
                      <w:bCs/>
                      <w:sz w:val="20"/>
                      <w:szCs w:val="20"/>
                    </w:rPr>
                  </w:pPr>
                  <w:r w:rsidRPr="00A21238">
                    <w:rPr>
                      <w:rFonts w:ascii="Calibri" w:hAnsi="Calibri" w:cs="Calibri"/>
                      <w:b/>
                      <w:bCs/>
                      <w:i/>
                      <w:iCs/>
                      <w:sz w:val="20"/>
                      <w:szCs w:val="20"/>
                    </w:rPr>
                    <w:t>EGFR</w:t>
                  </w:r>
                  <w:r w:rsidRPr="00A21238">
                    <w:rPr>
                      <w:rFonts w:ascii="Calibri" w:hAnsi="Calibri" w:cs="Calibri"/>
                      <w:b/>
                      <w:bCs/>
                      <w:sz w:val="20"/>
                      <w:szCs w:val="20"/>
                    </w:rPr>
                    <w:t xml:space="preserve"> mutation prevalence</w:t>
                  </w:r>
                </w:p>
              </w:tc>
              <w:tc>
                <w:tcPr>
                  <w:tcW w:w="22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b/>
                      <w:bCs/>
                      <w:sz w:val="20"/>
                      <w:szCs w:val="20"/>
                    </w:rPr>
                  </w:pPr>
                  <w:r w:rsidRPr="00A21238">
                    <w:rPr>
                      <w:rFonts w:ascii="Calibri" w:hAnsi="Calibri" w:cs="Calibri"/>
                      <w:b/>
                      <w:bCs/>
                      <w:i/>
                      <w:iCs/>
                      <w:sz w:val="20"/>
                      <w:szCs w:val="20"/>
                    </w:rPr>
                    <w:t>EGFR</w:t>
                  </w:r>
                  <w:r w:rsidRPr="00A21238">
                    <w:rPr>
                      <w:rFonts w:ascii="Calibri" w:hAnsi="Calibri" w:cs="Calibri"/>
                      <w:b/>
                      <w:bCs/>
                      <w:sz w:val="20"/>
                      <w:szCs w:val="20"/>
                    </w:rPr>
                    <w:t xml:space="preserve"> Positive</w:t>
                  </w:r>
                </w:p>
              </w:tc>
              <w:tc>
                <w:tcPr>
                  <w:tcW w:w="1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b/>
                      <w:bCs/>
                      <w:sz w:val="20"/>
                      <w:szCs w:val="20"/>
                    </w:rPr>
                  </w:pPr>
                  <w:r w:rsidRPr="00A21238">
                    <w:rPr>
                      <w:rFonts w:ascii="Calibri" w:hAnsi="Calibri" w:cs="Calibri"/>
                      <w:b/>
                      <w:bCs/>
                      <w:i/>
                      <w:iCs/>
                      <w:sz w:val="20"/>
                      <w:szCs w:val="20"/>
                    </w:rPr>
                    <w:t>EGFR</w:t>
                  </w:r>
                  <w:r w:rsidRPr="00A21238">
                    <w:rPr>
                      <w:rFonts w:ascii="Calibri" w:hAnsi="Calibri" w:cs="Calibri"/>
                      <w:b/>
                      <w:bCs/>
                      <w:sz w:val="20"/>
                      <w:szCs w:val="20"/>
                    </w:rPr>
                    <w:t xml:space="preserve"> Negative</w:t>
                  </w:r>
                </w:p>
              </w:tc>
              <w:tc>
                <w:tcPr>
                  <w:tcW w:w="140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b/>
                      <w:sz w:val="20"/>
                      <w:szCs w:val="20"/>
                    </w:rPr>
                  </w:pPr>
                  <w:r w:rsidRPr="00A21238">
                    <w:rPr>
                      <w:rFonts w:ascii="Calibri" w:hAnsi="Calibri" w:cs="Calibri"/>
                      <w:b/>
                      <w:sz w:val="20"/>
                      <w:szCs w:val="20"/>
                    </w:rPr>
                    <w:t>n(N)</w:t>
                  </w:r>
                </w:p>
              </w:tc>
              <w:tc>
                <w:tcPr>
                  <w:tcW w:w="3022" w:type="dxa"/>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c>
                <w:tcPr>
                  <w:tcW w:w="225" w:type="dxa"/>
                  <w:gridSpan w:val="2"/>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r>
            <w:tr w:rsidR="003C2ED1" w:rsidRPr="00A21238" w:rsidTr="00817982">
              <w:trPr>
                <w:trHeight w:val="270"/>
              </w:trPr>
              <w:tc>
                <w:tcPr>
                  <w:tcW w:w="2895"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C347C" w:rsidRPr="00A21238" w:rsidRDefault="007F34E3">
                  <w:pPr>
                    <w:rPr>
                      <w:rFonts w:ascii="Calibri" w:eastAsiaTheme="minorHAnsi" w:hAnsi="Calibri" w:cs="Calibri"/>
                      <w:b/>
                      <w:bCs/>
                      <w:sz w:val="20"/>
                      <w:szCs w:val="20"/>
                    </w:rPr>
                  </w:pPr>
                  <w:r w:rsidRPr="00A21238">
                    <w:rPr>
                      <w:rFonts w:ascii="Calibri" w:hAnsi="Calibri" w:cs="Calibri"/>
                      <w:b/>
                      <w:bCs/>
                      <w:sz w:val="20"/>
                      <w:szCs w:val="20"/>
                    </w:rPr>
                    <w:t>Sex</w:t>
                  </w:r>
                </w:p>
              </w:tc>
              <w:tc>
                <w:tcPr>
                  <w:tcW w:w="15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C347C" w:rsidRPr="00A21238" w:rsidRDefault="001C347C">
                  <w:pPr>
                    <w:rPr>
                      <w:rFonts w:ascii="Calibri" w:eastAsiaTheme="minorHAnsi" w:hAnsi="Calibri" w:cs="Calibri"/>
                      <w:sz w:val="20"/>
                      <w:szCs w:val="20"/>
                    </w:rPr>
                  </w:pPr>
                  <w:r w:rsidRPr="00A21238">
                    <w:rPr>
                      <w:rFonts w:ascii="Calibri" w:hAnsi="Calibri" w:cs="Calibri"/>
                      <w:sz w:val="20"/>
                      <w:szCs w:val="20"/>
                    </w:rPr>
                    <w:t> </w:t>
                  </w:r>
                </w:p>
              </w:tc>
              <w:tc>
                <w:tcPr>
                  <w:tcW w:w="22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C347C" w:rsidRPr="00A21238" w:rsidRDefault="001C347C">
                  <w:pPr>
                    <w:rPr>
                      <w:rFonts w:ascii="Calibri" w:eastAsiaTheme="minorHAnsi" w:hAnsi="Calibri" w:cs="Calibri"/>
                      <w:sz w:val="20"/>
                      <w:szCs w:val="20"/>
                    </w:rPr>
                  </w:pPr>
                  <w:r w:rsidRPr="00A21238">
                    <w:rPr>
                      <w:rFonts w:ascii="Calibri" w:hAnsi="Calibri" w:cs="Calibri"/>
                      <w:sz w:val="20"/>
                      <w:szCs w:val="20"/>
                    </w:rPr>
                    <w:t> </w:t>
                  </w:r>
                </w:p>
              </w:tc>
              <w:tc>
                <w:tcPr>
                  <w:tcW w:w="15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C347C" w:rsidRPr="00A21238" w:rsidRDefault="001C347C">
                  <w:pPr>
                    <w:rPr>
                      <w:rFonts w:ascii="Calibri" w:eastAsiaTheme="minorHAnsi" w:hAnsi="Calibri" w:cs="Calibri"/>
                      <w:sz w:val="20"/>
                      <w:szCs w:val="20"/>
                    </w:rPr>
                  </w:pPr>
                  <w:r w:rsidRPr="00A21238">
                    <w:rPr>
                      <w:rFonts w:ascii="Calibri" w:hAnsi="Calibri" w:cs="Calibri"/>
                      <w:sz w:val="20"/>
                      <w:szCs w:val="20"/>
                    </w:rPr>
                    <w:t> </w:t>
                  </w:r>
                </w:p>
              </w:tc>
              <w:tc>
                <w:tcPr>
                  <w:tcW w:w="14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C347C" w:rsidRPr="00A21238" w:rsidRDefault="001C347C">
                  <w:pPr>
                    <w:jc w:val="right"/>
                    <w:rPr>
                      <w:rFonts w:ascii="Calibri" w:eastAsiaTheme="minorHAnsi" w:hAnsi="Calibri" w:cs="Calibri"/>
                      <w:sz w:val="20"/>
                      <w:szCs w:val="20"/>
                    </w:rPr>
                  </w:pPr>
                  <w:r w:rsidRPr="00A21238">
                    <w:rPr>
                      <w:rFonts w:ascii="Calibri" w:hAnsi="Calibri" w:cs="Calibri"/>
                      <w:sz w:val="20"/>
                      <w:szCs w:val="20"/>
                    </w:rPr>
                    <w:t> </w:t>
                  </w:r>
                </w:p>
              </w:tc>
              <w:tc>
                <w:tcPr>
                  <w:tcW w:w="3022" w:type="dxa"/>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c>
                <w:tcPr>
                  <w:tcW w:w="225" w:type="dxa"/>
                  <w:gridSpan w:val="2"/>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r>
            <w:tr w:rsidR="003C2ED1" w:rsidRPr="00A21238" w:rsidTr="00525241">
              <w:trPr>
                <w:trHeight w:val="295"/>
              </w:trPr>
              <w:tc>
                <w:tcPr>
                  <w:tcW w:w="28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02496E">
                  <w:pPr>
                    <w:ind w:firstLine="177"/>
                    <w:rPr>
                      <w:rFonts w:ascii="Calibri" w:eastAsiaTheme="minorHAnsi" w:hAnsi="Calibri" w:cs="Calibri"/>
                      <w:b/>
                      <w:bCs/>
                      <w:sz w:val="20"/>
                      <w:szCs w:val="20"/>
                    </w:rPr>
                  </w:pPr>
                  <w:r w:rsidRPr="00A21238">
                    <w:rPr>
                      <w:rFonts w:ascii="Calibri" w:hAnsi="Calibri" w:cs="Calibri"/>
                      <w:b/>
                      <w:bCs/>
                      <w:sz w:val="20"/>
                      <w:szCs w:val="20"/>
                    </w:rPr>
                    <w:t>Female</w:t>
                  </w:r>
                  <w:r w:rsidR="0002496E" w:rsidRPr="0002496E">
                    <w:rPr>
                      <w:rFonts w:ascii="Calibri" w:hAnsi="Calibri" w:cs="Calibri"/>
                      <w:b/>
                      <w:bCs/>
                      <w:noProof/>
                      <w:sz w:val="20"/>
                      <w:szCs w:val="20"/>
                      <w:vertAlign w:val="superscript"/>
                    </w:rPr>
                    <w:t>10, 20, 22, 25, 32, 33, 39-47, 49, 53-55</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28%</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859</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2239</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19(3098)</w:t>
                  </w:r>
                </w:p>
              </w:tc>
              <w:tc>
                <w:tcPr>
                  <w:tcW w:w="3022" w:type="dxa"/>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c>
                <w:tcPr>
                  <w:tcW w:w="225" w:type="dxa"/>
                  <w:gridSpan w:val="2"/>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r>
            <w:tr w:rsidR="003C2ED1" w:rsidRPr="00A21238" w:rsidTr="00817982">
              <w:trPr>
                <w:trHeight w:val="270"/>
              </w:trPr>
              <w:tc>
                <w:tcPr>
                  <w:tcW w:w="28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02496E">
                  <w:pPr>
                    <w:ind w:firstLine="177"/>
                    <w:rPr>
                      <w:rFonts w:ascii="Calibri" w:eastAsiaTheme="minorHAnsi" w:hAnsi="Calibri" w:cs="Calibri"/>
                      <w:b/>
                      <w:bCs/>
                      <w:sz w:val="20"/>
                      <w:szCs w:val="20"/>
                    </w:rPr>
                  </w:pPr>
                  <w:r w:rsidRPr="00A21238">
                    <w:rPr>
                      <w:rFonts w:ascii="Calibri" w:hAnsi="Calibri" w:cs="Calibri"/>
                      <w:b/>
                      <w:bCs/>
                      <w:sz w:val="20"/>
                      <w:szCs w:val="20"/>
                    </w:rPr>
                    <w:t>Male</w:t>
                  </w:r>
                  <w:r w:rsidR="0002496E" w:rsidRPr="0002496E">
                    <w:rPr>
                      <w:rFonts w:ascii="Calibri" w:hAnsi="Calibri" w:cs="Calibri"/>
                      <w:b/>
                      <w:bCs/>
                      <w:noProof/>
                      <w:sz w:val="20"/>
                      <w:szCs w:val="20"/>
                      <w:vertAlign w:val="superscript"/>
                    </w:rPr>
                    <w:t>10, 20, 22, 25, 32, 33, 39-47, 49, 53-55</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18%</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397</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1768</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19(2165)</w:t>
                  </w:r>
                </w:p>
              </w:tc>
              <w:tc>
                <w:tcPr>
                  <w:tcW w:w="3022" w:type="dxa"/>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c>
                <w:tcPr>
                  <w:tcW w:w="225" w:type="dxa"/>
                  <w:gridSpan w:val="2"/>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r>
            <w:tr w:rsidR="003C2ED1" w:rsidRPr="00A21238" w:rsidTr="00817982">
              <w:trPr>
                <w:trHeight w:val="270"/>
              </w:trPr>
              <w:tc>
                <w:tcPr>
                  <w:tcW w:w="2895"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C347C" w:rsidRPr="00A21238" w:rsidRDefault="001C347C">
                  <w:pPr>
                    <w:rPr>
                      <w:rFonts w:ascii="Calibri" w:eastAsiaTheme="minorHAnsi" w:hAnsi="Calibri" w:cs="Calibri"/>
                      <w:b/>
                      <w:bCs/>
                      <w:sz w:val="20"/>
                      <w:szCs w:val="20"/>
                    </w:rPr>
                  </w:pPr>
                  <w:r w:rsidRPr="00A21238">
                    <w:rPr>
                      <w:rFonts w:ascii="Calibri" w:hAnsi="Calibri" w:cs="Calibri"/>
                      <w:b/>
                      <w:bCs/>
                      <w:sz w:val="20"/>
                      <w:szCs w:val="20"/>
                    </w:rPr>
                    <w:t>Smoking</w:t>
                  </w:r>
                </w:p>
              </w:tc>
              <w:tc>
                <w:tcPr>
                  <w:tcW w:w="153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p>
              </w:tc>
              <w:tc>
                <w:tcPr>
                  <w:tcW w:w="225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p>
              </w:tc>
              <w:tc>
                <w:tcPr>
                  <w:tcW w:w="153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p>
              </w:tc>
              <w:tc>
                <w:tcPr>
                  <w:tcW w:w="140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p>
              </w:tc>
              <w:tc>
                <w:tcPr>
                  <w:tcW w:w="3022" w:type="dxa"/>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c>
                <w:tcPr>
                  <w:tcW w:w="225" w:type="dxa"/>
                  <w:gridSpan w:val="2"/>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r>
            <w:tr w:rsidR="003C2ED1" w:rsidRPr="00A21238" w:rsidTr="00525241">
              <w:trPr>
                <w:trHeight w:val="270"/>
              </w:trPr>
              <w:tc>
                <w:tcPr>
                  <w:tcW w:w="28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02496E">
                  <w:pPr>
                    <w:ind w:firstLine="177"/>
                    <w:rPr>
                      <w:rFonts w:ascii="Calibri" w:eastAsiaTheme="minorHAnsi" w:hAnsi="Calibri" w:cs="Calibri"/>
                      <w:b/>
                      <w:bCs/>
                      <w:sz w:val="20"/>
                      <w:szCs w:val="20"/>
                    </w:rPr>
                  </w:pPr>
                  <w:r w:rsidRPr="00A21238">
                    <w:rPr>
                      <w:rFonts w:ascii="Calibri" w:hAnsi="Calibri" w:cs="Calibri"/>
                      <w:b/>
                      <w:bCs/>
                      <w:sz w:val="20"/>
                      <w:szCs w:val="20"/>
                    </w:rPr>
                    <w:t>Never</w:t>
                  </w:r>
                  <w:r w:rsidR="0002496E" w:rsidRPr="0002496E">
                    <w:rPr>
                      <w:rFonts w:ascii="Calibri" w:hAnsi="Calibri" w:cs="Calibri"/>
                      <w:b/>
                      <w:bCs/>
                      <w:noProof/>
                      <w:sz w:val="20"/>
                      <w:szCs w:val="20"/>
                      <w:vertAlign w:val="superscript"/>
                    </w:rPr>
                    <w:t>10, 20, 22, 25, 32, 33, 39-47, 49, 53, 54</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F970D4" w:rsidP="00525241">
                  <w:pPr>
                    <w:jc w:val="center"/>
                    <w:rPr>
                      <w:rFonts w:ascii="Calibri" w:eastAsiaTheme="minorHAnsi" w:hAnsi="Calibri" w:cs="Calibri"/>
                      <w:sz w:val="20"/>
                      <w:szCs w:val="20"/>
                    </w:rPr>
                  </w:pPr>
                  <w:r w:rsidRPr="00A21238">
                    <w:rPr>
                      <w:rFonts w:ascii="Calibri" w:hAnsi="Calibri" w:cs="Calibri"/>
                      <w:sz w:val="20"/>
                      <w:szCs w:val="20"/>
                    </w:rPr>
                    <w:t>45</w:t>
                  </w:r>
                  <w:r w:rsidR="001C347C" w:rsidRPr="00A21238">
                    <w:rPr>
                      <w:rFonts w:ascii="Calibri" w:hAnsi="Calibri" w:cs="Calibri"/>
                      <w:sz w:val="20"/>
                      <w:szCs w:val="20"/>
                    </w:rPr>
                    <w:t>%</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666</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805</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18(1471)</w:t>
                  </w:r>
                </w:p>
              </w:tc>
              <w:tc>
                <w:tcPr>
                  <w:tcW w:w="3022" w:type="dxa"/>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c>
                <w:tcPr>
                  <w:tcW w:w="225" w:type="dxa"/>
                  <w:gridSpan w:val="2"/>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r>
            <w:tr w:rsidR="003C2ED1" w:rsidRPr="00A21238" w:rsidTr="00817982">
              <w:trPr>
                <w:trHeight w:val="270"/>
              </w:trPr>
              <w:tc>
                <w:tcPr>
                  <w:tcW w:w="28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02496E">
                  <w:pPr>
                    <w:ind w:firstLine="177"/>
                    <w:rPr>
                      <w:rFonts w:ascii="Calibri" w:eastAsiaTheme="minorHAnsi" w:hAnsi="Calibri" w:cs="Calibri"/>
                      <w:b/>
                      <w:bCs/>
                      <w:sz w:val="20"/>
                      <w:szCs w:val="20"/>
                    </w:rPr>
                  </w:pPr>
                  <w:r w:rsidRPr="00A21238">
                    <w:rPr>
                      <w:rFonts w:ascii="Calibri" w:hAnsi="Calibri" w:cs="Calibri"/>
                      <w:b/>
                      <w:bCs/>
                      <w:sz w:val="20"/>
                      <w:szCs w:val="20"/>
                    </w:rPr>
                    <w:t>Ever</w:t>
                  </w:r>
                  <w:r w:rsidR="0002496E" w:rsidRPr="0002496E">
                    <w:rPr>
                      <w:rFonts w:ascii="Calibri" w:hAnsi="Calibri" w:cs="Calibri"/>
                      <w:b/>
                      <w:bCs/>
                      <w:noProof/>
                      <w:sz w:val="20"/>
                      <w:szCs w:val="20"/>
                      <w:vertAlign w:val="superscript"/>
                    </w:rPr>
                    <w:t>10, 20, 22, 25, 32, 33, 39-47, 49, 53, 54</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15%</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569</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3154</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18(3723)</w:t>
                  </w:r>
                </w:p>
              </w:tc>
              <w:tc>
                <w:tcPr>
                  <w:tcW w:w="3022" w:type="dxa"/>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c>
                <w:tcPr>
                  <w:tcW w:w="225" w:type="dxa"/>
                  <w:gridSpan w:val="2"/>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r>
            <w:tr w:rsidR="003C2ED1" w:rsidRPr="00A21238" w:rsidTr="00817982">
              <w:trPr>
                <w:trHeight w:val="270"/>
              </w:trPr>
              <w:tc>
                <w:tcPr>
                  <w:tcW w:w="2895"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C347C" w:rsidRPr="00A21238" w:rsidRDefault="001C347C">
                  <w:pPr>
                    <w:rPr>
                      <w:rFonts w:ascii="Calibri" w:eastAsiaTheme="minorHAnsi" w:hAnsi="Calibri" w:cs="Calibri"/>
                      <w:b/>
                      <w:bCs/>
                      <w:sz w:val="20"/>
                      <w:szCs w:val="20"/>
                    </w:rPr>
                  </w:pPr>
                  <w:r w:rsidRPr="00A21238">
                    <w:rPr>
                      <w:rFonts w:ascii="Calibri" w:hAnsi="Calibri" w:cs="Calibri"/>
                      <w:b/>
                      <w:bCs/>
                      <w:sz w:val="20"/>
                      <w:szCs w:val="20"/>
                    </w:rPr>
                    <w:t>History of Smoking (pack-years)</w:t>
                  </w:r>
                </w:p>
              </w:tc>
              <w:tc>
                <w:tcPr>
                  <w:tcW w:w="153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p>
              </w:tc>
              <w:tc>
                <w:tcPr>
                  <w:tcW w:w="225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p>
              </w:tc>
              <w:tc>
                <w:tcPr>
                  <w:tcW w:w="153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p>
              </w:tc>
              <w:tc>
                <w:tcPr>
                  <w:tcW w:w="140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p>
              </w:tc>
              <w:tc>
                <w:tcPr>
                  <w:tcW w:w="3022" w:type="dxa"/>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c>
                <w:tcPr>
                  <w:tcW w:w="225" w:type="dxa"/>
                  <w:gridSpan w:val="2"/>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r>
            <w:tr w:rsidR="003C2ED1" w:rsidRPr="00A21238" w:rsidTr="00525241">
              <w:trPr>
                <w:trHeight w:val="270"/>
              </w:trPr>
              <w:tc>
                <w:tcPr>
                  <w:tcW w:w="28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02496E">
                  <w:pPr>
                    <w:ind w:firstLine="177"/>
                    <w:rPr>
                      <w:rFonts w:ascii="Calibri" w:eastAsiaTheme="minorHAnsi" w:hAnsi="Calibri" w:cs="Calibri"/>
                      <w:b/>
                      <w:bCs/>
                      <w:sz w:val="20"/>
                      <w:szCs w:val="20"/>
                    </w:rPr>
                  </w:pPr>
                  <w:r w:rsidRPr="00A21238">
                    <w:rPr>
                      <w:rFonts w:ascii="Calibri" w:hAnsi="Calibri" w:cs="Calibri"/>
                      <w:b/>
                      <w:bCs/>
                      <w:sz w:val="20"/>
                      <w:szCs w:val="20"/>
                    </w:rPr>
                    <w:t>0-10</w:t>
                  </w:r>
                  <w:r w:rsidR="0002496E" w:rsidRPr="0002496E">
                    <w:rPr>
                      <w:rFonts w:ascii="Calibri" w:hAnsi="Calibri" w:cs="Calibri"/>
                      <w:b/>
                      <w:bCs/>
                      <w:noProof/>
                      <w:sz w:val="20"/>
                      <w:szCs w:val="20"/>
                      <w:vertAlign w:val="superscript"/>
                    </w:rPr>
                    <w:t>22</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39%</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18</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28</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1(46)</w:t>
                  </w:r>
                </w:p>
              </w:tc>
              <w:tc>
                <w:tcPr>
                  <w:tcW w:w="3022" w:type="dxa"/>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c>
                <w:tcPr>
                  <w:tcW w:w="225" w:type="dxa"/>
                  <w:gridSpan w:val="2"/>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r>
            <w:tr w:rsidR="003C2ED1" w:rsidRPr="00A21238" w:rsidTr="00525241">
              <w:trPr>
                <w:trHeight w:val="270"/>
              </w:trPr>
              <w:tc>
                <w:tcPr>
                  <w:tcW w:w="28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02496E">
                  <w:pPr>
                    <w:ind w:firstLine="177"/>
                    <w:rPr>
                      <w:rFonts w:ascii="Calibri" w:eastAsiaTheme="minorHAnsi" w:hAnsi="Calibri" w:cs="Calibri"/>
                      <w:b/>
                      <w:bCs/>
                      <w:sz w:val="20"/>
                      <w:szCs w:val="20"/>
                    </w:rPr>
                  </w:pPr>
                  <w:r w:rsidRPr="00A21238">
                    <w:rPr>
                      <w:rFonts w:ascii="Calibri" w:hAnsi="Calibri" w:cs="Calibri"/>
                      <w:b/>
                      <w:bCs/>
                      <w:sz w:val="20"/>
                      <w:szCs w:val="20"/>
                    </w:rPr>
                    <w:t>11-50</w:t>
                  </w:r>
                  <w:r w:rsidR="0002496E" w:rsidRPr="0002496E">
                    <w:rPr>
                      <w:rFonts w:ascii="Calibri" w:hAnsi="Calibri" w:cs="Calibri"/>
                      <w:b/>
                      <w:bCs/>
                      <w:noProof/>
                      <w:sz w:val="20"/>
                      <w:szCs w:val="20"/>
                      <w:vertAlign w:val="superscript"/>
                    </w:rPr>
                    <w:t>22</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8%</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7</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86</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1(93)</w:t>
                  </w:r>
                </w:p>
              </w:tc>
              <w:tc>
                <w:tcPr>
                  <w:tcW w:w="3022" w:type="dxa"/>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c>
                <w:tcPr>
                  <w:tcW w:w="225" w:type="dxa"/>
                  <w:gridSpan w:val="2"/>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r>
            <w:tr w:rsidR="003C2ED1" w:rsidRPr="00A21238" w:rsidTr="00817982">
              <w:trPr>
                <w:trHeight w:val="270"/>
              </w:trPr>
              <w:tc>
                <w:tcPr>
                  <w:tcW w:w="28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02496E">
                  <w:pPr>
                    <w:ind w:firstLine="177"/>
                    <w:rPr>
                      <w:rFonts w:ascii="Calibri" w:eastAsiaTheme="minorHAnsi" w:hAnsi="Calibri" w:cs="Calibri"/>
                      <w:b/>
                      <w:bCs/>
                      <w:sz w:val="20"/>
                      <w:szCs w:val="20"/>
                    </w:rPr>
                  </w:pPr>
                  <w:r w:rsidRPr="00A21238">
                    <w:rPr>
                      <w:rFonts w:ascii="Calibri" w:hAnsi="Calibri" w:cs="Calibri"/>
                      <w:b/>
                      <w:bCs/>
                      <w:sz w:val="20"/>
                      <w:szCs w:val="20"/>
                    </w:rPr>
                    <w:t>&gt;50</w:t>
                  </w:r>
                  <w:r w:rsidR="0002496E" w:rsidRPr="0002496E">
                    <w:rPr>
                      <w:rFonts w:ascii="Calibri" w:hAnsi="Calibri" w:cs="Calibri"/>
                      <w:b/>
                      <w:bCs/>
                      <w:noProof/>
                      <w:sz w:val="20"/>
                      <w:szCs w:val="20"/>
                      <w:vertAlign w:val="superscript"/>
                    </w:rPr>
                    <w:t>22</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5%</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3</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56</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1(59)</w:t>
                  </w:r>
                </w:p>
              </w:tc>
              <w:tc>
                <w:tcPr>
                  <w:tcW w:w="3022" w:type="dxa"/>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c>
                <w:tcPr>
                  <w:tcW w:w="225" w:type="dxa"/>
                  <w:gridSpan w:val="2"/>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r>
            <w:tr w:rsidR="003C2ED1" w:rsidRPr="00A21238" w:rsidTr="00817982">
              <w:trPr>
                <w:trHeight w:val="270"/>
              </w:trPr>
              <w:tc>
                <w:tcPr>
                  <w:tcW w:w="2895"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C347C" w:rsidRPr="00A21238" w:rsidRDefault="001C347C">
                  <w:pPr>
                    <w:rPr>
                      <w:rFonts w:ascii="Calibri" w:eastAsiaTheme="minorHAnsi" w:hAnsi="Calibri" w:cs="Calibri"/>
                      <w:b/>
                      <w:bCs/>
                      <w:sz w:val="20"/>
                      <w:szCs w:val="20"/>
                    </w:rPr>
                  </w:pPr>
                  <w:r w:rsidRPr="00A21238">
                    <w:rPr>
                      <w:rFonts w:ascii="Calibri" w:hAnsi="Calibri" w:cs="Calibri"/>
                      <w:b/>
                      <w:bCs/>
                      <w:sz w:val="20"/>
                      <w:szCs w:val="20"/>
                    </w:rPr>
                    <w:t>Histology</w:t>
                  </w:r>
                </w:p>
              </w:tc>
              <w:tc>
                <w:tcPr>
                  <w:tcW w:w="153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p>
              </w:tc>
              <w:tc>
                <w:tcPr>
                  <w:tcW w:w="225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p>
              </w:tc>
              <w:tc>
                <w:tcPr>
                  <w:tcW w:w="153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p>
              </w:tc>
              <w:tc>
                <w:tcPr>
                  <w:tcW w:w="140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p>
              </w:tc>
              <w:tc>
                <w:tcPr>
                  <w:tcW w:w="3022" w:type="dxa"/>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c>
                <w:tcPr>
                  <w:tcW w:w="225" w:type="dxa"/>
                  <w:gridSpan w:val="2"/>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r>
            <w:tr w:rsidR="003C2ED1" w:rsidRPr="00A21238" w:rsidTr="00525241">
              <w:trPr>
                <w:trHeight w:val="270"/>
              </w:trPr>
              <w:tc>
                <w:tcPr>
                  <w:tcW w:w="28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02496E">
                  <w:pPr>
                    <w:ind w:firstLine="177"/>
                    <w:rPr>
                      <w:rFonts w:ascii="Calibri" w:eastAsiaTheme="minorHAnsi" w:hAnsi="Calibri" w:cs="Calibri"/>
                      <w:b/>
                      <w:bCs/>
                      <w:sz w:val="20"/>
                      <w:szCs w:val="20"/>
                    </w:rPr>
                  </w:pPr>
                  <w:r w:rsidRPr="00A21238">
                    <w:rPr>
                      <w:rFonts w:ascii="Calibri" w:hAnsi="Calibri" w:cs="Calibri"/>
                      <w:b/>
                      <w:bCs/>
                      <w:sz w:val="20"/>
                      <w:szCs w:val="20"/>
                    </w:rPr>
                    <w:t>Adenocarcinoma</w:t>
                  </w:r>
                  <w:r w:rsidR="0002496E" w:rsidRPr="0002496E">
                    <w:rPr>
                      <w:rFonts w:ascii="Calibri" w:hAnsi="Calibri" w:cs="Calibri"/>
                      <w:b/>
                      <w:bCs/>
                      <w:noProof/>
                      <w:sz w:val="20"/>
                      <w:szCs w:val="20"/>
                      <w:vertAlign w:val="superscript"/>
                    </w:rPr>
                    <w:t>10, 20, 22, 25, 32, 33, 39-46, 48, 49, 53-55</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24%</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1266</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3918</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19(5184)</w:t>
                  </w:r>
                </w:p>
              </w:tc>
              <w:tc>
                <w:tcPr>
                  <w:tcW w:w="3022" w:type="dxa"/>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c>
                <w:tcPr>
                  <w:tcW w:w="225" w:type="dxa"/>
                  <w:gridSpan w:val="2"/>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r>
            <w:tr w:rsidR="003C2ED1" w:rsidRPr="00A21238" w:rsidTr="00525241">
              <w:trPr>
                <w:trHeight w:val="270"/>
              </w:trPr>
              <w:tc>
                <w:tcPr>
                  <w:tcW w:w="28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02496E">
                  <w:pPr>
                    <w:ind w:firstLine="177"/>
                    <w:rPr>
                      <w:rFonts w:ascii="Calibri" w:eastAsiaTheme="minorHAnsi" w:hAnsi="Calibri" w:cs="Calibri"/>
                      <w:b/>
                      <w:bCs/>
                      <w:sz w:val="20"/>
                      <w:szCs w:val="20"/>
                    </w:rPr>
                  </w:pPr>
                  <w:r w:rsidRPr="00A21238">
                    <w:rPr>
                      <w:rFonts w:ascii="Calibri" w:hAnsi="Calibri" w:cs="Calibri"/>
                      <w:b/>
                      <w:bCs/>
                      <w:sz w:val="20"/>
                      <w:szCs w:val="20"/>
                    </w:rPr>
                    <w:t>Squamous</w:t>
                  </w:r>
                  <w:r w:rsidR="0002496E" w:rsidRPr="0002496E">
                    <w:rPr>
                      <w:rFonts w:ascii="Calibri" w:hAnsi="Calibri" w:cs="Calibri"/>
                      <w:b/>
                      <w:bCs/>
                      <w:noProof/>
                      <w:sz w:val="20"/>
                      <w:szCs w:val="20"/>
                      <w:vertAlign w:val="superscript"/>
                    </w:rPr>
                    <w:t>20, 22, 25, 33, 43, 44, 46, 48, 54</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5%</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6</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104</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9(110)</w:t>
                  </w:r>
                </w:p>
              </w:tc>
              <w:tc>
                <w:tcPr>
                  <w:tcW w:w="3022" w:type="dxa"/>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c>
                <w:tcPr>
                  <w:tcW w:w="225" w:type="dxa"/>
                  <w:gridSpan w:val="2"/>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r>
            <w:tr w:rsidR="003C2ED1" w:rsidRPr="00A21238" w:rsidTr="00525241">
              <w:trPr>
                <w:trHeight w:val="270"/>
              </w:trPr>
              <w:tc>
                <w:tcPr>
                  <w:tcW w:w="28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02496E">
                  <w:pPr>
                    <w:ind w:firstLine="177"/>
                    <w:rPr>
                      <w:rFonts w:ascii="Calibri" w:eastAsiaTheme="minorHAnsi" w:hAnsi="Calibri" w:cs="Calibri"/>
                      <w:b/>
                      <w:bCs/>
                      <w:sz w:val="20"/>
                      <w:szCs w:val="20"/>
                    </w:rPr>
                  </w:pPr>
                  <w:r w:rsidRPr="00A21238">
                    <w:rPr>
                      <w:rFonts w:ascii="Calibri" w:hAnsi="Calibri" w:cs="Calibri"/>
                      <w:b/>
                      <w:bCs/>
                      <w:sz w:val="20"/>
                      <w:szCs w:val="20"/>
                    </w:rPr>
                    <w:t>Adenosquamous</w:t>
                  </w:r>
                  <w:r w:rsidR="0002496E" w:rsidRPr="0002496E">
                    <w:rPr>
                      <w:rFonts w:ascii="Calibri" w:hAnsi="Calibri" w:cs="Calibri"/>
                      <w:b/>
                      <w:bCs/>
                      <w:noProof/>
                      <w:sz w:val="20"/>
                      <w:szCs w:val="20"/>
                      <w:vertAlign w:val="superscript"/>
                    </w:rPr>
                    <w:t>22, 25</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13%</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1</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7</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2(8)</w:t>
                  </w:r>
                </w:p>
              </w:tc>
              <w:tc>
                <w:tcPr>
                  <w:tcW w:w="3022" w:type="dxa"/>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c>
                <w:tcPr>
                  <w:tcW w:w="225" w:type="dxa"/>
                  <w:gridSpan w:val="2"/>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r>
            <w:tr w:rsidR="003C2ED1" w:rsidRPr="00A21238" w:rsidTr="00525241">
              <w:trPr>
                <w:trHeight w:val="270"/>
              </w:trPr>
              <w:tc>
                <w:tcPr>
                  <w:tcW w:w="28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02496E">
                  <w:pPr>
                    <w:ind w:firstLine="177"/>
                    <w:rPr>
                      <w:rFonts w:ascii="Calibri" w:eastAsiaTheme="minorHAnsi" w:hAnsi="Calibri" w:cs="Calibri"/>
                      <w:b/>
                      <w:bCs/>
                      <w:sz w:val="20"/>
                      <w:szCs w:val="20"/>
                    </w:rPr>
                  </w:pPr>
                  <w:r w:rsidRPr="00A21238">
                    <w:rPr>
                      <w:rFonts w:ascii="Calibri" w:hAnsi="Calibri" w:cs="Calibri"/>
                      <w:b/>
                      <w:bCs/>
                      <w:sz w:val="20"/>
                      <w:szCs w:val="20"/>
                    </w:rPr>
                    <w:t>Large cell</w:t>
                  </w:r>
                  <w:r w:rsidR="0002496E" w:rsidRPr="0002496E">
                    <w:rPr>
                      <w:rFonts w:ascii="Calibri" w:hAnsi="Calibri" w:cs="Calibri"/>
                      <w:b/>
                      <w:bCs/>
                      <w:noProof/>
                      <w:sz w:val="20"/>
                      <w:szCs w:val="20"/>
                      <w:vertAlign w:val="superscript"/>
                    </w:rPr>
                    <w:t>25, 33, 44, 46, 48, 54</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5%</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2</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37</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347C" w:rsidRPr="00A21238" w:rsidRDefault="001C347C" w:rsidP="00525241">
                  <w:pPr>
                    <w:jc w:val="center"/>
                    <w:rPr>
                      <w:rFonts w:ascii="Calibri" w:eastAsiaTheme="minorHAnsi" w:hAnsi="Calibri" w:cs="Calibri"/>
                      <w:sz w:val="20"/>
                      <w:szCs w:val="20"/>
                    </w:rPr>
                  </w:pPr>
                  <w:r w:rsidRPr="00A21238">
                    <w:rPr>
                      <w:rFonts w:ascii="Calibri" w:hAnsi="Calibri" w:cs="Calibri"/>
                      <w:sz w:val="20"/>
                      <w:szCs w:val="20"/>
                    </w:rPr>
                    <w:t>6(39)</w:t>
                  </w:r>
                </w:p>
              </w:tc>
              <w:tc>
                <w:tcPr>
                  <w:tcW w:w="3022" w:type="dxa"/>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c>
                <w:tcPr>
                  <w:tcW w:w="225" w:type="dxa"/>
                  <w:gridSpan w:val="2"/>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r>
            <w:tr w:rsidR="004E4D4F" w:rsidRPr="00A21238" w:rsidTr="001C347C">
              <w:trPr>
                <w:gridAfter w:val="1"/>
                <w:wAfter w:w="11" w:type="dxa"/>
                <w:trHeight w:val="270"/>
              </w:trPr>
              <w:tc>
                <w:tcPr>
                  <w:tcW w:w="6675" w:type="dxa"/>
                  <w:gridSpan w:val="3"/>
                  <w:noWrap/>
                  <w:tcMar>
                    <w:top w:w="0" w:type="dxa"/>
                    <w:left w:w="108" w:type="dxa"/>
                    <w:bottom w:w="0" w:type="dxa"/>
                    <w:right w:w="108" w:type="dxa"/>
                  </w:tcMar>
                  <w:vAlign w:val="bottom"/>
                </w:tcPr>
                <w:p w:rsidR="00565546" w:rsidRPr="002847AE" w:rsidRDefault="0001790B" w:rsidP="00A26FF8">
                  <w:pPr>
                    <w:ind w:hanging="93"/>
                    <w:rPr>
                      <w:rFonts w:ascii="Calibri" w:hAnsi="Calibri" w:cs="Calibri"/>
                      <w:bCs/>
                      <w:sz w:val="18"/>
                      <w:szCs w:val="18"/>
                    </w:rPr>
                  </w:pPr>
                  <w:r>
                    <w:rPr>
                      <w:rFonts w:asciiTheme="minorHAnsi" w:hAnsiTheme="minorHAnsi"/>
                      <w:sz w:val="18"/>
                      <w:szCs w:val="18"/>
                    </w:rPr>
                    <w:t xml:space="preserve">Abbreviations: </w:t>
                  </w:r>
                  <w:r w:rsidR="00565546" w:rsidRPr="002847AE">
                    <w:rPr>
                      <w:rFonts w:asciiTheme="minorHAnsi" w:hAnsiTheme="minorHAnsi"/>
                      <w:sz w:val="18"/>
                      <w:szCs w:val="18"/>
                    </w:rPr>
                    <w:t>n</w:t>
                  </w:r>
                  <w:r w:rsidR="00470CE4">
                    <w:rPr>
                      <w:rFonts w:asciiTheme="minorHAnsi" w:hAnsiTheme="minorHAnsi"/>
                      <w:sz w:val="18"/>
                      <w:szCs w:val="18"/>
                    </w:rPr>
                    <w:t>,</w:t>
                  </w:r>
                  <w:r w:rsidR="00565546" w:rsidRPr="002847AE">
                    <w:rPr>
                      <w:rFonts w:asciiTheme="minorHAnsi" w:hAnsiTheme="minorHAnsi"/>
                      <w:sz w:val="18"/>
                      <w:szCs w:val="18"/>
                    </w:rPr>
                    <w:t xml:space="preserve"> Number of studies; N</w:t>
                  </w:r>
                  <w:r w:rsidR="00470CE4">
                    <w:rPr>
                      <w:rFonts w:asciiTheme="minorHAnsi" w:hAnsiTheme="minorHAnsi"/>
                      <w:sz w:val="18"/>
                      <w:szCs w:val="18"/>
                    </w:rPr>
                    <w:t>,</w:t>
                  </w:r>
                  <w:r w:rsidR="00565546" w:rsidRPr="002847AE">
                    <w:rPr>
                      <w:rFonts w:asciiTheme="minorHAnsi" w:hAnsiTheme="minorHAnsi"/>
                      <w:sz w:val="18"/>
                      <w:szCs w:val="18"/>
                    </w:rPr>
                    <w:t xml:space="preserve"> Number of patients</w:t>
                  </w:r>
                  <w:r w:rsidR="00565546" w:rsidRPr="002847AE">
                    <w:rPr>
                      <w:rFonts w:ascii="Calibri" w:hAnsi="Calibri" w:cs="Calibri"/>
                      <w:bCs/>
                      <w:sz w:val="18"/>
                      <w:szCs w:val="18"/>
                    </w:rPr>
                    <w:t xml:space="preserve"> </w:t>
                  </w:r>
                </w:p>
                <w:p w:rsidR="001C347C" w:rsidRPr="002847AE" w:rsidRDefault="00665CB4" w:rsidP="00A26FF8">
                  <w:pPr>
                    <w:ind w:hanging="93"/>
                    <w:rPr>
                      <w:rFonts w:ascii="Calibri" w:eastAsiaTheme="minorHAnsi" w:hAnsi="Calibri" w:cs="Calibri"/>
                      <w:b/>
                      <w:bCs/>
                      <w:sz w:val="18"/>
                      <w:szCs w:val="18"/>
                    </w:rPr>
                  </w:pPr>
                  <w:proofErr w:type="gramStart"/>
                  <w:r w:rsidRPr="00AC081E">
                    <w:rPr>
                      <w:rFonts w:ascii="Calibri" w:hAnsi="Calibri" w:cs="Calibri"/>
                      <w:bCs/>
                      <w:sz w:val="18"/>
                      <w:szCs w:val="18"/>
                      <w:vertAlign w:val="superscript"/>
                    </w:rPr>
                    <w:t>a</w:t>
                  </w:r>
                  <w:proofErr w:type="gramEnd"/>
                  <w:r>
                    <w:rPr>
                      <w:rFonts w:ascii="Calibri" w:hAnsi="Calibri" w:cs="Calibri"/>
                      <w:bCs/>
                      <w:sz w:val="18"/>
                      <w:szCs w:val="18"/>
                      <w:vertAlign w:val="superscript"/>
                    </w:rPr>
                    <w:t xml:space="preserve"> </w:t>
                  </w:r>
                  <w:r w:rsidRPr="002847AE">
                    <w:rPr>
                      <w:rFonts w:ascii="Calibri" w:hAnsi="Calibri" w:cs="Calibri"/>
                      <w:bCs/>
                      <w:sz w:val="18"/>
                      <w:szCs w:val="18"/>
                    </w:rPr>
                    <w:t>Most</w:t>
                  </w:r>
                  <w:r w:rsidR="001C347C" w:rsidRPr="002847AE">
                    <w:rPr>
                      <w:rFonts w:ascii="Calibri" w:hAnsi="Calibri" w:cs="Calibri"/>
                      <w:bCs/>
                      <w:sz w:val="18"/>
                      <w:szCs w:val="18"/>
                    </w:rPr>
                    <w:t xml:space="preserve"> studies contained primarily adenocarcinoma patients</w:t>
                  </w:r>
                  <w:r w:rsidR="001C347C" w:rsidRPr="002847AE">
                    <w:rPr>
                      <w:rFonts w:ascii="Calibri" w:hAnsi="Calibri" w:cs="Calibri"/>
                      <w:b/>
                      <w:bCs/>
                      <w:sz w:val="18"/>
                      <w:szCs w:val="18"/>
                    </w:rPr>
                    <w:t xml:space="preserve">. </w:t>
                  </w:r>
                </w:p>
                <w:p w:rsidR="001C347C" w:rsidRPr="00A21238" w:rsidRDefault="001C347C">
                  <w:pPr>
                    <w:rPr>
                      <w:rFonts w:ascii="Century Gothic" w:hAnsi="Century Gothic"/>
                      <w:b/>
                      <w:bCs/>
                      <w:sz w:val="20"/>
                      <w:szCs w:val="20"/>
                    </w:rPr>
                  </w:pPr>
                </w:p>
                <w:p w:rsidR="001C347C" w:rsidRPr="00A21238" w:rsidRDefault="001C347C">
                  <w:pPr>
                    <w:rPr>
                      <w:rFonts w:ascii="Century Gothic" w:hAnsi="Century Gothic"/>
                      <w:b/>
                      <w:bCs/>
                      <w:sz w:val="20"/>
                      <w:szCs w:val="20"/>
                    </w:rPr>
                  </w:pPr>
                </w:p>
                <w:p w:rsidR="00D9506C" w:rsidRPr="00A21238" w:rsidRDefault="00D9506C" w:rsidP="00E10C54">
                  <w:pPr>
                    <w:rPr>
                      <w:rFonts w:ascii="Century Gothic" w:eastAsiaTheme="minorHAnsi" w:hAnsi="Century Gothic"/>
                      <w:b/>
                      <w:bCs/>
                      <w:sz w:val="20"/>
                      <w:szCs w:val="20"/>
                    </w:rPr>
                  </w:pPr>
                </w:p>
              </w:tc>
              <w:tc>
                <w:tcPr>
                  <w:tcW w:w="1530" w:type="dxa"/>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c>
                <w:tcPr>
                  <w:tcW w:w="1400" w:type="dxa"/>
                  <w:noWrap/>
                  <w:tcMar>
                    <w:top w:w="0" w:type="dxa"/>
                    <w:left w:w="108" w:type="dxa"/>
                    <w:bottom w:w="0" w:type="dxa"/>
                    <w:right w:w="108" w:type="dxa"/>
                  </w:tcMar>
                  <w:vAlign w:val="bottom"/>
                  <w:hideMark/>
                </w:tcPr>
                <w:p w:rsidR="001C347C" w:rsidRPr="00A21238" w:rsidRDefault="001C347C">
                  <w:pPr>
                    <w:rPr>
                      <w:rFonts w:asciiTheme="minorHAnsi" w:eastAsiaTheme="minorEastAsia" w:hAnsiTheme="minorHAnsi" w:cstheme="minorBidi"/>
                      <w:sz w:val="22"/>
                      <w:szCs w:val="22"/>
                    </w:rPr>
                  </w:pPr>
                </w:p>
              </w:tc>
              <w:tc>
                <w:tcPr>
                  <w:tcW w:w="3236" w:type="dxa"/>
                  <w:gridSpan w:val="2"/>
                  <w:vAlign w:val="center"/>
                  <w:hideMark/>
                </w:tcPr>
                <w:p w:rsidR="001C347C" w:rsidRPr="00A21238" w:rsidRDefault="001C347C">
                  <w:pPr>
                    <w:rPr>
                      <w:rFonts w:eastAsiaTheme="minorHAnsi"/>
                    </w:rPr>
                  </w:pPr>
                  <w:r w:rsidRPr="00A21238">
                    <w:t> </w:t>
                  </w:r>
                </w:p>
              </w:tc>
            </w:tr>
          </w:tbl>
          <w:p w:rsidR="001C347C" w:rsidRPr="00A21238" w:rsidRDefault="001C347C" w:rsidP="001C347C">
            <w:pPr>
              <w:rPr>
                <w:rFonts w:ascii="Arial" w:hAnsi="Arial" w:cs="Arial"/>
                <w:b/>
                <w:bCs/>
                <w:sz w:val="20"/>
                <w:szCs w:val="20"/>
              </w:rPr>
            </w:pPr>
          </w:p>
          <w:p w:rsidR="00BD5C72" w:rsidRPr="00A21238" w:rsidRDefault="00BD5C72">
            <w:pPr>
              <w:rPr>
                <w:rFonts w:asciiTheme="minorHAnsi" w:hAnsiTheme="minorHAnsi" w:cstheme="minorBidi"/>
                <w:b/>
                <w:bCs/>
                <w:sz w:val="22"/>
                <w:szCs w:val="22"/>
              </w:rPr>
            </w:pPr>
          </w:p>
          <w:p w:rsidR="00BD5C72" w:rsidRPr="00A21238" w:rsidRDefault="00BD5C72">
            <w:pPr>
              <w:rPr>
                <w:rFonts w:asciiTheme="minorHAnsi" w:hAnsiTheme="minorHAnsi" w:cstheme="minorBidi"/>
                <w:b/>
                <w:bCs/>
                <w:sz w:val="22"/>
                <w:szCs w:val="22"/>
              </w:rPr>
            </w:pPr>
          </w:p>
          <w:tbl>
            <w:tblPr>
              <w:tblW w:w="8745" w:type="dxa"/>
              <w:tblCellMar>
                <w:left w:w="0" w:type="dxa"/>
                <w:right w:w="0" w:type="dxa"/>
              </w:tblCellMar>
              <w:tblLook w:val="04A0"/>
            </w:tblPr>
            <w:tblGrid>
              <w:gridCol w:w="3345"/>
              <w:gridCol w:w="1620"/>
              <w:gridCol w:w="1800"/>
              <w:gridCol w:w="1980"/>
            </w:tblGrid>
            <w:tr w:rsidR="00DC5257" w:rsidRPr="00A21238" w:rsidTr="00DC5257">
              <w:trPr>
                <w:trHeight w:val="270"/>
              </w:trPr>
              <w:tc>
                <w:tcPr>
                  <w:tcW w:w="8745" w:type="dxa"/>
                  <w:gridSpan w:val="4"/>
                  <w:noWrap/>
                  <w:tcMar>
                    <w:top w:w="0" w:type="dxa"/>
                    <w:left w:w="108" w:type="dxa"/>
                    <w:bottom w:w="0" w:type="dxa"/>
                    <w:right w:w="108" w:type="dxa"/>
                  </w:tcMar>
                  <w:vAlign w:val="bottom"/>
                </w:tcPr>
                <w:p w:rsidR="00DF79B2" w:rsidRPr="00A21238" w:rsidRDefault="00DF79B2">
                  <w:pPr>
                    <w:rPr>
                      <w:rFonts w:ascii="Calibri" w:hAnsi="Calibri" w:cs="Calibri"/>
                      <w:b/>
                      <w:bCs/>
                      <w:sz w:val="22"/>
                      <w:szCs w:val="22"/>
                    </w:rPr>
                  </w:pPr>
                </w:p>
                <w:p w:rsidR="000809E3" w:rsidRPr="00A21238" w:rsidRDefault="000809E3">
                  <w:pPr>
                    <w:rPr>
                      <w:rFonts w:ascii="Calibri" w:hAnsi="Calibri" w:cs="Calibri"/>
                      <w:b/>
                      <w:bCs/>
                      <w:sz w:val="22"/>
                      <w:szCs w:val="22"/>
                    </w:rPr>
                  </w:pPr>
                </w:p>
                <w:p w:rsidR="000809E3" w:rsidRPr="00A21238" w:rsidRDefault="000809E3">
                  <w:pPr>
                    <w:rPr>
                      <w:rFonts w:ascii="Calibri" w:hAnsi="Calibri" w:cs="Calibri"/>
                      <w:b/>
                      <w:bCs/>
                      <w:sz w:val="22"/>
                      <w:szCs w:val="22"/>
                    </w:rPr>
                  </w:pPr>
                </w:p>
                <w:p w:rsidR="000809E3" w:rsidRPr="00A21238" w:rsidRDefault="000809E3">
                  <w:pPr>
                    <w:rPr>
                      <w:rFonts w:ascii="Calibri" w:hAnsi="Calibri" w:cs="Calibri"/>
                      <w:b/>
                      <w:bCs/>
                      <w:sz w:val="22"/>
                      <w:szCs w:val="22"/>
                    </w:rPr>
                  </w:pPr>
                </w:p>
                <w:p w:rsidR="000809E3" w:rsidRPr="00A21238" w:rsidRDefault="000809E3">
                  <w:pPr>
                    <w:rPr>
                      <w:rFonts w:ascii="Calibri" w:hAnsi="Calibri" w:cs="Calibri"/>
                      <w:b/>
                      <w:bCs/>
                      <w:sz w:val="22"/>
                      <w:szCs w:val="22"/>
                    </w:rPr>
                  </w:pPr>
                </w:p>
                <w:p w:rsidR="000809E3" w:rsidRPr="00A21238" w:rsidRDefault="000809E3">
                  <w:pPr>
                    <w:rPr>
                      <w:rFonts w:ascii="Calibri" w:hAnsi="Calibri" w:cs="Calibri"/>
                      <w:b/>
                      <w:bCs/>
                      <w:sz w:val="22"/>
                      <w:szCs w:val="22"/>
                    </w:rPr>
                  </w:pPr>
                </w:p>
                <w:p w:rsidR="000809E3" w:rsidRPr="00A21238" w:rsidRDefault="000809E3">
                  <w:pPr>
                    <w:rPr>
                      <w:rFonts w:ascii="Calibri" w:hAnsi="Calibri" w:cs="Calibri"/>
                      <w:b/>
                      <w:bCs/>
                      <w:sz w:val="22"/>
                      <w:szCs w:val="22"/>
                    </w:rPr>
                  </w:pPr>
                </w:p>
                <w:p w:rsidR="000809E3" w:rsidRPr="00A21238" w:rsidRDefault="000809E3">
                  <w:pPr>
                    <w:rPr>
                      <w:rFonts w:ascii="Calibri" w:hAnsi="Calibri" w:cs="Calibri"/>
                      <w:b/>
                      <w:bCs/>
                      <w:sz w:val="22"/>
                      <w:szCs w:val="22"/>
                    </w:rPr>
                  </w:pPr>
                </w:p>
                <w:p w:rsidR="000809E3" w:rsidRPr="00A21238" w:rsidRDefault="000809E3">
                  <w:pPr>
                    <w:rPr>
                      <w:rFonts w:ascii="Calibri" w:hAnsi="Calibri" w:cs="Calibri"/>
                      <w:b/>
                      <w:bCs/>
                      <w:sz w:val="22"/>
                      <w:szCs w:val="22"/>
                    </w:rPr>
                  </w:pPr>
                </w:p>
                <w:p w:rsidR="000809E3" w:rsidRPr="00A21238" w:rsidRDefault="000809E3">
                  <w:pPr>
                    <w:rPr>
                      <w:rFonts w:ascii="Calibri" w:hAnsi="Calibri" w:cs="Calibri"/>
                      <w:b/>
                      <w:bCs/>
                      <w:sz w:val="22"/>
                      <w:szCs w:val="22"/>
                    </w:rPr>
                  </w:pPr>
                </w:p>
                <w:p w:rsidR="000809E3" w:rsidRPr="00A21238" w:rsidRDefault="000809E3">
                  <w:pPr>
                    <w:rPr>
                      <w:rFonts w:ascii="Calibri" w:hAnsi="Calibri" w:cs="Calibri"/>
                      <w:b/>
                      <w:bCs/>
                      <w:sz w:val="22"/>
                      <w:szCs w:val="22"/>
                    </w:rPr>
                  </w:pPr>
                </w:p>
                <w:p w:rsidR="000809E3" w:rsidRPr="00A21238" w:rsidRDefault="000809E3">
                  <w:pPr>
                    <w:rPr>
                      <w:rFonts w:ascii="Calibri" w:hAnsi="Calibri" w:cs="Calibri"/>
                      <w:b/>
                      <w:bCs/>
                      <w:sz w:val="22"/>
                      <w:szCs w:val="22"/>
                    </w:rPr>
                  </w:pPr>
                </w:p>
                <w:p w:rsidR="000809E3" w:rsidRDefault="000809E3">
                  <w:pPr>
                    <w:rPr>
                      <w:rFonts w:ascii="Calibri" w:hAnsi="Calibri" w:cs="Calibri"/>
                      <w:b/>
                      <w:bCs/>
                      <w:sz w:val="22"/>
                      <w:szCs w:val="22"/>
                    </w:rPr>
                  </w:pPr>
                </w:p>
                <w:p w:rsidR="00314FD6" w:rsidRDefault="00314FD6">
                  <w:pPr>
                    <w:rPr>
                      <w:rFonts w:ascii="Calibri" w:hAnsi="Calibri" w:cs="Calibri"/>
                      <w:b/>
                      <w:bCs/>
                      <w:sz w:val="22"/>
                      <w:szCs w:val="22"/>
                    </w:rPr>
                  </w:pPr>
                </w:p>
                <w:p w:rsidR="00314FD6" w:rsidRDefault="00314FD6">
                  <w:pPr>
                    <w:rPr>
                      <w:rFonts w:ascii="Calibri" w:hAnsi="Calibri" w:cs="Calibri"/>
                      <w:b/>
                      <w:bCs/>
                      <w:sz w:val="22"/>
                      <w:szCs w:val="22"/>
                    </w:rPr>
                  </w:pPr>
                </w:p>
                <w:p w:rsidR="00314FD6" w:rsidRPr="00A21238" w:rsidRDefault="00314FD6">
                  <w:pPr>
                    <w:rPr>
                      <w:rFonts w:ascii="Calibri" w:hAnsi="Calibri" w:cs="Calibri"/>
                      <w:b/>
                      <w:bCs/>
                      <w:sz w:val="22"/>
                      <w:szCs w:val="22"/>
                    </w:rPr>
                  </w:pPr>
                </w:p>
                <w:p w:rsidR="000809E3" w:rsidRPr="00A21238" w:rsidRDefault="000809E3">
                  <w:pPr>
                    <w:rPr>
                      <w:rFonts w:ascii="Calibri" w:hAnsi="Calibri" w:cs="Calibri"/>
                      <w:b/>
                      <w:bCs/>
                      <w:sz w:val="22"/>
                      <w:szCs w:val="22"/>
                    </w:rPr>
                  </w:pPr>
                </w:p>
                <w:p w:rsidR="00DC5257" w:rsidRPr="002847AE" w:rsidRDefault="00401D35">
                  <w:pPr>
                    <w:rPr>
                      <w:b/>
                      <w:bCs/>
                      <w:sz w:val="22"/>
                      <w:szCs w:val="22"/>
                    </w:rPr>
                  </w:pPr>
                  <w:r w:rsidRPr="002847AE">
                    <w:rPr>
                      <w:b/>
                      <w:bCs/>
                      <w:sz w:val="22"/>
                      <w:szCs w:val="22"/>
                    </w:rPr>
                    <w:lastRenderedPageBreak/>
                    <w:t xml:space="preserve">Table </w:t>
                  </w:r>
                  <w:r w:rsidR="00A566D8" w:rsidRPr="002847AE">
                    <w:rPr>
                      <w:b/>
                      <w:bCs/>
                      <w:sz w:val="22"/>
                      <w:szCs w:val="22"/>
                    </w:rPr>
                    <w:t>9</w:t>
                  </w:r>
                  <w:r w:rsidR="00DC5257" w:rsidRPr="002847AE">
                    <w:rPr>
                      <w:b/>
                      <w:bCs/>
                      <w:sz w:val="22"/>
                      <w:szCs w:val="22"/>
                    </w:rPr>
                    <w:t xml:space="preserve">: Pooled analyses of factors associated with </w:t>
                  </w:r>
                  <w:r w:rsidR="00DC5257" w:rsidRPr="002847AE">
                    <w:rPr>
                      <w:b/>
                      <w:bCs/>
                      <w:i/>
                      <w:iCs/>
                      <w:sz w:val="22"/>
                      <w:szCs w:val="22"/>
                    </w:rPr>
                    <w:t>EGFR</w:t>
                  </w:r>
                  <w:r w:rsidR="00DC5257" w:rsidRPr="002847AE">
                    <w:rPr>
                      <w:b/>
                      <w:bCs/>
                      <w:sz w:val="22"/>
                      <w:szCs w:val="22"/>
                    </w:rPr>
                    <w:t xml:space="preserve"> mutation status in studies containing primarily Asian patients</w:t>
                  </w:r>
                </w:p>
                <w:p w:rsidR="00DC5257" w:rsidRPr="00A21238" w:rsidRDefault="00DC5257">
                  <w:pPr>
                    <w:rPr>
                      <w:rFonts w:ascii="Calibri" w:eastAsiaTheme="minorHAnsi" w:hAnsi="Calibri" w:cs="Calibri"/>
                      <w:b/>
                      <w:bCs/>
                      <w:sz w:val="22"/>
                      <w:szCs w:val="22"/>
                    </w:rPr>
                  </w:pPr>
                </w:p>
              </w:tc>
            </w:tr>
            <w:tr w:rsidR="00DC5257" w:rsidRPr="00A21238" w:rsidTr="00817982">
              <w:trPr>
                <w:trHeight w:val="645"/>
              </w:trPr>
              <w:tc>
                <w:tcPr>
                  <w:tcW w:w="3345" w:type="dxa"/>
                  <w:shd w:val="clear" w:color="auto" w:fill="auto"/>
                  <w:noWrap/>
                  <w:tcMar>
                    <w:top w:w="0" w:type="dxa"/>
                    <w:left w:w="108" w:type="dxa"/>
                    <w:bottom w:w="0" w:type="dxa"/>
                    <w:right w:w="108" w:type="dxa"/>
                  </w:tcMar>
                  <w:vAlign w:val="bottom"/>
                  <w:hideMark/>
                </w:tcPr>
                <w:p w:rsidR="00DC5257" w:rsidRPr="00A21238" w:rsidRDefault="00DC5257">
                  <w:pPr>
                    <w:rPr>
                      <w:rFonts w:asciiTheme="minorHAnsi" w:eastAsiaTheme="minorEastAsia" w:hAnsiTheme="minorHAnsi" w:cstheme="minorBidi"/>
                      <w:sz w:val="22"/>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C5257" w:rsidRPr="00A21238" w:rsidRDefault="00DC5257" w:rsidP="00525241">
                  <w:pPr>
                    <w:jc w:val="center"/>
                    <w:rPr>
                      <w:rFonts w:ascii="Calibri" w:eastAsiaTheme="minorHAnsi" w:hAnsi="Calibri" w:cs="Calibri"/>
                      <w:b/>
                      <w:bCs/>
                      <w:sz w:val="20"/>
                      <w:szCs w:val="20"/>
                    </w:rPr>
                  </w:pPr>
                  <w:r w:rsidRPr="00A21238">
                    <w:rPr>
                      <w:rFonts w:ascii="Calibri" w:hAnsi="Calibri" w:cs="Calibri"/>
                      <w:b/>
                      <w:bCs/>
                      <w:sz w:val="20"/>
                      <w:szCs w:val="20"/>
                    </w:rPr>
                    <w:t>n(N)</w:t>
                  </w: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258B0" w:rsidRDefault="00DC5257" w:rsidP="00BC2E0A">
                  <w:pPr>
                    <w:jc w:val="center"/>
                    <w:rPr>
                      <w:rFonts w:ascii="Calibri" w:hAnsi="Calibri" w:cs="Calibri"/>
                      <w:b/>
                      <w:bCs/>
                      <w:sz w:val="20"/>
                      <w:szCs w:val="20"/>
                    </w:rPr>
                  </w:pPr>
                  <w:r w:rsidRPr="00A21238">
                    <w:rPr>
                      <w:rFonts w:ascii="Calibri" w:hAnsi="Calibri" w:cs="Calibri"/>
                      <w:b/>
                      <w:bCs/>
                      <w:i/>
                      <w:iCs/>
                      <w:sz w:val="20"/>
                      <w:szCs w:val="20"/>
                    </w:rPr>
                    <w:t>EGFR</w:t>
                  </w:r>
                  <w:r w:rsidRPr="00A21238">
                    <w:rPr>
                      <w:rFonts w:ascii="Calibri" w:hAnsi="Calibri" w:cs="Calibri"/>
                      <w:b/>
                      <w:bCs/>
                      <w:sz w:val="20"/>
                      <w:szCs w:val="20"/>
                    </w:rPr>
                    <w:t xml:space="preserve"> mutation </w:t>
                  </w:r>
                </w:p>
                <w:p w:rsidR="00DC5257" w:rsidRPr="00A21238" w:rsidRDefault="00BC2E0A" w:rsidP="00BC2E0A">
                  <w:pPr>
                    <w:jc w:val="center"/>
                    <w:rPr>
                      <w:rFonts w:ascii="Calibri" w:eastAsiaTheme="minorHAnsi" w:hAnsi="Calibri" w:cs="Calibri"/>
                      <w:b/>
                      <w:bCs/>
                      <w:sz w:val="20"/>
                      <w:szCs w:val="20"/>
                    </w:rPr>
                  </w:pPr>
                  <w:r>
                    <w:rPr>
                      <w:rFonts w:ascii="Calibri" w:hAnsi="Calibri" w:cs="Calibri"/>
                      <w:b/>
                      <w:bCs/>
                      <w:sz w:val="20"/>
                      <w:szCs w:val="20"/>
                    </w:rPr>
                    <w:t>RR [</w:t>
                  </w:r>
                  <w:r w:rsidR="00DC5257" w:rsidRPr="00A21238">
                    <w:rPr>
                      <w:rFonts w:ascii="Calibri" w:hAnsi="Calibri" w:cs="Calibri"/>
                      <w:b/>
                      <w:bCs/>
                      <w:sz w:val="20"/>
                      <w:szCs w:val="20"/>
                    </w:rPr>
                    <w:t>95%CI</w:t>
                  </w:r>
                  <w:r>
                    <w:rPr>
                      <w:rFonts w:ascii="Calibri" w:hAnsi="Calibri" w:cs="Calibri"/>
                      <w:b/>
                      <w:bCs/>
                      <w:sz w:val="20"/>
                      <w:szCs w:val="20"/>
                    </w:rPr>
                    <w:t>]</w:t>
                  </w:r>
                  <w:r w:rsidR="00AC081E" w:rsidRPr="00AC081E">
                    <w:rPr>
                      <w:rFonts w:ascii="Calibri" w:hAnsi="Calibri" w:cs="Calibri"/>
                      <w:b/>
                      <w:bCs/>
                      <w:sz w:val="20"/>
                      <w:szCs w:val="20"/>
                      <w:vertAlign w:val="superscript"/>
                    </w:rPr>
                    <w:t>a</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C5257" w:rsidRPr="00A21238" w:rsidRDefault="00F60EE8" w:rsidP="00525241">
                  <w:pPr>
                    <w:jc w:val="center"/>
                    <w:rPr>
                      <w:rFonts w:ascii="Calibri" w:eastAsiaTheme="minorHAnsi" w:hAnsi="Calibri" w:cs="Calibri"/>
                      <w:b/>
                      <w:bCs/>
                      <w:sz w:val="20"/>
                      <w:szCs w:val="20"/>
                    </w:rPr>
                  </w:pPr>
                  <w:r w:rsidRPr="00A21238">
                    <w:rPr>
                      <w:rFonts w:ascii="Calibri" w:hAnsi="Calibri" w:cs="Calibri"/>
                      <w:b/>
                      <w:bCs/>
                      <w:i/>
                      <w:sz w:val="20"/>
                      <w:szCs w:val="20"/>
                    </w:rPr>
                    <w:t>P</w:t>
                  </w:r>
                  <w:r w:rsidR="00DC5257" w:rsidRPr="00A21238">
                    <w:rPr>
                      <w:rFonts w:ascii="Calibri" w:hAnsi="Calibri" w:cs="Calibri"/>
                      <w:b/>
                      <w:bCs/>
                      <w:sz w:val="20"/>
                      <w:szCs w:val="20"/>
                    </w:rPr>
                    <w:t>-value</w:t>
                  </w:r>
                </w:p>
              </w:tc>
            </w:tr>
            <w:tr w:rsidR="00DC5257" w:rsidRPr="00A21238" w:rsidTr="00817982">
              <w:trPr>
                <w:trHeight w:val="270"/>
              </w:trPr>
              <w:tc>
                <w:tcPr>
                  <w:tcW w:w="3345"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C5257" w:rsidRPr="00A21238" w:rsidRDefault="00DC5257">
                  <w:pPr>
                    <w:rPr>
                      <w:rFonts w:asciiTheme="minorHAnsi" w:eastAsiaTheme="minorHAnsi" w:hAnsiTheme="minorHAnsi" w:cstheme="minorHAnsi"/>
                      <w:b/>
                      <w:bCs/>
                      <w:sz w:val="20"/>
                      <w:szCs w:val="20"/>
                    </w:rPr>
                  </w:pPr>
                  <w:r w:rsidRPr="00A21238">
                    <w:rPr>
                      <w:rFonts w:asciiTheme="minorHAnsi" w:hAnsiTheme="minorHAnsi" w:cstheme="minorHAnsi"/>
                      <w:b/>
                      <w:bCs/>
                      <w:sz w:val="20"/>
                      <w:szCs w:val="20"/>
                    </w:rPr>
                    <w:t>Age cut-off</w:t>
                  </w:r>
                </w:p>
              </w:tc>
              <w:tc>
                <w:tcPr>
                  <w:tcW w:w="16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C5257" w:rsidRPr="00A21238" w:rsidRDefault="00DC5257" w:rsidP="00525241">
                  <w:pPr>
                    <w:jc w:val="center"/>
                    <w:rPr>
                      <w:rFonts w:asciiTheme="minorHAnsi" w:eastAsiaTheme="minorHAnsi" w:hAnsiTheme="minorHAnsi" w:cstheme="minorHAnsi"/>
                      <w:sz w:val="20"/>
                      <w:szCs w:val="20"/>
                    </w:rPr>
                  </w:pPr>
                </w:p>
              </w:tc>
              <w:tc>
                <w:tcPr>
                  <w:tcW w:w="18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C5257" w:rsidRPr="00A21238" w:rsidRDefault="00DC5257" w:rsidP="00525241">
                  <w:pPr>
                    <w:jc w:val="center"/>
                    <w:rPr>
                      <w:rFonts w:asciiTheme="minorHAnsi" w:eastAsiaTheme="minorHAnsi" w:hAnsiTheme="minorHAnsi" w:cstheme="minorHAnsi"/>
                      <w:sz w:val="20"/>
                      <w:szCs w:val="20"/>
                    </w:rPr>
                  </w:pPr>
                </w:p>
              </w:tc>
              <w:tc>
                <w:tcPr>
                  <w:tcW w:w="19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C5257" w:rsidRPr="00A21238" w:rsidRDefault="00DC5257" w:rsidP="00525241">
                  <w:pPr>
                    <w:jc w:val="center"/>
                    <w:rPr>
                      <w:rFonts w:asciiTheme="minorHAnsi" w:eastAsiaTheme="minorHAnsi" w:hAnsiTheme="minorHAnsi" w:cstheme="minorHAnsi"/>
                      <w:sz w:val="20"/>
                      <w:szCs w:val="20"/>
                    </w:rPr>
                  </w:pPr>
                </w:p>
              </w:tc>
            </w:tr>
            <w:tr w:rsidR="00DC5257" w:rsidRPr="00A21238" w:rsidTr="00525241">
              <w:trPr>
                <w:trHeight w:val="27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5257" w:rsidRPr="00A21238" w:rsidRDefault="00DC5257" w:rsidP="0002496E">
                  <w:pPr>
                    <w:ind w:firstLine="357"/>
                    <w:rPr>
                      <w:rFonts w:asciiTheme="minorHAnsi" w:eastAsiaTheme="minorHAnsi" w:hAnsiTheme="minorHAnsi" w:cstheme="minorHAnsi"/>
                      <w:b/>
                      <w:bCs/>
                      <w:sz w:val="20"/>
                      <w:szCs w:val="20"/>
                    </w:rPr>
                  </w:pPr>
                  <w:r w:rsidRPr="00A21238">
                    <w:rPr>
                      <w:rFonts w:asciiTheme="minorHAnsi" w:hAnsiTheme="minorHAnsi" w:cstheme="minorHAnsi"/>
                      <w:b/>
                      <w:bCs/>
                      <w:sz w:val="20"/>
                      <w:szCs w:val="20"/>
                    </w:rPr>
                    <w:t>&lt;65</w:t>
                  </w:r>
                  <w:r w:rsidR="0002496E" w:rsidRPr="0002496E">
                    <w:rPr>
                      <w:rFonts w:asciiTheme="minorHAnsi" w:hAnsiTheme="minorHAnsi" w:cstheme="minorHAnsi"/>
                      <w:b/>
                      <w:bCs/>
                      <w:noProof/>
                      <w:sz w:val="20"/>
                      <w:szCs w:val="20"/>
                      <w:vertAlign w:val="superscript"/>
                    </w:rPr>
                    <w:t>18, 29, 31, 36, 38</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257" w:rsidRPr="00A21238" w:rsidRDefault="00DC5257" w:rsidP="00525241">
                  <w:pPr>
                    <w:jc w:val="center"/>
                    <w:rPr>
                      <w:rFonts w:asciiTheme="minorHAnsi" w:eastAsiaTheme="minorHAnsi" w:hAnsiTheme="minorHAnsi" w:cstheme="minorHAnsi"/>
                      <w:sz w:val="20"/>
                      <w:szCs w:val="20"/>
                    </w:rPr>
                  </w:pPr>
                  <w:r w:rsidRPr="00A21238">
                    <w:rPr>
                      <w:rFonts w:asciiTheme="minorHAnsi" w:hAnsiTheme="minorHAnsi" w:cstheme="minorHAnsi"/>
                      <w:sz w:val="20"/>
                      <w:szCs w:val="20"/>
                    </w:rPr>
                    <w:t>5(477)</w:t>
                  </w:r>
                </w:p>
              </w:tc>
              <w:tc>
                <w:tcPr>
                  <w:tcW w:w="1800"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DC5257" w:rsidRPr="00A21238" w:rsidRDefault="00DC5257" w:rsidP="00525241">
                  <w:pPr>
                    <w:jc w:val="center"/>
                    <w:rPr>
                      <w:rFonts w:asciiTheme="minorHAnsi" w:eastAsiaTheme="minorHAnsi" w:hAnsiTheme="minorHAnsi" w:cstheme="minorHAnsi"/>
                      <w:sz w:val="20"/>
                      <w:szCs w:val="20"/>
                    </w:rPr>
                  </w:pP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257" w:rsidRPr="00A21238" w:rsidRDefault="00DC5257" w:rsidP="00525241">
                  <w:pPr>
                    <w:jc w:val="center"/>
                    <w:rPr>
                      <w:rFonts w:asciiTheme="minorHAnsi" w:eastAsiaTheme="minorHAnsi" w:hAnsiTheme="minorHAnsi" w:cstheme="minorHAnsi"/>
                      <w:sz w:val="20"/>
                      <w:szCs w:val="20"/>
                    </w:rPr>
                  </w:pPr>
                </w:p>
              </w:tc>
            </w:tr>
            <w:tr w:rsidR="00120A7D" w:rsidRPr="00A21238" w:rsidTr="00525241">
              <w:trPr>
                <w:trHeight w:val="27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0A7D" w:rsidRPr="00A21238" w:rsidRDefault="00120A7D" w:rsidP="0002496E">
                  <w:pPr>
                    <w:ind w:firstLine="357"/>
                    <w:rPr>
                      <w:rFonts w:asciiTheme="minorHAnsi" w:eastAsiaTheme="minorHAnsi" w:hAnsiTheme="minorHAnsi" w:cstheme="minorHAnsi"/>
                      <w:b/>
                      <w:bCs/>
                      <w:sz w:val="20"/>
                      <w:szCs w:val="20"/>
                    </w:rPr>
                  </w:pPr>
                  <w:r w:rsidRPr="00A21238">
                    <w:rPr>
                      <w:rFonts w:asciiTheme="minorHAnsi" w:hAnsiTheme="minorHAnsi" w:cstheme="minorHAnsi"/>
                      <w:b/>
                      <w:bCs/>
                      <w:sz w:val="20"/>
                      <w:szCs w:val="20"/>
                      <w:u w:val="single"/>
                    </w:rPr>
                    <w:t>&gt;</w:t>
                  </w:r>
                  <w:r w:rsidRPr="00A21238">
                    <w:rPr>
                      <w:rFonts w:asciiTheme="minorHAnsi" w:hAnsiTheme="minorHAnsi" w:cstheme="minorHAnsi"/>
                      <w:b/>
                      <w:bCs/>
                      <w:sz w:val="20"/>
                      <w:szCs w:val="20"/>
                    </w:rPr>
                    <w:t>65</w:t>
                  </w:r>
                  <w:r w:rsidR="0002496E" w:rsidRPr="0002496E">
                    <w:rPr>
                      <w:rFonts w:asciiTheme="minorHAnsi" w:hAnsiTheme="minorHAnsi" w:cstheme="minorHAnsi"/>
                      <w:b/>
                      <w:bCs/>
                      <w:noProof/>
                      <w:sz w:val="20"/>
                      <w:szCs w:val="20"/>
                      <w:vertAlign w:val="superscript"/>
                    </w:rPr>
                    <w:t>18, 29, 31, 36, 38</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0A7D" w:rsidRPr="00A21238" w:rsidRDefault="00120A7D" w:rsidP="00525241">
                  <w:pPr>
                    <w:jc w:val="center"/>
                    <w:rPr>
                      <w:rFonts w:asciiTheme="minorHAnsi" w:eastAsiaTheme="minorHAnsi" w:hAnsiTheme="minorHAnsi" w:cstheme="minorHAnsi"/>
                      <w:sz w:val="20"/>
                      <w:szCs w:val="20"/>
                    </w:rPr>
                  </w:pPr>
                  <w:r w:rsidRPr="00A21238">
                    <w:rPr>
                      <w:rFonts w:asciiTheme="minorHAnsi" w:hAnsiTheme="minorHAnsi" w:cstheme="minorHAnsi"/>
                      <w:sz w:val="20"/>
                      <w:szCs w:val="20"/>
                    </w:rPr>
                    <w:t>5(1141)</w:t>
                  </w:r>
                </w:p>
              </w:tc>
              <w:tc>
                <w:tcPr>
                  <w:tcW w:w="1800" w:type="dxa"/>
                  <w:tcBorders>
                    <w:top w:val="nil"/>
                    <w:left w:val="nil"/>
                    <w:bottom w:val="single" w:sz="8" w:space="0" w:color="000000"/>
                    <w:right w:val="single" w:sz="8" w:space="0" w:color="auto"/>
                  </w:tcBorders>
                  <w:vAlign w:val="bottom"/>
                  <w:hideMark/>
                </w:tcPr>
                <w:p w:rsidR="00120A7D" w:rsidRPr="00A21238" w:rsidRDefault="00120A7D" w:rsidP="00525241">
                  <w:pPr>
                    <w:jc w:val="center"/>
                    <w:rPr>
                      <w:rFonts w:asciiTheme="minorHAnsi" w:eastAsiaTheme="minorHAnsi" w:hAnsiTheme="minorHAnsi" w:cstheme="minorHAnsi"/>
                      <w:sz w:val="20"/>
                      <w:szCs w:val="20"/>
                    </w:rPr>
                  </w:pPr>
                  <w:r w:rsidRPr="00A21238">
                    <w:rPr>
                      <w:rFonts w:asciiTheme="minorHAnsi" w:hAnsiTheme="minorHAnsi" w:cstheme="minorHAnsi"/>
                      <w:sz w:val="20"/>
                      <w:szCs w:val="20"/>
                    </w:rPr>
                    <w:t>1.14 [0.94, 1.38]</w:t>
                  </w:r>
                </w:p>
              </w:tc>
              <w:tc>
                <w:tcPr>
                  <w:tcW w:w="1980" w:type="dxa"/>
                  <w:tcBorders>
                    <w:top w:val="nil"/>
                    <w:left w:val="nil"/>
                    <w:bottom w:val="single" w:sz="8" w:space="0" w:color="auto"/>
                    <w:right w:val="single" w:sz="8" w:space="0" w:color="auto"/>
                  </w:tcBorders>
                  <w:vAlign w:val="bottom"/>
                  <w:hideMark/>
                </w:tcPr>
                <w:p w:rsidR="00120A7D" w:rsidRPr="00A21238" w:rsidRDefault="00FE123D" w:rsidP="00525241">
                  <w:pPr>
                    <w:jc w:val="center"/>
                    <w:rPr>
                      <w:rFonts w:asciiTheme="minorHAnsi" w:eastAsiaTheme="minorHAnsi" w:hAnsiTheme="minorHAnsi" w:cstheme="minorHAnsi"/>
                      <w:sz w:val="20"/>
                      <w:szCs w:val="20"/>
                    </w:rPr>
                  </w:pPr>
                  <w:r w:rsidRPr="00FE123D">
                    <w:rPr>
                      <w:rFonts w:asciiTheme="minorHAnsi" w:hAnsiTheme="minorHAnsi" w:cstheme="minorHAnsi"/>
                      <w:i/>
                      <w:sz w:val="20"/>
                      <w:szCs w:val="20"/>
                    </w:rPr>
                    <w:t>P</w:t>
                  </w:r>
                  <w:r w:rsidR="00120A7D" w:rsidRPr="00A21238">
                    <w:rPr>
                      <w:rFonts w:asciiTheme="minorHAnsi" w:hAnsiTheme="minorHAnsi" w:cstheme="minorHAnsi"/>
                      <w:sz w:val="20"/>
                      <w:szCs w:val="20"/>
                    </w:rPr>
                    <w:t>=</w:t>
                  </w:r>
                  <w:r w:rsidR="00041A50">
                    <w:rPr>
                      <w:rFonts w:asciiTheme="minorHAnsi" w:hAnsiTheme="minorHAnsi" w:cstheme="minorHAnsi"/>
                      <w:sz w:val="20"/>
                      <w:szCs w:val="20"/>
                    </w:rPr>
                    <w:t>.19</w:t>
                  </w:r>
                </w:p>
              </w:tc>
            </w:tr>
            <w:tr w:rsidR="00120A7D" w:rsidRPr="00A21238" w:rsidTr="00817982">
              <w:trPr>
                <w:trHeight w:val="270"/>
              </w:trPr>
              <w:tc>
                <w:tcPr>
                  <w:tcW w:w="334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20A7D" w:rsidRPr="00A21238" w:rsidRDefault="007F34E3">
                  <w:pPr>
                    <w:rPr>
                      <w:rFonts w:asciiTheme="minorHAnsi" w:eastAsiaTheme="minorHAnsi" w:hAnsiTheme="minorHAnsi" w:cstheme="minorHAnsi"/>
                      <w:b/>
                      <w:bCs/>
                      <w:sz w:val="20"/>
                      <w:szCs w:val="20"/>
                    </w:rPr>
                  </w:pPr>
                  <w:r w:rsidRPr="00A21238">
                    <w:rPr>
                      <w:rFonts w:asciiTheme="minorHAnsi" w:hAnsiTheme="minorHAnsi" w:cstheme="minorHAnsi"/>
                      <w:b/>
                      <w:bCs/>
                      <w:sz w:val="20"/>
                      <w:szCs w:val="20"/>
                    </w:rPr>
                    <w:t>Sex</w:t>
                  </w:r>
                </w:p>
              </w:tc>
              <w:tc>
                <w:tcPr>
                  <w:tcW w:w="16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20A7D" w:rsidRPr="00A21238" w:rsidRDefault="00120A7D" w:rsidP="00525241">
                  <w:pPr>
                    <w:jc w:val="center"/>
                    <w:rPr>
                      <w:rFonts w:asciiTheme="minorHAnsi" w:eastAsiaTheme="minorHAnsi" w:hAnsiTheme="minorHAnsi" w:cstheme="minorHAnsi"/>
                      <w:sz w:val="20"/>
                      <w:szCs w:val="20"/>
                    </w:rPr>
                  </w:pPr>
                </w:p>
              </w:tc>
              <w:tc>
                <w:tcPr>
                  <w:tcW w:w="18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20A7D" w:rsidRPr="00A21238" w:rsidRDefault="00120A7D" w:rsidP="00525241">
                  <w:pPr>
                    <w:jc w:val="center"/>
                    <w:rPr>
                      <w:rFonts w:asciiTheme="minorHAnsi" w:eastAsiaTheme="minorHAnsi" w:hAnsiTheme="minorHAnsi" w:cstheme="minorHAnsi"/>
                      <w:sz w:val="20"/>
                      <w:szCs w:val="20"/>
                    </w:rPr>
                  </w:pPr>
                </w:p>
              </w:tc>
              <w:tc>
                <w:tcPr>
                  <w:tcW w:w="19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20A7D" w:rsidRPr="00A21238" w:rsidRDefault="00120A7D" w:rsidP="00525241">
                  <w:pPr>
                    <w:jc w:val="center"/>
                    <w:rPr>
                      <w:rFonts w:asciiTheme="minorHAnsi" w:eastAsiaTheme="minorHAnsi" w:hAnsiTheme="minorHAnsi" w:cstheme="minorHAnsi"/>
                      <w:sz w:val="20"/>
                      <w:szCs w:val="20"/>
                    </w:rPr>
                  </w:pPr>
                </w:p>
              </w:tc>
            </w:tr>
            <w:tr w:rsidR="00120A7D" w:rsidRPr="00A21238" w:rsidTr="00525241">
              <w:trPr>
                <w:trHeight w:val="27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0A7D" w:rsidRPr="00A21238" w:rsidRDefault="00120A7D" w:rsidP="003265B0">
                  <w:pPr>
                    <w:ind w:firstLine="357"/>
                    <w:rPr>
                      <w:rFonts w:asciiTheme="minorHAnsi" w:eastAsiaTheme="minorHAnsi" w:hAnsiTheme="minorHAnsi" w:cstheme="minorHAnsi"/>
                      <w:b/>
                      <w:bCs/>
                      <w:sz w:val="20"/>
                      <w:szCs w:val="20"/>
                    </w:rPr>
                  </w:pPr>
                  <w:r w:rsidRPr="00A21238">
                    <w:rPr>
                      <w:rFonts w:asciiTheme="minorHAnsi" w:hAnsiTheme="minorHAnsi" w:cstheme="minorHAnsi"/>
                      <w:b/>
                      <w:bCs/>
                      <w:sz w:val="20"/>
                      <w:szCs w:val="20"/>
                    </w:rPr>
                    <w:t>Female</w:t>
                  </w:r>
                  <w:r w:rsidR="0002496E" w:rsidRPr="0002496E">
                    <w:rPr>
                      <w:rFonts w:asciiTheme="minorHAnsi" w:hAnsiTheme="minorHAnsi" w:cstheme="minorHAnsi"/>
                      <w:b/>
                      <w:bCs/>
                      <w:noProof/>
                      <w:sz w:val="20"/>
                      <w:szCs w:val="20"/>
                      <w:vertAlign w:val="superscript"/>
                    </w:rPr>
                    <w:t>8-19, 23, 24,</w:t>
                  </w:r>
                  <w:r w:rsidR="003265B0">
                    <w:rPr>
                      <w:rFonts w:asciiTheme="minorHAnsi" w:hAnsiTheme="minorHAnsi" w:cstheme="minorHAnsi"/>
                      <w:b/>
                      <w:bCs/>
                      <w:noProof/>
                      <w:sz w:val="20"/>
                      <w:szCs w:val="20"/>
                      <w:vertAlign w:val="superscript"/>
                    </w:rPr>
                    <w:t xml:space="preserve"> 26-31</w:t>
                  </w:r>
                  <w:r w:rsidR="0002496E" w:rsidRPr="0002496E">
                    <w:rPr>
                      <w:rFonts w:asciiTheme="minorHAnsi" w:hAnsiTheme="minorHAnsi" w:cstheme="minorHAnsi"/>
                      <w:b/>
                      <w:bCs/>
                      <w:noProof/>
                      <w:sz w:val="20"/>
                      <w:szCs w:val="20"/>
                      <w:vertAlign w:val="superscript"/>
                    </w:rPr>
                    <w:t xml:space="preserve"> , 34-38, 50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0A7D" w:rsidRPr="00A21238" w:rsidRDefault="00120A7D" w:rsidP="00525241">
                  <w:pPr>
                    <w:jc w:val="center"/>
                    <w:rPr>
                      <w:rFonts w:asciiTheme="minorHAnsi" w:eastAsiaTheme="minorHAnsi" w:hAnsiTheme="minorHAnsi" w:cstheme="minorHAnsi"/>
                      <w:sz w:val="20"/>
                      <w:szCs w:val="20"/>
                    </w:rPr>
                  </w:pPr>
                  <w:r w:rsidRPr="00A21238">
                    <w:rPr>
                      <w:rFonts w:asciiTheme="minorHAnsi" w:hAnsiTheme="minorHAnsi" w:cstheme="minorHAnsi"/>
                      <w:sz w:val="20"/>
                      <w:szCs w:val="20"/>
                    </w:rPr>
                    <w:t>26(1425)</w:t>
                  </w:r>
                </w:p>
              </w:tc>
              <w:tc>
                <w:tcPr>
                  <w:tcW w:w="1800"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120A7D" w:rsidRPr="00A21238" w:rsidRDefault="00120A7D" w:rsidP="00525241">
                  <w:pPr>
                    <w:jc w:val="center"/>
                    <w:rPr>
                      <w:rFonts w:asciiTheme="minorHAnsi" w:eastAsiaTheme="minorHAnsi" w:hAnsiTheme="minorHAnsi" w:cstheme="minorHAnsi"/>
                      <w:sz w:val="20"/>
                      <w:szCs w:val="20"/>
                    </w:rPr>
                  </w:pPr>
                  <w:r w:rsidRPr="00A21238">
                    <w:rPr>
                      <w:rFonts w:asciiTheme="minorHAnsi" w:hAnsiTheme="minorHAnsi" w:cstheme="minorHAnsi"/>
                      <w:sz w:val="20"/>
                      <w:szCs w:val="20"/>
                    </w:rPr>
                    <w:t>1.81 [1.54, 2.13]</w:t>
                  </w:r>
                </w:p>
              </w:tc>
              <w:tc>
                <w:tcPr>
                  <w:tcW w:w="1980"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120A7D" w:rsidRPr="00A21238" w:rsidRDefault="00F60EE8" w:rsidP="00525241">
                  <w:pPr>
                    <w:jc w:val="center"/>
                    <w:rPr>
                      <w:rFonts w:asciiTheme="minorHAnsi" w:eastAsiaTheme="minorHAnsi" w:hAnsiTheme="minorHAnsi" w:cstheme="minorHAnsi"/>
                      <w:b/>
                      <w:bCs/>
                      <w:sz w:val="20"/>
                      <w:szCs w:val="20"/>
                      <w:vertAlign w:val="subscript"/>
                    </w:rPr>
                  </w:pPr>
                  <w:r w:rsidRPr="00A21238">
                    <w:rPr>
                      <w:rFonts w:asciiTheme="minorHAnsi" w:hAnsiTheme="minorHAnsi" w:cstheme="minorHAnsi"/>
                      <w:b/>
                      <w:bCs/>
                      <w:i/>
                      <w:sz w:val="20"/>
                      <w:szCs w:val="20"/>
                    </w:rPr>
                    <w:t>P</w:t>
                  </w:r>
                  <w:r w:rsidRPr="00A21238">
                    <w:rPr>
                      <w:rFonts w:asciiTheme="minorHAnsi" w:hAnsiTheme="minorHAnsi" w:cstheme="minorHAnsi"/>
                      <w:b/>
                      <w:bCs/>
                      <w:sz w:val="20"/>
                      <w:szCs w:val="20"/>
                    </w:rPr>
                    <w:t>&lt;.001</w:t>
                  </w:r>
                </w:p>
              </w:tc>
            </w:tr>
            <w:tr w:rsidR="00120A7D" w:rsidRPr="00A21238" w:rsidTr="00525241">
              <w:trPr>
                <w:trHeight w:val="27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0A7D" w:rsidRPr="00A21238" w:rsidRDefault="00120A7D" w:rsidP="003265B0">
                  <w:pPr>
                    <w:ind w:firstLine="357"/>
                    <w:rPr>
                      <w:rFonts w:asciiTheme="minorHAnsi" w:eastAsiaTheme="minorHAnsi" w:hAnsiTheme="minorHAnsi" w:cstheme="minorHAnsi"/>
                      <w:b/>
                      <w:bCs/>
                      <w:sz w:val="20"/>
                      <w:szCs w:val="20"/>
                    </w:rPr>
                  </w:pPr>
                  <w:r w:rsidRPr="00A21238">
                    <w:rPr>
                      <w:rFonts w:asciiTheme="minorHAnsi" w:hAnsiTheme="minorHAnsi" w:cstheme="minorHAnsi"/>
                      <w:b/>
                      <w:bCs/>
                      <w:sz w:val="20"/>
                      <w:szCs w:val="20"/>
                    </w:rPr>
                    <w:t>Male</w:t>
                  </w:r>
                  <w:r w:rsidR="0002496E" w:rsidRPr="0002496E">
                    <w:rPr>
                      <w:rFonts w:asciiTheme="minorHAnsi" w:hAnsiTheme="minorHAnsi" w:cstheme="minorHAnsi"/>
                      <w:b/>
                      <w:bCs/>
                      <w:noProof/>
                      <w:sz w:val="20"/>
                      <w:szCs w:val="20"/>
                      <w:vertAlign w:val="superscript"/>
                    </w:rPr>
                    <w:t xml:space="preserve">8-19, 23, 24, </w:t>
                  </w:r>
                  <w:r w:rsidR="003265B0">
                    <w:rPr>
                      <w:rFonts w:asciiTheme="minorHAnsi" w:hAnsiTheme="minorHAnsi" w:cstheme="minorHAnsi"/>
                      <w:b/>
                      <w:bCs/>
                      <w:noProof/>
                      <w:sz w:val="20"/>
                      <w:szCs w:val="20"/>
                      <w:vertAlign w:val="superscript"/>
                    </w:rPr>
                    <w:t>26-31</w:t>
                  </w:r>
                  <w:r w:rsidR="0002496E" w:rsidRPr="0002496E">
                    <w:rPr>
                      <w:rFonts w:asciiTheme="minorHAnsi" w:hAnsiTheme="minorHAnsi" w:cstheme="minorHAnsi"/>
                      <w:b/>
                      <w:bCs/>
                      <w:noProof/>
                      <w:sz w:val="20"/>
                      <w:szCs w:val="20"/>
                      <w:vertAlign w:val="superscript"/>
                    </w:rPr>
                    <w:t>, 34-38, 50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0A7D" w:rsidRPr="00A21238" w:rsidRDefault="00120A7D" w:rsidP="00525241">
                  <w:pPr>
                    <w:jc w:val="center"/>
                    <w:rPr>
                      <w:rFonts w:asciiTheme="minorHAnsi" w:eastAsiaTheme="minorHAnsi" w:hAnsiTheme="minorHAnsi" w:cstheme="minorHAnsi"/>
                      <w:sz w:val="20"/>
                      <w:szCs w:val="20"/>
                    </w:rPr>
                  </w:pPr>
                  <w:r w:rsidRPr="00A21238">
                    <w:rPr>
                      <w:rFonts w:asciiTheme="minorHAnsi" w:hAnsiTheme="minorHAnsi" w:cstheme="minorHAnsi"/>
                      <w:sz w:val="20"/>
                      <w:szCs w:val="20"/>
                    </w:rPr>
                    <w:t>26(1418)</w:t>
                  </w:r>
                </w:p>
              </w:tc>
              <w:tc>
                <w:tcPr>
                  <w:tcW w:w="1800" w:type="dxa"/>
                  <w:tcBorders>
                    <w:top w:val="nil"/>
                    <w:left w:val="nil"/>
                    <w:bottom w:val="single" w:sz="8" w:space="0" w:color="000000"/>
                    <w:right w:val="single" w:sz="8" w:space="0" w:color="auto"/>
                  </w:tcBorders>
                  <w:vAlign w:val="bottom"/>
                  <w:hideMark/>
                </w:tcPr>
                <w:p w:rsidR="00120A7D" w:rsidRPr="00A21238" w:rsidRDefault="00120A7D" w:rsidP="00525241">
                  <w:pPr>
                    <w:jc w:val="center"/>
                    <w:rPr>
                      <w:rFonts w:asciiTheme="minorHAnsi" w:eastAsiaTheme="minorHAnsi" w:hAnsiTheme="minorHAnsi" w:cstheme="minorHAnsi"/>
                      <w:sz w:val="20"/>
                      <w:szCs w:val="20"/>
                    </w:rPr>
                  </w:pPr>
                </w:p>
              </w:tc>
              <w:tc>
                <w:tcPr>
                  <w:tcW w:w="1980" w:type="dxa"/>
                  <w:tcBorders>
                    <w:top w:val="nil"/>
                    <w:left w:val="nil"/>
                    <w:bottom w:val="single" w:sz="8" w:space="0" w:color="000000"/>
                    <w:right w:val="single" w:sz="8" w:space="0" w:color="auto"/>
                  </w:tcBorders>
                  <w:vAlign w:val="bottom"/>
                  <w:hideMark/>
                </w:tcPr>
                <w:p w:rsidR="00120A7D" w:rsidRPr="00A21238" w:rsidRDefault="00120A7D" w:rsidP="00525241">
                  <w:pPr>
                    <w:jc w:val="center"/>
                    <w:rPr>
                      <w:rFonts w:asciiTheme="minorHAnsi" w:eastAsiaTheme="minorHAnsi" w:hAnsiTheme="minorHAnsi" w:cstheme="minorHAnsi"/>
                      <w:b/>
                      <w:bCs/>
                      <w:sz w:val="20"/>
                      <w:szCs w:val="20"/>
                      <w:vertAlign w:val="subscript"/>
                    </w:rPr>
                  </w:pPr>
                </w:p>
              </w:tc>
            </w:tr>
            <w:tr w:rsidR="00120A7D" w:rsidRPr="00A21238" w:rsidTr="00817982">
              <w:trPr>
                <w:trHeight w:val="270"/>
              </w:trPr>
              <w:tc>
                <w:tcPr>
                  <w:tcW w:w="334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20A7D" w:rsidRPr="00A21238" w:rsidRDefault="00120A7D">
                  <w:pPr>
                    <w:rPr>
                      <w:rFonts w:asciiTheme="minorHAnsi" w:eastAsiaTheme="minorHAnsi" w:hAnsiTheme="minorHAnsi" w:cstheme="minorHAnsi"/>
                      <w:b/>
                      <w:bCs/>
                      <w:sz w:val="20"/>
                      <w:szCs w:val="20"/>
                    </w:rPr>
                  </w:pPr>
                  <w:r w:rsidRPr="00A21238">
                    <w:rPr>
                      <w:rFonts w:asciiTheme="minorHAnsi" w:hAnsiTheme="minorHAnsi" w:cstheme="minorHAnsi"/>
                      <w:b/>
                      <w:bCs/>
                      <w:sz w:val="20"/>
                      <w:szCs w:val="20"/>
                    </w:rPr>
                    <w:t>Smoking</w:t>
                  </w:r>
                </w:p>
              </w:tc>
              <w:tc>
                <w:tcPr>
                  <w:tcW w:w="16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20A7D" w:rsidRPr="00A21238" w:rsidRDefault="00120A7D" w:rsidP="00525241">
                  <w:pPr>
                    <w:jc w:val="center"/>
                    <w:rPr>
                      <w:rFonts w:asciiTheme="minorHAnsi" w:eastAsiaTheme="minorHAnsi" w:hAnsiTheme="minorHAnsi" w:cstheme="minorHAnsi"/>
                      <w:sz w:val="20"/>
                      <w:szCs w:val="20"/>
                    </w:rPr>
                  </w:pPr>
                </w:p>
              </w:tc>
              <w:tc>
                <w:tcPr>
                  <w:tcW w:w="18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20A7D" w:rsidRPr="00A21238" w:rsidRDefault="00120A7D" w:rsidP="00525241">
                  <w:pPr>
                    <w:jc w:val="center"/>
                    <w:rPr>
                      <w:rFonts w:asciiTheme="minorHAnsi" w:eastAsiaTheme="minorHAnsi" w:hAnsiTheme="minorHAnsi" w:cstheme="minorHAnsi"/>
                      <w:sz w:val="20"/>
                      <w:szCs w:val="20"/>
                    </w:rPr>
                  </w:pPr>
                </w:p>
              </w:tc>
              <w:tc>
                <w:tcPr>
                  <w:tcW w:w="19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20A7D" w:rsidRPr="00A21238" w:rsidRDefault="00120A7D" w:rsidP="00525241">
                  <w:pPr>
                    <w:jc w:val="center"/>
                    <w:rPr>
                      <w:rFonts w:asciiTheme="minorHAnsi" w:eastAsiaTheme="minorHAnsi" w:hAnsiTheme="minorHAnsi" w:cstheme="minorHAnsi"/>
                      <w:sz w:val="20"/>
                      <w:szCs w:val="20"/>
                    </w:rPr>
                  </w:pPr>
                </w:p>
              </w:tc>
            </w:tr>
            <w:tr w:rsidR="00120A7D" w:rsidRPr="00A21238" w:rsidTr="00525241">
              <w:trPr>
                <w:trHeight w:val="27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0A7D" w:rsidRPr="00A21238" w:rsidRDefault="00120A7D" w:rsidP="003265B0">
                  <w:pPr>
                    <w:ind w:firstLine="357"/>
                    <w:rPr>
                      <w:rFonts w:asciiTheme="minorHAnsi" w:eastAsiaTheme="minorHAnsi" w:hAnsiTheme="minorHAnsi" w:cstheme="minorHAnsi"/>
                      <w:b/>
                      <w:bCs/>
                      <w:sz w:val="20"/>
                      <w:szCs w:val="20"/>
                    </w:rPr>
                  </w:pPr>
                  <w:r w:rsidRPr="00A21238">
                    <w:rPr>
                      <w:rFonts w:asciiTheme="minorHAnsi" w:hAnsiTheme="minorHAnsi" w:cstheme="minorHAnsi"/>
                      <w:b/>
                      <w:bCs/>
                      <w:sz w:val="20"/>
                      <w:szCs w:val="20"/>
                    </w:rPr>
                    <w:t>Never</w:t>
                  </w:r>
                  <w:r w:rsidR="0002496E" w:rsidRPr="0002496E">
                    <w:rPr>
                      <w:rFonts w:asciiTheme="minorHAnsi" w:hAnsiTheme="minorHAnsi" w:cstheme="minorHAnsi"/>
                      <w:b/>
                      <w:bCs/>
                      <w:noProof/>
                      <w:sz w:val="20"/>
                      <w:szCs w:val="20"/>
                      <w:vertAlign w:val="superscript"/>
                    </w:rPr>
                    <w:t>8-12, 15-19, 23, 24, 26, 28</w:t>
                  </w:r>
                  <w:r w:rsidR="003265B0">
                    <w:rPr>
                      <w:rFonts w:asciiTheme="minorHAnsi" w:hAnsiTheme="minorHAnsi" w:cstheme="minorHAnsi"/>
                      <w:b/>
                      <w:bCs/>
                      <w:noProof/>
                      <w:sz w:val="20"/>
                      <w:szCs w:val="20"/>
                      <w:vertAlign w:val="superscript"/>
                    </w:rPr>
                    <w:t>-30</w:t>
                  </w:r>
                  <w:r w:rsidR="0002496E" w:rsidRPr="0002496E">
                    <w:rPr>
                      <w:rFonts w:asciiTheme="minorHAnsi" w:hAnsiTheme="minorHAnsi" w:cstheme="minorHAnsi"/>
                      <w:b/>
                      <w:bCs/>
                      <w:noProof/>
                      <w:sz w:val="20"/>
                      <w:szCs w:val="20"/>
                      <w:vertAlign w:val="superscript"/>
                    </w:rPr>
                    <w:t>, 34-38, 50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0A7D" w:rsidRPr="00A21238" w:rsidRDefault="00120A7D" w:rsidP="00525241">
                  <w:pPr>
                    <w:jc w:val="center"/>
                    <w:rPr>
                      <w:rFonts w:asciiTheme="minorHAnsi" w:eastAsiaTheme="minorHAnsi" w:hAnsiTheme="minorHAnsi" w:cstheme="minorHAnsi"/>
                      <w:sz w:val="20"/>
                      <w:szCs w:val="20"/>
                    </w:rPr>
                  </w:pPr>
                  <w:r w:rsidRPr="00A21238">
                    <w:rPr>
                      <w:rFonts w:asciiTheme="minorHAnsi" w:hAnsiTheme="minorHAnsi" w:cstheme="minorHAnsi"/>
                      <w:sz w:val="20"/>
                      <w:szCs w:val="20"/>
                    </w:rPr>
                    <w:t>22(1442)</w:t>
                  </w:r>
                </w:p>
              </w:tc>
              <w:tc>
                <w:tcPr>
                  <w:tcW w:w="1800"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120A7D" w:rsidRPr="00A21238" w:rsidRDefault="00120A7D" w:rsidP="00525241">
                  <w:pPr>
                    <w:jc w:val="center"/>
                    <w:rPr>
                      <w:rFonts w:asciiTheme="minorHAnsi" w:eastAsiaTheme="minorHAnsi" w:hAnsiTheme="minorHAnsi" w:cstheme="minorHAnsi"/>
                      <w:sz w:val="20"/>
                      <w:szCs w:val="20"/>
                    </w:rPr>
                  </w:pPr>
                  <w:r w:rsidRPr="00A21238">
                    <w:rPr>
                      <w:rFonts w:asciiTheme="minorHAnsi" w:hAnsiTheme="minorHAnsi" w:cstheme="minorHAnsi"/>
                      <w:sz w:val="20"/>
                      <w:szCs w:val="20"/>
                    </w:rPr>
                    <w:t>2.27 [1.84, 2.79]</w:t>
                  </w:r>
                </w:p>
              </w:tc>
              <w:tc>
                <w:tcPr>
                  <w:tcW w:w="1980"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120A7D" w:rsidRPr="00A21238" w:rsidRDefault="00F60EE8" w:rsidP="00525241">
                  <w:pPr>
                    <w:jc w:val="center"/>
                    <w:rPr>
                      <w:rFonts w:asciiTheme="minorHAnsi" w:eastAsiaTheme="minorHAnsi" w:hAnsiTheme="minorHAnsi" w:cstheme="minorHAnsi"/>
                      <w:b/>
                      <w:bCs/>
                      <w:sz w:val="20"/>
                      <w:szCs w:val="20"/>
                      <w:vertAlign w:val="subscript"/>
                    </w:rPr>
                  </w:pPr>
                  <w:r w:rsidRPr="00A21238">
                    <w:rPr>
                      <w:rFonts w:asciiTheme="minorHAnsi" w:hAnsiTheme="minorHAnsi" w:cstheme="minorHAnsi"/>
                      <w:b/>
                      <w:bCs/>
                      <w:i/>
                      <w:sz w:val="20"/>
                      <w:szCs w:val="20"/>
                    </w:rPr>
                    <w:t>P</w:t>
                  </w:r>
                  <w:r w:rsidRPr="00A21238">
                    <w:rPr>
                      <w:rFonts w:asciiTheme="minorHAnsi" w:hAnsiTheme="minorHAnsi" w:cstheme="minorHAnsi"/>
                      <w:b/>
                      <w:bCs/>
                      <w:sz w:val="20"/>
                      <w:szCs w:val="20"/>
                    </w:rPr>
                    <w:t>&lt;.001</w:t>
                  </w:r>
                </w:p>
              </w:tc>
            </w:tr>
            <w:tr w:rsidR="00120A7D" w:rsidRPr="00A21238" w:rsidTr="00525241">
              <w:trPr>
                <w:trHeight w:val="27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0A7D" w:rsidRPr="00A21238" w:rsidRDefault="00120A7D" w:rsidP="003265B0">
                  <w:pPr>
                    <w:ind w:firstLine="357"/>
                    <w:rPr>
                      <w:rFonts w:asciiTheme="minorHAnsi" w:eastAsiaTheme="minorHAnsi" w:hAnsiTheme="minorHAnsi" w:cstheme="minorHAnsi"/>
                      <w:b/>
                      <w:bCs/>
                      <w:sz w:val="20"/>
                      <w:szCs w:val="20"/>
                    </w:rPr>
                  </w:pPr>
                  <w:r w:rsidRPr="00A21238">
                    <w:rPr>
                      <w:rFonts w:asciiTheme="minorHAnsi" w:hAnsiTheme="minorHAnsi" w:cstheme="minorHAnsi"/>
                      <w:b/>
                      <w:bCs/>
                      <w:sz w:val="20"/>
                      <w:szCs w:val="20"/>
                    </w:rPr>
                    <w:t>Ever</w:t>
                  </w:r>
                  <w:r w:rsidR="0002496E" w:rsidRPr="0002496E">
                    <w:rPr>
                      <w:rFonts w:asciiTheme="minorHAnsi" w:hAnsiTheme="minorHAnsi" w:cstheme="minorHAnsi"/>
                      <w:b/>
                      <w:bCs/>
                      <w:noProof/>
                      <w:sz w:val="20"/>
                      <w:szCs w:val="20"/>
                      <w:vertAlign w:val="superscript"/>
                    </w:rPr>
                    <w:t>8-12, 15-19, 23, 24, 26, 28</w:t>
                  </w:r>
                  <w:r w:rsidR="003265B0">
                    <w:rPr>
                      <w:rFonts w:asciiTheme="minorHAnsi" w:hAnsiTheme="minorHAnsi" w:cstheme="minorHAnsi"/>
                      <w:b/>
                      <w:bCs/>
                      <w:noProof/>
                      <w:sz w:val="20"/>
                      <w:szCs w:val="20"/>
                      <w:vertAlign w:val="superscript"/>
                    </w:rPr>
                    <w:t>-30</w:t>
                  </w:r>
                  <w:r w:rsidR="0002496E" w:rsidRPr="0002496E">
                    <w:rPr>
                      <w:rFonts w:asciiTheme="minorHAnsi" w:hAnsiTheme="minorHAnsi" w:cstheme="minorHAnsi"/>
                      <w:b/>
                      <w:bCs/>
                      <w:noProof/>
                      <w:sz w:val="20"/>
                      <w:szCs w:val="20"/>
                      <w:vertAlign w:val="superscript"/>
                    </w:rPr>
                    <w:t>, 34-38, 50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0A7D" w:rsidRPr="00A21238" w:rsidRDefault="00120A7D" w:rsidP="00525241">
                  <w:pPr>
                    <w:jc w:val="center"/>
                    <w:rPr>
                      <w:rFonts w:asciiTheme="minorHAnsi" w:eastAsiaTheme="minorHAnsi" w:hAnsiTheme="minorHAnsi" w:cstheme="minorHAnsi"/>
                      <w:sz w:val="20"/>
                      <w:szCs w:val="20"/>
                    </w:rPr>
                  </w:pPr>
                  <w:r w:rsidRPr="00A21238">
                    <w:rPr>
                      <w:rFonts w:asciiTheme="minorHAnsi" w:hAnsiTheme="minorHAnsi" w:cstheme="minorHAnsi"/>
                      <w:sz w:val="20"/>
                      <w:szCs w:val="20"/>
                    </w:rPr>
                    <w:t>22(1032)</w:t>
                  </w:r>
                </w:p>
              </w:tc>
              <w:tc>
                <w:tcPr>
                  <w:tcW w:w="1800" w:type="dxa"/>
                  <w:tcBorders>
                    <w:top w:val="nil"/>
                    <w:left w:val="nil"/>
                    <w:bottom w:val="single" w:sz="8" w:space="0" w:color="000000"/>
                    <w:right w:val="single" w:sz="8" w:space="0" w:color="auto"/>
                  </w:tcBorders>
                  <w:vAlign w:val="bottom"/>
                  <w:hideMark/>
                </w:tcPr>
                <w:p w:rsidR="00120A7D" w:rsidRPr="00A21238" w:rsidRDefault="00120A7D" w:rsidP="00525241">
                  <w:pPr>
                    <w:jc w:val="center"/>
                    <w:rPr>
                      <w:rFonts w:asciiTheme="minorHAnsi" w:eastAsiaTheme="minorHAnsi" w:hAnsiTheme="minorHAnsi" w:cstheme="minorHAnsi"/>
                      <w:sz w:val="20"/>
                      <w:szCs w:val="20"/>
                    </w:rPr>
                  </w:pPr>
                </w:p>
              </w:tc>
              <w:tc>
                <w:tcPr>
                  <w:tcW w:w="1980" w:type="dxa"/>
                  <w:tcBorders>
                    <w:top w:val="nil"/>
                    <w:left w:val="nil"/>
                    <w:bottom w:val="single" w:sz="8" w:space="0" w:color="000000"/>
                    <w:right w:val="single" w:sz="8" w:space="0" w:color="auto"/>
                  </w:tcBorders>
                  <w:vAlign w:val="bottom"/>
                  <w:hideMark/>
                </w:tcPr>
                <w:p w:rsidR="00120A7D" w:rsidRPr="00A21238" w:rsidRDefault="00120A7D" w:rsidP="00525241">
                  <w:pPr>
                    <w:jc w:val="center"/>
                    <w:rPr>
                      <w:rFonts w:asciiTheme="minorHAnsi" w:eastAsiaTheme="minorHAnsi" w:hAnsiTheme="minorHAnsi" w:cstheme="minorHAnsi"/>
                      <w:b/>
                      <w:bCs/>
                      <w:sz w:val="20"/>
                      <w:szCs w:val="20"/>
                      <w:vertAlign w:val="subscript"/>
                    </w:rPr>
                  </w:pPr>
                </w:p>
              </w:tc>
            </w:tr>
            <w:tr w:rsidR="00120A7D" w:rsidRPr="00A21238" w:rsidTr="00817982">
              <w:trPr>
                <w:trHeight w:val="270"/>
              </w:trPr>
              <w:tc>
                <w:tcPr>
                  <w:tcW w:w="334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20A7D" w:rsidRPr="00A21238" w:rsidRDefault="00120A7D">
                  <w:pPr>
                    <w:rPr>
                      <w:rFonts w:asciiTheme="minorHAnsi" w:eastAsiaTheme="minorHAnsi" w:hAnsiTheme="minorHAnsi" w:cstheme="minorHAnsi"/>
                      <w:b/>
                      <w:bCs/>
                      <w:sz w:val="20"/>
                      <w:szCs w:val="20"/>
                    </w:rPr>
                  </w:pPr>
                  <w:r w:rsidRPr="00A21238">
                    <w:rPr>
                      <w:rFonts w:asciiTheme="minorHAnsi" w:hAnsiTheme="minorHAnsi" w:cstheme="minorHAnsi"/>
                      <w:b/>
                      <w:bCs/>
                      <w:sz w:val="20"/>
                      <w:szCs w:val="20"/>
                    </w:rPr>
                    <w:t>Histology</w:t>
                  </w:r>
                </w:p>
              </w:tc>
              <w:tc>
                <w:tcPr>
                  <w:tcW w:w="16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20A7D" w:rsidRPr="00A21238" w:rsidRDefault="00120A7D" w:rsidP="00525241">
                  <w:pPr>
                    <w:jc w:val="center"/>
                    <w:rPr>
                      <w:rFonts w:asciiTheme="minorHAnsi" w:eastAsiaTheme="minorHAnsi" w:hAnsiTheme="minorHAnsi" w:cstheme="minorHAnsi"/>
                      <w:sz w:val="20"/>
                      <w:szCs w:val="20"/>
                    </w:rPr>
                  </w:pPr>
                </w:p>
              </w:tc>
              <w:tc>
                <w:tcPr>
                  <w:tcW w:w="18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20A7D" w:rsidRPr="00A21238" w:rsidRDefault="00120A7D" w:rsidP="00525241">
                  <w:pPr>
                    <w:jc w:val="center"/>
                    <w:rPr>
                      <w:rFonts w:asciiTheme="minorHAnsi" w:eastAsiaTheme="minorEastAsia" w:hAnsiTheme="minorHAnsi" w:cstheme="minorHAnsi"/>
                      <w:sz w:val="20"/>
                      <w:szCs w:val="20"/>
                    </w:rPr>
                  </w:pPr>
                </w:p>
              </w:tc>
              <w:tc>
                <w:tcPr>
                  <w:tcW w:w="19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20A7D" w:rsidRPr="00A21238" w:rsidRDefault="00120A7D" w:rsidP="00525241">
                  <w:pPr>
                    <w:jc w:val="center"/>
                    <w:rPr>
                      <w:rFonts w:asciiTheme="minorHAnsi" w:eastAsiaTheme="minorEastAsia" w:hAnsiTheme="minorHAnsi" w:cstheme="minorHAnsi"/>
                      <w:sz w:val="20"/>
                      <w:szCs w:val="20"/>
                    </w:rPr>
                  </w:pPr>
                </w:p>
              </w:tc>
            </w:tr>
            <w:tr w:rsidR="00120A7D" w:rsidRPr="00A21238" w:rsidTr="00525241">
              <w:trPr>
                <w:cantSplit/>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0A7D" w:rsidRPr="00A21238" w:rsidRDefault="00120A7D" w:rsidP="0002496E">
                  <w:pPr>
                    <w:ind w:firstLine="357"/>
                    <w:rPr>
                      <w:rFonts w:asciiTheme="minorHAnsi" w:eastAsiaTheme="minorHAnsi" w:hAnsiTheme="minorHAnsi" w:cstheme="minorHAnsi"/>
                      <w:b/>
                      <w:bCs/>
                      <w:sz w:val="20"/>
                      <w:szCs w:val="20"/>
                    </w:rPr>
                  </w:pPr>
                  <w:r w:rsidRPr="00A21238">
                    <w:rPr>
                      <w:rFonts w:asciiTheme="minorHAnsi" w:hAnsiTheme="minorHAnsi" w:cstheme="minorHAnsi"/>
                      <w:b/>
                      <w:bCs/>
                      <w:sz w:val="20"/>
                      <w:szCs w:val="20"/>
                    </w:rPr>
                    <w:t>Adenocarcinoma</w:t>
                  </w:r>
                  <w:r w:rsidR="0002496E" w:rsidRPr="0002496E">
                    <w:rPr>
                      <w:rFonts w:asciiTheme="minorHAnsi" w:hAnsiTheme="minorHAnsi" w:cstheme="minorHAnsi"/>
                      <w:b/>
                      <w:bCs/>
                      <w:noProof/>
                      <w:sz w:val="20"/>
                      <w:szCs w:val="20"/>
                      <w:vertAlign w:val="superscript"/>
                    </w:rPr>
                    <w:t>12, 17, 28, 31, 34-36, 50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0A7D" w:rsidRPr="00A21238" w:rsidRDefault="00120A7D" w:rsidP="00525241">
                  <w:pPr>
                    <w:jc w:val="center"/>
                    <w:rPr>
                      <w:rFonts w:asciiTheme="minorHAnsi" w:eastAsiaTheme="minorHAnsi" w:hAnsiTheme="minorHAnsi" w:cstheme="minorHAnsi"/>
                      <w:sz w:val="20"/>
                      <w:szCs w:val="20"/>
                    </w:rPr>
                  </w:pPr>
                  <w:r w:rsidRPr="00A21238">
                    <w:rPr>
                      <w:rFonts w:asciiTheme="minorHAnsi" w:hAnsiTheme="minorHAnsi" w:cstheme="minorHAnsi"/>
                      <w:sz w:val="20"/>
                      <w:szCs w:val="20"/>
                    </w:rPr>
                    <w:t>8(469)</w:t>
                  </w:r>
                </w:p>
              </w:tc>
              <w:tc>
                <w:tcPr>
                  <w:tcW w:w="1800" w:type="dxa"/>
                  <w:tcBorders>
                    <w:top w:val="nil"/>
                    <w:left w:val="nil"/>
                    <w:bottom w:val="single" w:sz="8" w:space="0" w:color="000000"/>
                    <w:right w:val="single" w:sz="8" w:space="0" w:color="auto"/>
                  </w:tcBorders>
                  <w:shd w:val="clear" w:color="auto" w:fill="FFFFFF"/>
                  <w:vAlign w:val="bottom"/>
                </w:tcPr>
                <w:p w:rsidR="00120A7D" w:rsidRPr="00A21238" w:rsidRDefault="00120A7D" w:rsidP="00525241">
                  <w:pPr>
                    <w:ind w:firstLine="90"/>
                    <w:jc w:val="center"/>
                    <w:rPr>
                      <w:rFonts w:asciiTheme="minorHAnsi" w:eastAsiaTheme="minorHAnsi" w:hAnsiTheme="minorHAnsi" w:cstheme="minorHAnsi"/>
                      <w:sz w:val="20"/>
                      <w:szCs w:val="20"/>
                    </w:rPr>
                  </w:pPr>
                  <w:r w:rsidRPr="00A21238">
                    <w:rPr>
                      <w:rFonts w:asciiTheme="minorHAnsi" w:hAnsiTheme="minorHAnsi" w:cstheme="minorHAnsi"/>
                      <w:sz w:val="20"/>
                      <w:szCs w:val="20"/>
                    </w:rPr>
                    <w:t>4.73 [2.21, 10.09]</w:t>
                  </w:r>
                </w:p>
              </w:tc>
              <w:tc>
                <w:tcPr>
                  <w:tcW w:w="1980" w:type="dxa"/>
                  <w:tcBorders>
                    <w:top w:val="nil"/>
                    <w:left w:val="nil"/>
                    <w:bottom w:val="single" w:sz="8" w:space="0" w:color="000000"/>
                    <w:right w:val="single" w:sz="8" w:space="0" w:color="auto"/>
                  </w:tcBorders>
                  <w:shd w:val="clear" w:color="auto" w:fill="FFFFFF"/>
                  <w:vAlign w:val="bottom"/>
                </w:tcPr>
                <w:p w:rsidR="00120A7D" w:rsidRPr="00A21238" w:rsidRDefault="00F60EE8" w:rsidP="00525241">
                  <w:pPr>
                    <w:ind w:firstLine="90"/>
                    <w:jc w:val="center"/>
                    <w:rPr>
                      <w:rFonts w:asciiTheme="minorHAnsi" w:eastAsiaTheme="minorHAnsi" w:hAnsiTheme="minorHAnsi" w:cstheme="minorHAnsi"/>
                      <w:b/>
                      <w:bCs/>
                      <w:sz w:val="20"/>
                      <w:szCs w:val="20"/>
                      <w:vertAlign w:val="subscript"/>
                    </w:rPr>
                  </w:pPr>
                  <w:r w:rsidRPr="00A21238">
                    <w:rPr>
                      <w:rFonts w:asciiTheme="minorHAnsi" w:hAnsiTheme="minorHAnsi" w:cstheme="minorHAnsi"/>
                      <w:b/>
                      <w:bCs/>
                      <w:i/>
                      <w:sz w:val="20"/>
                      <w:szCs w:val="20"/>
                    </w:rPr>
                    <w:t>P</w:t>
                  </w:r>
                  <w:r w:rsidRPr="00A21238">
                    <w:rPr>
                      <w:rFonts w:asciiTheme="minorHAnsi" w:hAnsiTheme="minorHAnsi" w:cstheme="minorHAnsi"/>
                      <w:b/>
                      <w:bCs/>
                      <w:sz w:val="20"/>
                      <w:szCs w:val="20"/>
                    </w:rPr>
                    <w:t>&lt;.001</w:t>
                  </w:r>
                </w:p>
              </w:tc>
            </w:tr>
            <w:tr w:rsidR="00120A7D" w:rsidRPr="00A21238" w:rsidTr="00525241">
              <w:trPr>
                <w:trHeight w:val="277"/>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0A7D" w:rsidRPr="00A21238" w:rsidRDefault="00120A7D" w:rsidP="0002496E">
                  <w:pPr>
                    <w:ind w:firstLine="357"/>
                    <w:rPr>
                      <w:rFonts w:asciiTheme="minorHAnsi" w:eastAsiaTheme="minorHAnsi" w:hAnsiTheme="minorHAnsi" w:cstheme="minorHAnsi"/>
                      <w:b/>
                      <w:bCs/>
                      <w:sz w:val="20"/>
                      <w:szCs w:val="20"/>
                    </w:rPr>
                  </w:pPr>
                  <w:r w:rsidRPr="00A21238">
                    <w:rPr>
                      <w:rFonts w:asciiTheme="minorHAnsi" w:hAnsiTheme="minorHAnsi" w:cstheme="minorHAnsi"/>
                      <w:b/>
                      <w:bCs/>
                      <w:sz w:val="20"/>
                      <w:szCs w:val="20"/>
                    </w:rPr>
                    <w:t>Squamous</w:t>
                  </w:r>
                  <w:r w:rsidR="0002496E" w:rsidRPr="0002496E">
                    <w:rPr>
                      <w:rFonts w:asciiTheme="minorHAnsi" w:hAnsiTheme="minorHAnsi" w:cstheme="minorHAnsi"/>
                      <w:b/>
                      <w:bCs/>
                      <w:noProof/>
                      <w:sz w:val="20"/>
                      <w:szCs w:val="20"/>
                      <w:vertAlign w:val="superscript"/>
                    </w:rPr>
                    <w:t>12, 17, 28, 31, 34-36, 50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0A7D" w:rsidRPr="00A21238" w:rsidRDefault="00120A7D" w:rsidP="00525241">
                  <w:pPr>
                    <w:jc w:val="center"/>
                    <w:rPr>
                      <w:rFonts w:asciiTheme="minorHAnsi" w:eastAsiaTheme="minorHAnsi" w:hAnsiTheme="minorHAnsi" w:cstheme="minorHAnsi"/>
                      <w:sz w:val="20"/>
                      <w:szCs w:val="20"/>
                    </w:rPr>
                  </w:pPr>
                  <w:r w:rsidRPr="00A21238">
                    <w:rPr>
                      <w:rFonts w:asciiTheme="minorHAnsi" w:hAnsiTheme="minorHAnsi" w:cstheme="minorHAnsi"/>
                      <w:sz w:val="20"/>
                      <w:szCs w:val="20"/>
                    </w:rPr>
                    <w:t>8(168)</w:t>
                  </w:r>
                </w:p>
              </w:tc>
              <w:tc>
                <w:tcPr>
                  <w:tcW w:w="1800" w:type="dxa"/>
                  <w:tcBorders>
                    <w:top w:val="nil"/>
                    <w:left w:val="nil"/>
                    <w:bottom w:val="single" w:sz="8" w:space="0" w:color="000000"/>
                    <w:right w:val="single" w:sz="8" w:space="0" w:color="auto"/>
                  </w:tcBorders>
                  <w:shd w:val="clear" w:color="auto" w:fill="FFFFFF"/>
                  <w:vAlign w:val="bottom"/>
                  <w:hideMark/>
                </w:tcPr>
                <w:p w:rsidR="00120A7D" w:rsidRPr="00A21238" w:rsidRDefault="00120A7D" w:rsidP="00525241">
                  <w:pPr>
                    <w:jc w:val="center"/>
                    <w:rPr>
                      <w:rFonts w:asciiTheme="minorHAnsi" w:eastAsiaTheme="minorHAnsi" w:hAnsiTheme="minorHAnsi" w:cstheme="minorHAnsi"/>
                      <w:sz w:val="20"/>
                      <w:szCs w:val="20"/>
                    </w:rPr>
                  </w:pPr>
                </w:p>
              </w:tc>
              <w:tc>
                <w:tcPr>
                  <w:tcW w:w="1980" w:type="dxa"/>
                  <w:tcBorders>
                    <w:top w:val="nil"/>
                    <w:left w:val="nil"/>
                    <w:bottom w:val="single" w:sz="8" w:space="0" w:color="000000"/>
                    <w:right w:val="single" w:sz="8" w:space="0" w:color="auto"/>
                  </w:tcBorders>
                  <w:shd w:val="clear" w:color="auto" w:fill="FFFFFF"/>
                  <w:vAlign w:val="bottom"/>
                  <w:hideMark/>
                </w:tcPr>
                <w:p w:rsidR="00120A7D" w:rsidRPr="00A21238" w:rsidRDefault="00120A7D" w:rsidP="00525241">
                  <w:pPr>
                    <w:jc w:val="center"/>
                    <w:rPr>
                      <w:rFonts w:asciiTheme="minorHAnsi" w:eastAsiaTheme="minorHAnsi" w:hAnsiTheme="minorHAnsi" w:cstheme="minorHAnsi"/>
                      <w:sz w:val="20"/>
                      <w:szCs w:val="20"/>
                    </w:rPr>
                  </w:pPr>
                </w:p>
              </w:tc>
            </w:tr>
            <w:tr w:rsidR="00120A7D" w:rsidRPr="00A21238" w:rsidTr="00817982">
              <w:trPr>
                <w:trHeight w:val="270"/>
              </w:trPr>
              <w:tc>
                <w:tcPr>
                  <w:tcW w:w="334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20A7D" w:rsidRPr="00A21238" w:rsidRDefault="00120A7D">
                  <w:pPr>
                    <w:rPr>
                      <w:rFonts w:asciiTheme="minorHAnsi" w:eastAsiaTheme="minorHAnsi" w:hAnsiTheme="minorHAnsi" w:cstheme="minorHAnsi"/>
                      <w:b/>
                      <w:bCs/>
                      <w:sz w:val="20"/>
                      <w:szCs w:val="20"/>
                    </w:rPr>
                  </w:pPr>
                  <w:r w:rsidRPr="00A21238">
                    <w:rPr>
                      <w:rFonts w:asciiTheme="minorHAnsi" w:hAnsiTheme="minorHAnsi" w:cstheme="minorHAnsi"/>
                      <w:b/>
                      <w:bCs/>
                      <w:sz w:val="20"/>
                      <w:szCs w:val="20"/>
                    </w:rPr>
                    <w:t>Differentiation-Two grades</w:t>
                  </w:r>
                </w:p>
              </w:tc>
              <w:tc>
                <w:tcPr>
                  <w:tcW w:w="16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20A7D" w:rsidRPr="00A21238" w:rsidRDefault="00120A7D" w:rsidP="00525241">
                  <w:pPr>
                    <w:jc w:val="center"/>
                    <w:rPr>
                      <w:rFonts w:asciiTheme="minorHAnsi" w:eastAsiaTheme="minorHAnsi" w:hAnsiTheme="minorHAnsi" w:cstheme="minorHAnsi"/>
                      <w:sz w:val="20"/>
                      <w:szCs w:val="20"/>
                    </w:rPr>
                  </w:pPr>
                </w:p>
              </w:tc>
              <w:tc>
                <w:tcPr>
                  <w:tcW w:w="18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20A7D" w:rsidRPr="00A21238" w:rsidRDefault="00120A7D" w:rsidP="00525241">
                  <w:pPr>
                    <w:jc w:val="center"/>
                    <w:rPr>
                      <w:rFonts w:asciiTheme="minorHAnsi" w:eastAsiaTheme="minorEastAsia" w:hAnsiTheme="minorHAnsi" w:cstheme="minorHAnsi"/>
                      <w:sz w:val="20"/>
                      <w:szCs w:val="20"/>
                    </w:rPr>
                  </w:pPr>
                </w:p>
              </w:tc>
              <w:tc>
                <w:tcPr>
                  <w:tcW w:w="19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20A7D" w:rsidRPr="00A21238" w:rsidRDefault="00120A7D" w:rsidP="00525241">
                  <w:pPr>
                    <w:jc w:val="center"/>
                    <w:rPr>
                      <w:rFonts w:asciiTheme="minorHAnsi" w:eastAsiaTheme="minorEastAsia" w:hAnsiTheme="minorHAnsi" w:cstheme="minorHAnsi"/>
                      <w:sz w:val="20"/>
                      <w:szCs w:val="20"/>
                    </w:rPr>
                  </w:pPr>
                </w:p>
              </w:tc>
            </w:tr>
            <w:tr w:rsidR="00120A7D" w:rsidRPr="00A21238" w:rsidTr="00525241">
              <w:trPr>
                <w:trHeight w:val="27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0A7D" w:rsidRPr="00A21238" w:rsidRDefault="00120A7D" w:rsidP="0002496E">
                  <w:pPr>
                    <w:ind w:firstLine="357"/>
                    <w:rPr>
                      <w:rFonts w:asciiTheme="minorHAnsi" w:eastAsiaTheme="minorHAnsi" w:hAnsiTheme="minorHAnsi" w:cstheme="minorHAnsi"/>
                      <w:b/>
                      <w:bCs/>
                      <w:sz w:val="20"/>
                      <w:szCs w:val="20"/>
                    </w:rPr>
                  </w:pPr>
                  <w:r w:rsidRPr="00A21238">
                    <w:rPr>
                      <w:rFonts w:asciiTheme="minorHAnsi" w:hAnsiTheme="minorHAnsi" w:cstheme="minorHAnsi"/>
                      <w:b/>
                      <w:bCs/>
                      <w:sz w:val="20"/>
                      <w:szCs w:val="20"/>
                    </w:rPr>
                    <w:t>Well</w:t>
                  </w:r>
                  <w:r w:rsidR="0002496E" w:rsidRPr="0002496E">
                    <w:rPr>
                      <w:rFonts w:asciiTheme="minorHAnsi" w:hAnsiTheme="minorHAnsi" w:cstheme="minorHAnsi"/>
                      <w:b/>
                      <w:bCs/>
                      <w:noProof/>
                      <w:sz w:val="20"/>
                      <w:szCs w:val="20"/>
                      <w:vertAlign w:val="superscript"/>
                    </w:rPr>
                    <w:t>19, 51, 52</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0A7D" w:rsidRPr="00A21238" w:rsidRDefault="00120A7D" w:rsidP="00525241">
                  <w:pPr>
                    <w:jc w:val="center"/>
                    <w:rPr>
                      <w:rFonts w:asciiTheme="minorHAnsi" w:eastAsiaTheme="minorHAnsi" w:hAnsiTheme="minorHAnsi" w:cstheme="minorHAnsi"/>
                      <w:sz w:val="20"/>
                      <w:szCs w:val="20"/>
                    </w:rPr>
                  </w:pPr>
                  <w:r w:rsidRPr="00A21238">
                    <w:rPr>
                      <w:rFonts w:asciiTheme="minorHAnsi" w:hAnsiTheme="minorHAnsi" w:cstheme="minorHAnsi"/>
                      <w:sz w:val="20"/>
                      <w:szCs w:val="20"/>
                    </w:rPr>
                    <w:t>3(169)</w:t>
                  </w:r>
                </w:p>
              </w:tc>
              <w:tc>
                <w:tcPr>
                  <w:tcW w:w="1800" w:type="dxa"/>
                  <w:tcBorders>
                    <w:top w:val="nil"/>
                    <w:left w:val="nil"/>
                    <w:bottom w:val="single" w:sz="8" w:space="0" w:color="auto"/>
                    <w:right w:val="single" w:sz="8" w:space="0" w:color="auto"/>
                  </w:tcBorders>
                  <w:shd w:val="clear" w:color="auto" w:fill="FFFFFF"/>
                  <w:vAlign w:val="bottom"/>
                  <w:hideMark/>
                </w:tcPr>
                <w:p w:rsidR="00120A7D" w:rsidRPr="00A21238" w:rsidRDefault="00120A7D" w:rsidP="00525241">
                  <w:pPr>
                    <w:ind w:firstLine="90"/>
                    <w:jc w:val="center"/>
                    <w:rPr>
                      <w:rFonts w:asciiTheme="minorHAnsi" w:eastAsiaTheme="minorHAnsi" w:hAnsiTheme="minorHAnsi" w:cstheme="minorHAnsi"/>
                      <w:sz w:val="20"/>
                      <w:szCs w:val="20"/>
                    </w:rPr>
                  </w:pPr>
                  <w:r w:rsidRPr="00A21238">
                    <w:rPr>
                      <w:rFonts w:asciiTheme="minorHAnsi" w:hAnsiTheme="minorHAnsi" w:cstheme="minorHAnsi"/>
                      <w:sz w:val="20"/>
                      <w:szCs w:val="20"/>
                    </w:rPr>
                    <w:t>2.50 [1.60, 3.90]</w:t>
                  </w:r>
                </w:p>
              </w:tc>
              <w:tc>
                <w:tcPr>
                  <w:tcW w:w="1980" w:type="dxa"/>
                  <w:tcBorders>
                    <w:top w:val="nil"/>
                    <w:left w:val="nil"/>
                    <w:bottom w:val="single" w:sz="8" w:space="0" w:color="auto"/>
                    <w:right w:val="single" w:sz="8" w:space="0" w:color="auto"/>
                  </w:tcBorders>
                  <w:shd w:val="clear" w:color="auto" w:fill="FFFFFF"/>
                  <w:vAlign w:val="bottom"/>
                  <w:hideMark/>
                </w:tcPr>
                <w:p w:rsidR="00120A7D" w:rsidRPr="00A21238" w:rsidRDefault="00F60EE8" w:rsidP="00525241">
                  <w:pPr>
                    <w:ind w:firstLine="90"/>
                    <w:jc w:val="center"/>
                    <w:rPr>
                      <w:rFonts w:asciiTheme="minorHAnsi" w:eastAsiaTheme="minorHAnsi" w:hAnsiTheme="minorHAnsi" w:cstheme="minorHAnsi"/>
                      <w:b/>
                      <w:bCs/>
                      <w:sz w:val="20"/>
                      <w:szCs w:val="20"/>
                      <w:vertAlign w:val="subscript"/>
                    </w:rPr>
                  </w:pPr>
                  <w:r w:rsidRPr="00A21238">
                    <w:rPr>
                      <w:rFonts w:asciiTheme="minorHAnsi" w:hAnsiTheme="minorHAnsi" w:cstheme="minorHAnsi"/>
                      <w:b/>
                      <w:bCs/>
                      <w:i/>
                      <w:sz w:val="20"/>
                      <w:szCs w:val="20"/>
                    </w:rPr>
                    <w:t>P</w:t>
                  </w:r>
                  <w:r w:rsidRPr="00A21238">
                    <w:rPr>
                      <w:rFonts w:asciiTheme="minorHAnsi" w:hAnsiTheme="minorHAnsi" w:cstheme="minorHAnsi"/>
                      <w:b/>
                      <w:bCs/>
                      <w:sz w:val="20"/>
                      <w:szCs w:val="20"/>
                    </w:rPr>
                    <w:t>&lt;.001</w:t>
                  </w:r>
                </w:p>
              </w:tc>
            </w:tr>
            <w:tr w:rsidR="00120A7D" w:rsidRPr="00A21238" w:rsidTr="00817982">
              <w:trPr>
                <w:trHeight w:val="349"/>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0A7D" w:rsidRPr="00A21238" w:rsidRDefault="00120A7D" w:rsidP="0002496E">
                  <w:pPr>
                    <w:ind w:firstLine="357"/>
                    <w:rPr>
                      <w:rFonts w:asciiTheme="minorHAnsi" w:eastAsiaTheme="minorHAnsi" w:hAnsiTheme="minorHAnsi" w:cstheme="minorHAnsi"/>
                      <w:b/>
                      <w:bCs/>
                      <w:sz w:val="20"/>
                      <w:szCs w:val="20"/>
                    </w:rPr>
                  </w:pPr>
                  <w:r w:rsidRPr="00A21238">
                    <w:rPr>
                      <w:rFonts w:asciiTheme="minorHAnsi" w:hAnsiTheme="minorHAnsi" w:cstheme="minorHAnsi"/>
                      <w:b/>
                      <w:bCs/>
                      <w:sz w:val="20"/>
                      <w:szCs w:val="20"/>
                    </w:rPr>
                    <w:t>Moderate to Poor</w:t>
                  </w:r>
                  <w:r w:rsidR="0002496E" w:rsidRPr="0002496E">
                    <w:rPr>
                      <w:rFonts w:asciiTheme="minorHAnsi" w:hAnsiTheme="minorHAnsi" w:cstheme="minorHAnsi"/>
                      <w:b/>
                      <w:bCs/>
                      <w:noProof/>
                      <w:sz w:val="20"/>
                      <w:szCs w:val="20"/>
                      <w:vertAlign w:val="superscript"/>
                    </w:rPr>
                    <w:t>19, 51, 52</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0A7D" w:rsidRPr="00A21238" w:rsidRDefault="00120A7D" w:rsidP="00525241">
                  <w:pPr>
                    <w:jc w:val="center"/>
                    <w:rPr>
                      <w:rFonts w:asciiTheme="minorHAnsi" w:eastAsiaTheme="minorHAnsi" w:hAnsiTheme="minorHAnsi" w:cstheme="minorHAnsi"/>
                      <w:sz w:val="20"/>
                      <w:szCs w:val="20"/>
                    </w:rPr>
                  </w:pPr>
                  <w:r w:rsidRPr="00A21238">
                    <w:rPr>
                      <w:rFonts w:asciiTheme="minorHAnsi" w:hAnsiTheme="minorHAnsi" w:cstheme="minorHAnsi"/>
                      <w:sz w:val="20"/>
                      <w:szCs w:val="20"/>
                    </w:rPr>
                    <w:t>3(189)</w:t>
                  </w:r>
                </w:p>
              </w:tc>
              <w:tc>
                <w:tcPr>
                  <w:tcW w:w="1800" w:type="dxa"/>
                  <w:tcBorders>
                    <w:top w:val="nil"/>
                    <w:left w:val="nil"/>
                    <w:bottom w:val="single" w:sz="8" w:space="0" w:color="auto"/>
                    <w:right w:val="single" w:sz="8" w:space="0" w:color="auto"/>
                  </w:tcBorders>
                  <w:shd w:val="clear" w:color="auto" w:fill="FFFFFF"/>
                  <w:vAlign w:val="bottom"/>
                  <w:hideMark/>
                </w:tcPr>
                <w:p w:rsidR="00120A7D" w:rsidRPr="00A21238" w:rsidRDefault="00120A7D" w:rsidP="00525241">
                  <w:pPr>
                    <w:jc w:val="center"/>
                    <w:rPr>
                      <w:rFonts w:asciiTheme="minorHAnsi" w:eastAsiaTheme="minorHAnsi" w:hAnsiTheme="minorHAnsi" w:cstheme="minorHAnsi"/>
                      <w:sz w:val="20"/>
                      <w:szCs w:val="20"/>
                    </w:rPr>
                  </w:pPr>
                </w:p>
              </w:tc>
              <w:tc>
                <w:tcPr>
                  <w:tcW w:w="1980" w:type="dxa"/>
                  <w:tcBorders>
                    <w:top w:val="nil"/>
                    <w:left w:val="nil"/>
                    <w:bottom w:val="single" w:sz="8" w:space="0" w:color="auto"/>
                    <w:right w:val="single" w:sz="8" w:space="0" w:color="auto"/>
                  </w:tcBorders>
                  <w:shd w:val="clear" w:color="auto" w:fill="FFFFFF"/>
                  <w:vAlign w:val="bottom"/>
                  <w:hideMark/>
                </w:tcPr>
                <w:p w:rsidR="00120A7D" w:rsidRPr="00A21238" w:rsidRDefault="00120A7D" w:rsidP="00525241">
                  <w:pPr>
                    <w:jc w:val="center"/>
                    <w:rPr>
                      <w:rFonts w:asciiTheme="minorHAnsi" w:eastAsiaTheme="minorHAnsi" w:hAnsiTheme="minorHAnsi" w:cstheme="minorHAnsi"/>
                      <w:b/>
                      <w:bCs/>
                      <w:sz w:val="20"/>
                      <w:szCs w:val="20"/>
                      <w:vertAlign w:val="subscript"/>
                    </w:rPr>
                  </w:pPr>
                </w:p>
              </w:tc>
            </w:tr>
            <w:tr w:rsidR="00120A7D" w:rsidRPr="00A21238" w:rsidTr="00817982">
              <w:trPr>
                <w:trHeight w:val="270"/>
              </w:trPr>
              <w:tc>
                <w:tcPr>
                  <w:tcW w:w="3345"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20A7D" w:rsidRPr="00A21238" w:rsidRDefault="00120A7D">
                  <w:pPr>
                    <w:rPr>
                      <w:rFonts w:asciiTheme="minorHAnsi" w:eastAsiaTheme="minorHAnsi" w:hAnsiTheme="minorHAnsi" w:cstheme="minorHAnsi"/>
                      <w:b/>
                      <w:bCs/>
                      <w:sz w:val="20"/>
                      <w:szCs w:val="20"/>
                    </w:rPr>
                  </w:pPr>
                  <w:r w:rsidRPr="00A21238">
                    <w:rPr>
                      <w:rFonts w:asciiTheme="minorHAnsi" w:hAnsiTheme="minorHAnsi" w:cstheme="minorHAnsi"/>
                      <w:b/>
                      <w:bCs/>
                      <w:sz w:val="20"/>
                      <w:szCs w:val="20"/>
                    </w:rPr>
                    <w:t>Differentiation-Three grades</w:t>
                  </w:r>
                </w:p>
              </w:tc>
              <w:tc>
                <w:tcPr>
                  <w:tcW w:w="162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120A7D" w:rsidRPr="00A21238" w:rsidRDefault="00120A7D" w:rsidP="00525241">
                  <w:pPr>
                    <w:jc w:val="center"/>
                    <w:rPr>
                      <w:rFonts w:asciiTheme="minorHAnsi" w:eastAsiaTheme="minorHAnsi" w:hAnsiTheme="minorHAnsi" w:cstheme="minorHAnsi"/>
                      <w:sz w:val="20"/>
                      <w:szCs w:val="20"/>
                    </w:rPr>
                  </w:pPr>
                </w:p>
              </w:tc>
              <w:tc>
                <w:tcPr>
                  <w:tcW w:w="1800" w:type="dxa"/>
                  <w:tcBorders>
                    <w:top w:val="single" w:sz="8" w:space="0" w:color="auto"/>
                    <w:left w:val="nil"/>
                    <w:bottom w:val="single" w:sz="4" w:space="0" w:color="auto"/>
                    <w:right w:val="single" w:sz="8" w:space="0" w:color="auto"/>
                  </w:tcBorders>
                  <w:shd w:val="clear" w:color="auto" w:fill="auto"/>
                  <w:noWrap/>
                  <w:tcMar>
                    <w:top w:w="0" w:type="dxa"/>
                    <w:left w:w="108" w:type="dxa"/>
                    <w:bottom w:w="0" w:type="dxa"/>
                    <w:right w:w="108" w:type="dxa"/>
                  </w:tcMar>
                  <w:vAlign w:val="bottom"/>
                  <w:hideMark/>
                </w:tcPr>
                <w:p w:rsidR="00120A7D" w:rsidRPr="00A21238" w:rsidRDefault="00120A7D" w:rsidP="00525241">
                  <w:pPr>
                    <w:jc w:val="center"/>
                    <w:rPr>
                      <w:rFonts w:asciiTheme="minorHAnsi" w:eastAsiaTheme="minorEastAsia" w:hAnsiTheme="minorHAnsi" w:cstheme="minorHAnsi"/>
                      <w:sz w:val="20"/>
                      <w:szCs w:val="20"/>
                    </w:rPr>
                  </w:pPr>
                </w:p>
              </w:tc>
              <w:tc>
                <w:tcPr>
                  <w:tcW w:w="1980" w:type="dxa"/>
                  <w:tcBorders>
                    <w:top w:val="single" w:sz="8" w:space="0" w:color="auto"/>
                    <w:left w:val="nil"/>
                    <w:bottom w:val="single" w:sz="4" w:space="0" w:color="auto"/>
                    <w:right w:val="single" w:sz="8" w:space="0" w:color="auto"/>
                  </w:tcBorders>
                  <w:shd w:val="clear" w:color="auto" w:fill="auto"/>
                  <w:noWrap/>
                  <w:tcMar>
                    <w:top w:w="0" w:type="dxa"/>
                    <w:left w:w="108" w:type="dxa"/>
                    <w:bottom w:w="0" w:type="dxa"/>
                    <w:right w:w="108" w:type="dxa"/>
                  </w:tcMar>
                  <w:vAlign w:val="bottom"/>
                  <w:hideMark/>
                </w:tcPr>
                <w:p w:rsidR="00120A7D" w:rsidRPr="00A21238" w:rsidRDefault="00120A7D" w:rsidP="00525241">
                  <w:pPr>
                    <w:jc w:val="center"/>
                    <w:rPr>
                      <w:rFonts w:asciiTheme="minorHAnsi" w:eastAsiaTheme="minorEastAsia" w:hAnsiTheme="minorHAnsi" w:cstheme="minorHAnsi"/>
                      <w:sz w:val="20"/>
                      <w:szCs w:val="20"/>
                    </w:rPr>
                  </w:pPr>
                </w:p>
              </w:tc>
            </w:tr>
            <w:tr w:rsidR="00120A7D" w:rsidRPr="00A21238" w:rsidTr="00525241">
              <w:trPr>
                <w:trHeight w:val="27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0A7D" w:rsidRPr="00A21238" w:rsidRDefault="00120A7D" w:rsidP="0002496E">
                  <w:pPr>
                    <w:ind w:firstLine="357"/>
                    <w:rPr>
                      <w:rFonts w:asciiTheme="minorHAnsi" w:eastAsiaTheme="minorHAnsi" w:hAnsiTheme="minorHAnsi" w:cstheme="minorHAnsi"/>
                      <w:b/>
                      <w:bCs/>
                      <w:sz w:val="20"/>
                      <w:szCs w:val="20"/>
                    </w:rPr>
                  </w:pPr>
                  <w:r w:rsidRPr="00A21238">
                    <w:rPr>
                      <w:rFonts w:asciiTheme="minorHAnsi" w:hAnsiTheme="minorHAnsi" w:cstheme="minorHAnsi"/>
                      <w:b/>
                      <w:bCs/>
                      <w:sz w:val="20"/>
                      <w:szCs w:val="20"/>
                    </w:rPr>
                    <w:t>Well</w:t>
                  </w:r>
                  <w:r w:rsidR="0002496E" w:rsidRPr="0002496E">
                    <w:rPr>
                      <w:rFonts w:asciiTheme="minorHAnsi" w:hAnsiTheme="minorHAnsi" w:cstheme="minorHAnsi"/>
                      <w:b/>
                      <w:bCs/>
                      <w:noProof/>
                      <w:sz w:val="20"/>
                      <w:szCs w:val="20"/>
                      <w:vertAlign w:val="superscript"/>
                    </w:rPr>
                    <w:t>18, 27</w:t>
                  </w:r>
                </w:p>
              </w:tc>
              <w:tc>
                <w:tcPr>
                  <w:tcW w:w="1620" w:type="dxa"/>
                  <w:tcBorders>
                    <w:top w:val="nil"/>
                    <w:left w:val="nil"/>
                    <w:bottom w:val="single" w:sz="8" w:space="0" w:color="auto"/>
                    <w:right w:val="single" w:sz="4" w:space="0" w:color="auto"/>
                  </w:tcBorders>
                  <w:noWrap/>
                  <w:tcMar>
                    <w:top w:w="0" w:type="dxa"/>
                    <w:left w:w="108" w:type="dxa"/>
                    <w:bottom w:w="0" w:type="dxa"/>
                    <w:right w:w="108" w:type="dxa"/>
                  </w:tcMar>
                  <w:vAlign w:val="bottom"/>
                  <w:hideMark/>
                </w:tcPr>
                <w:p w:rsidR="00120A7D" w:rsidRPr="00A21238" w:rsidRDefault="00120A7D" w:rsidP="00525241">
                  <w:pPr>
                    <w:jc w:val="center"/>
                    <w:rPr>
                      <w:rFonts w:asciiTheme="minorHAnsi" w:eastAsiaTheme="minorHAnsi" w:hAnsiTheme="minorHAnsi" w:cstheme="minorHAnsi"/>
                      <w:sz w:val="20"/>
                      <w:szCs w:val="20"/>
                    </w:rPr>
                  </w:pPr>
                  <w:r w:rsidRPr="00A21238">
                    <w:rPr>
                      <w:rFonts w:asciiTheme="minorHAnsi" w:hAnsiTheme="minorHAnsi" w:cstheme="minorHAnsi"/>
                      <w:sz w:val="20"/>
                      <w:szCs w:val="20"/>
                    </w:rPr>
                    <w:t>2(43)</w:t>
                  </w:r>
                </w:p>
              </w:tc>
              <w:tc>
                <w:tcPr>
                  <w:tcW w:w="1800" w:type="dxa"/>
                  <w:tcBorders>
                    <w:top w:val="single" w:sz="4" w:space="0" w:color="auto"/>
                    <w:left w:val="single" w:sz="4" w:space="0" w:color="auto"/>
                    <w:bottom w:val="single" w:sz="4" w:space="0" w:color="auto"/>
                    <w:right w:val="single" w:sz="4" w:space="0" w:color="auto"/>
                  </w:tcBorders>
                  <w:vAlign w:val="bottom"/>
                  <w:hideMark/>
                </w:tcPr>
                <w:p w:rsidR="00120A7D" w:rsidRPr="00A21238" w:rsidRDefault="00120A7D" w:rsidP="00525241">
                  <w:pPr>
                    <w:ind w:firstLine="90"/>
                    <w:jc w:val="center"/>
                    <w:rPr>
                      <w:rFonts w:asciiTheme="minorHAnsi" w:eastAsiaTheme="minorHAnsi" w:hAnsiTheme="minorHAnsi" w:cstheme="minorHAnsi"/>
                      <w:sz w:val="20"/>
                      <w:szCs w:val="20"/>
                    </w:rPr>
                  </w:pPr>
                  <w:r w:rsidRPr="00A21238">
                    <w:rPr>
                      <w:rFonts w:asciiTheme="minorHAnsi" w:hAnsiTheme="minorHAnsi" w:cstheme="minorHAnsi"/>
                      <w:sz w:val="20"/>
                      <w:szCs w:val="20"/>
                    </w:rPr>
                    <w:t>1.99 [1.28, 3.09]</w:t>
                  </w:r>
                </w:p>
              </w:tc>
              <w:tc>
                <w:tcPr>
                  <w:tcW w:w="1980" w:type="dxa"/>
                  <w:tcBorders>
                    <w:top w:val="single" w:sz="4" w:space="0" w:color="auto"/>
                    <w:left w:val="single" w:sz="4" w:space="0" w:color="auto"/>
                    <w:bottom w:val="single" w:sz="4" w:space="0" w:color="auto"/>
                    <w:right w:val="single" w:sz="4" w:space="0" w:color="auto"/>
                  </w:tcBorders>
                  <w:vAlign w:val="bottom"/>
                  <w:hideMark/>
                </w:tcPr>
                <w:p w:rsidR="00120A7D" w:rsidRPr="00A21238" w:rsidRDefault="00271EA5" w:rsidP="00525241">
                  <w:pPr>
                    <w:ind w:firstLine="90"/>
                    <w:jc w:val="center"/>
                    <w:rPr>
                      <w:rFonts w:asciiTheme="minorHAnsi" w:eastAsiaTheme="minorHAnsi" w:hAnsiTheme="minorHAnsi" w:cstheme="minorHAnsi"/>
                      <w:b/>
                      <w:bCs/>
                      <w:sz w:val="20"/>
                      <w:szCs w:val="20"/>
                    </w:rPr>
                  </w:pPr>
                  <w:r w:rsidRPr="00271EA5">
                    <w:rPr>
                      <w:rFonts w:asciiTheme="minorHAnsi" w:hAnsiTheme="minorHAnsi" w:cstheme="minorHAnsi"/>
                      <w:b/>
                      <w:bCs/>
                      <w:i/>
                      <w:sz w:val="20"/>
                      <w:szCs w:val="20"/>
                    </w:rPr>
                    <w:t>P</w:t>
                  </w:r>
                  <w:r w:rsidR="00120A7D" w:rsidRPr="00A21238">
                    <w:rPr>
                      <w:rFonts w:asciiTheme="minorHAnsi" w:hAnsiTheme="minorHAnsi" w:cstheme="minorHAnsi"/>
                      <w:b/>
                      <w:bCs/>
                      <w:sz w:val="20"/>
                      <w:szCs w:val="20"/>
                    </w:rPr>
                    <w:t>=.002</w:t>
                  </w:r>
                  <w:r w:rsidR="00AC081E" w:rsidRPr="00AC081E">
                    <w:rPr>
                      <w:rFonts w:asciiTheme="minorHAnsi" w:hAnsiTheme="minorHAnsi" w:cstheme="minorHAnsi"/>
                      <w:b/>
                      <w:bCs/>
                      <w:sz w:val="20"/>
                      <w:szCs w:val="20"/>
                      <w:vertAlign w:val="superscript"/>
                    </w:rPr>
                    <w:t>b</w:t>
                  </w:r>
                </w:p>
              </w:tc>
            </w:tr>
            <w:tr w:rsidR="00120A7D" w:rsidRPr="00A21238" w:rsidTr="00525241">
              <w:trPr>
                <w:trHeight w:val="27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0A7D" w:rsidRPr="00A21238" w:rsidRDefault="00120A7D" w:rsidP="0002496E">
                  <w:pPr>
                    <w:ind w:firstLine="357"/>
                    <w:rPr>
                      <w:rFonts w:asciiTheme="minorHAnsi" w:eastAsiaTheme="minorHAnsi" w:hAnsiTheme="minorHAnsi" w:cstheme="minorHAnsi"/>
                      <w:b/>
                      <w:bCs/>
                      <w:sz w:val="20"/>
                      <w:szCs w:val="20"/>
                    </w:rPr>
                  </w:pPr>
                  <w:r w:rsidRPr="00A21238">
                    <w:rPr>
                      <w:rFonts w:asciiTheme="minorHAnsi" w:hAnsiTheme="minorHAnsi" w:cstheme="minorHAnsi"/>
                      <w:b/>
                      <w:bCs/>
                      <w:sz w:val="20"/>
                      <w:szCs w:val="20"/>
                    </w:rPr>
                    <w:t>Moderate</w:t>
                  </w:r>
                  <w:r w:rsidR="0002496E" w:rsidRPr="0002496E">
                    <w:rPr>
                      <w:rFonts w:asciiTheme="minorHAnsi" w:hAnsiTheme="minorHAnsi" w:cstheme="minorHAnsi"/>
                      <w:b/>
                      <w:bCs/>
                      <w:noProof/>
                      <w:sz w:val="20"/>
                      <w:szCs w:val="20"/>
                      <w:vertAlign w:val="superscript"/>
                    </w:rPr>
                    <w:t>18, 27</w:t>
                  </w:r>
                </w:p>
              </w:tc>
              <w:tc>
                <w:tcPr>
                  <w:tcW w:w="1620" w:type="dxa"/>
                  <w:tcBorders>
                    <w:top w:val="nil"/>
                    <w:left w:val="nil"/>
                    <w:bottom w:val="single" w:sz="8" w:space="0" w:color="auto"/>
                    <w:right w:val="single" w:sz="4" w:space="0" w:color="auto"/>
                  </w:tcBorders>
                  <w:noWrap/>
                  <w:tcMar>
                    <w:top w:w="0" w:type="dxa"/>
                    <w:left w:w="108" w:type="dxa"/>
                    <w:bottom w:w="0" w:type="dxa"/>
                    <w:right w:w="108" w:type="dxa"/>
                  </w:tcMar>
                  <w:vAlign w:val="bottom"/>
                  <w:hideMark/>
                </w:tcPr>
                <w:p w:rsidR="00120A7D" w:rsidRPr="00A21238" w:rsidRDefault="00120A7D" w:rsidP="00525241">
                  <w:pPr>
                    <w:jc w:val="center"/>
                    <w:rPr>
                      <w:rFonts w:asciiTheme="minorHAnsi" w:eastAsiaTheme="minorHAnsi" w:hAnsiTheme="minorHAnsi" w:cstheme="minorHAnsi"/>
                      <w:sz w:val="20"/>
                      <w:szCs w:val="20"/>
                    </w:rPr>
                  </w:pPr>
                  <w:r w:rsidRPr="00A21238">
                    <w:rPr>
                      <w:rFonts w:asciiTheme="minorHAnsi" w:hAnsiTheme="minorHAnsi" w:cstheme="minorHAnsi"/>
                      <w:sz w:val="20"/>
                      <w:szCs w:val="20"/>
                    </w:rPr>
                    <w:t>2(122)</w:t>
                  </w:r>
                </w:p>
              </w:tc>
              <w:tc>
                <w:tcPr>
                  <w:tcW w:w="1800" w:type="dxa"/>
                  <w:tcBorders>
                    <w:top w:val="single" w:sz="4" w:space="0" w:color="auto"/>
                    <w:left w:val="single" w:sz="4" w:space="0" w:color="auto"/>
                    <w:bottom w:val="single" w:sz="4" w:space="0" w:color="auto"/>
                    <w:right w:val="single" w:sz="4" w:space="0" w:color="auto"/>
                  </w:tcBorders>
                  <w:vAlign w:val="bottom"/>
                  <w:hideMark/>
                </w:tcPr>
                <w:p w:rsidR="00120A7D" w:rsidRPr="00A21238" w:rsidRDefault="00FA0738" w:rsidP="00525241">
                  <w:pPr>
                    <w:jc w:val="center"/>
                    <w:rPr>
                      <w:rFonts w:asciiTheme="minorHAnsi" w:eastAsiaTheme="minorHAnsi" w:hAnsiTheme="minorHAnsi" w:cstheme="minorHAnsi"/>
                      <w:sz w:val="20"/>
                      <w:szCs w:val="20"/>
                    </w:rPr>
                  </w:pPr>
                  <w:r w:rsidRPr="00A21238">
                    <w:rPr>
                      <w:rFonts w:asciiTheme="minorHAnsi" w:eastAsiaTheme="minorHAnsi" w:hAnsiTheme="minorHAnsi" w:cstheme="minorHAnsi"/>
                      <w:sz w:val="20"/>
                      <w:szCs w:val="20"/>
                    </w:rPr>
                    <w:t>1.76 [1.17, 2.66]</w:t>
                  </w:r>
                </w:p>
              </w:tc>
              <w:tc>
                <w:tcPr>
                  <w:tcW w:w="1980" w:type="dxa"/>
                  <w:tcBorders>
                    <w:top w:val="single" w:sz="4" w:space="0" w:color="auto"/>
                    <w:left w:val="single" w:sz="4" w:space="0" w:color="auto"/>
                    <w:bottom w:val="single" w:sz="4" w:space="0" w:color="auto"/>
                    <w:right w:val="single" w:sz="4" w:space="0" w:color="auto"/>
                  </w:tcBorders>
                  <w:vAlign w:val="bottom"/>
                  <w:hideMark/>
                </w:tcPr>
                <w:p w:rsidR="00120A7D" w:rsidRPr="00A21238" w:rsidRDefault="00525241" w:rsidP="00525241">
                  <w:pPr>
                    <w:jc w:val="center"/>
                    <w:rPr>
                      <w:rFonts w:asciiTheme="minorHAnsi" w:eastAsiaTheme="minorHAnsi" w:hAnsiTheme="minorHAnsi" w:cstheme="minorHAnsi"/>
                      <w:b/>
                      <w:bCs/>
                      <w:sz w:val="20"/>
                      <w:szCs w:val="20"/>
                    </w:rPr>
                  </w:pPr>
                  <w:r w:rsidRPr="00A21238">
                    <w:rPr>
                      <w:rFonts w:asciiTheme="minorHAnsi" w:eastAsiaTheme="minorHAnsi" w:hAnsiTheme="minorHAnsi" w:cstheme="minorHAnsi"/>
                      <w:b/>
                      <w:bCs/>
                      <w:sz w:val="20"/>
                      <w:szCs w:val="20"/>
                    </w:rPr>
                    <w:t xml:space="preserve">    </w:t>
                  </w:r>
                  <w:r w:rsidR="00271EA5" w:rsidRPr="00271EA5">
                    <w:rPr>
                      <w:rFonts w:asciiTheme="minorHAnsi" w:eastAsiaTheme="minorHAnsi" w:hAnsiTheme="minorHAnsi" w:cstheme="minorHAnsi"/>
                      <w:b/>
                      <w:bCs/>
                      <w:i/>
                      <w:sz w:val="20"/>
                      <w:szCs w:val="20"/>
                    </w:rPr>
                    <w:t>P</w:t>
                  </w:r>
                  <w:r w:rsidR="00FA0738" w:rsidRPr="00A21238">
                    <w:rPr>
                      <w:rFonts w:asciiTheme="minorHAnsi" w:eastAsiaTheme="minorHAnsi" w:hAnsiTheme="minorHAnsi" w:cstheme="minorHAnsi"/>
                      <w:b/>
                      <w:bCs/>
                      <w:sz w:val="20"/>
                      <w:szCs w:val="20"/>
                    </w:rPr>
                    <w:t>=.007</w:t>
                  </w:r>
                  <w:r w:rsidR="00AC081E" w:rsidRPr="00AC081E">
                    <w:rPr>
                      <w:rFonts w:asciiTheme="minorHAnsi" w:eastAsiaTheme="minorHAnsi" w:hAnsiTheme="minorHAnsi" w:cstheme="minorHAnsi"/>
                      <w:b/>
                      <w:bCs/>
                      <w:sz w:val="20"/>
                      <w:szCs w:val="20"/>
                      <w:vertAlign w:val="superscript"/>
                    </w:rPr>
                    <w:t>c</w:t>
                  </w:r>
                </w:p>
              </w:tc>
            </w:tr>
            <w:tr w:rsidR="00120A7D" w:rsidRPr="00A21238" w:rsidTr="00525241">
              <w:trPr>
                <w:trHeight w:val="27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0A7D" w:rsidRPr="00A21238" w:rsidRDefault="00120A7D" w:rsidP="0002496E">
                  <w:pPr>
                    <w:ind w:firstLine="357"/>
                    <w:rPr>
                      <w:rFonts w:asciiTheme="minorHAnsi" w:eastAsiaTheme="minorHAnsi" w:hAnsiTheme="minorHAnsi" w:cstheme="minorHAnsi"/>
                      <w:b/>
                      <w:bCs/>
                      <w:sz w:val="20"/>
                      <w:szCs w:val="20"/>
                    </w:rPr>
                  </w:pPr>
                  <w:r w:rsidRPr="00A21238">
                    <w:rPr>
                      <w:rFonts w:asciiTheme="minorHAnsi" w:hAnsiTheme="minorHAnsi" w:cstheme="minorHAnsi"/>
                      <w:b/>
                      <w:bCs/>
                      <w:sz w:val="20"/>
                      <w:szCs w:val="20"/>
                    </w:rPr>
                    <w:t>Poor</w:t>
                  </w:r>
                  <w:r w:rsidR="0002496E" w:rsidRPr="0002496E">
                    <w:rPr>
                      <w:rFonts w:asciiTheme="minorHAnsi" w:hAnsiTheme="minorHAnsi" w:cstheme="minorHAnsi"/>
                      <w:b/>
                      <w:bCs/>
                      <w:noProof/>
                      <w:sz w:val="20"/>
                      <w:szCs w:val="20"/>
                      <w:vertAlign w:val="superscript"/>
                    </w:rPr>
                    <w:t>18, 27</w:t>
                  </w:r>
                </w:p>
              </w:tc>
              <w:tc>
                <w:tcPr>
                  <w:tcW w:w="1620" w:type="dxa"/>
                  <w:tcBorders>
                    <w:top w:val="nil"/>
                    <w:left w:val="nil"/>
                    <w:bottom w:val="single" w:sz="8" w:space="0" w:color="auto"/>
                    <w:right w:val="single" w:sz="4" w:space="0" w:color="auto"/>
                  </w:tcBorders>
                  <w:noWrap/>
                  <w:tcMar>
                    <w:top w:w="0" w:type="dxa"/>
                    <w:left w:w="108" w:type="dxa"/>
                    <w:bottom w:w="0" w:type="dxa"/>
                    <w:right w:w="108" w:type="dxa"/>
                  </w:tcMar>
                  <w:vAlign w:val="bottom"/>
                  <w:hideMark/>
                </w:tcPr>
                <w:p w:rsidR="00120A7D" w:rsidRPr="00A21238" w:rsidRDefault="00120A7D" w:rsidP="00525241">
                  <w:pPr>
                    <w:jc w:val="center"/>
                    <w:rPr>
                      <w:rFonts w:asciiTheme="minorHAnsi" w:eastAsiaTheme="minorHAnsi" w:hAnsiTheme="minorHAnsi" w:cstheme="minorHAnsi"/>
                      <w:sz w:val="20"/>
                      <w:szCs w:val="20"/>
                    </w:rPr>
                  </w:pPr>
                  <w:r w:rsidRPr="00A21238">
                    <w:rPr>
                      <w:rFonts w:asciiTheme="minorHAnsi" w:hAnsiTheme="minorHAnsi" w:cstheme="minorHAnsi"/>
                      <w:sz w:val="20"/>
                      <w:szCs w:val="20"/>
                    </w:rPr>
                    <w:t>2(50)</w:t>
                  </w:r>
                </w:p>
              </w:tc>
              <w:tc>
                <w:tcPr>
                  <w:tcW w:w="1800" w:type="dxa"/>
                  <w:tcBorders>
                    <w:top w:val="single" w:sz="4" w:space="0" w:color="auto"/>
                    <w:left w:val="single" w:sz="4" w:space="0" w:color="auto"/>
                    <w:bottom w:val="single" w:sz="4" w:space="0" w:color="auto"/>
                    <w:right w:val="single" w:sz="4" w:space="0" w:color="auto"/>
                  </w:tcBorders>
                  <w:vAlign w:val="bottom"/>
                  <w:hideMark/>
                </w:tcPr>
                <w:p w:rsidR="00120A7D" w:rsidRPr="00A21238" w:rsidRDefault="00120A7D" w:rsidP="00525241">
                  <w:pPr>
                    <w:jc w:val="center"/>
                    <w:rPr>
                      <w:rFonts w:asciiTheme="minorHAnsi" w:eastAsiaTheme="minorHAnsi" w:hAnsiTheme="minorHAnsi" w:cstheme="minorHAnsi"/>
                      <w:sz w:val="20"/>
                      <w:szCs w:val="20"/>
                    </w:rPr>
                  </w:pPr>
                </w:p>
              </w:tc>
              <w:tc>
                <w:tcPr>
                  <w:tcW w:w="1980" w:type="dxa"/>
                  <w:tcBorders>
                    <w:top w:val="single" w:sz="4" w:space="0" w:color="auto"/>
                    <w:left w:val="single" w:sz="4" w:space="0" w:color="auto"/>
                    <w:bottom w:val="single" w:sz="4" w:space="0" w:color="auto"/>
                    <w:right w:val="single" w:sz="4" w:space="0" w:color="auto"/>
                  </w:tcBorders>
                  <w:vAlign w:val="bottom"/>
                  <w:hideMark/>
                </w:tcPr>
                <w:p w:rsidR="00120A7D" w:rsidRPr="00A21238" w:rsidRDefault="00120A7D" w:rsidP="00525241">
                  <w:pPr>
                    <w:jc w:val="center"/>
                    <w:rPr>
                      <w:rFonts w:asciiTheme="minorHAnsi" w:eastAsiaTheme="minorHAnsi" w:hAnsiTheme="minorHAnsi" w:cstheme="minorHAnsi"/>
                      <w:b/>
                      <w:bCs/>
                      <w:sz w:val="20"/>
                      <w:szCs w:val="20"/>
                    </w:rPr>
                  </w:pPr>
                </w:p>
              </w:tc>
            </w:tr>
            <w:tr w:rsidR="00D9506C" w:rsidRPr="00A21238" w:rsidTr="00D9506C">
              <w:trPr>
                <w:trHeight w:val="300"/>
              </w:trPr>
              <w:tc>
                <w:tcPr>
                  <w:tcW w:w="8745" w:type="dxa"/>
                  <w:gridSpan w:val="4"/>
                  <w:noWrap/>
                  <w:tcMar>
                    <w:top w:w="0" w:type="dxa"/>
                    <w:left w:w="108" w:type="dxa"/>
                    <w:bottom w:w="0" w:type="dxa"/>
                    <w:right w:w="108" w:type="dxa"/>
                  </w:tcMar>
                  <w:vAlign w:val="bottom"/>
                </w:tcPr>
                <w:p w:rsidR="00565546" w:rsidRPr="002847AE" w:rsidRDefault="00A26FF8" w:rsidP="00A26FF8">
                  <w:pPr>
                    <w:ind w:left="-93"/>
                    <w:rPr>
                      <w:rFonts w:ascii="Calibri" w:hAnsi="Calibri" w:cs="Calibri"/>
                      <w:bCs/>
                      <w:sz w:val="18"/>
                      <w:szCs w:val="18"/>
                    </w:rPr>
                  </w:pPr>
                  <w:r>
                    <w:rPr>
                      <w:rFonts w:asciiTheme="minorHAnsi" w:hAnsiTheme="minorHAnsi"/>
                      <w:sz w:val="18"/>
                      <w:szCs w:val="18"/>
                    </w:rPr>
                    <w:t xml:space="preserve">Abbreviations: </w:t>
                  </w:r>
                  <w:r w:rsidR="00565546" w:rsidRPr="002847AE">
                    <w:rPr>
                      <w:rFonts w:asciiTheme="minorHAnsi" w:hAnsiTheme="minorHAnsi"/>
                      <w:sz w:val="18"/>
                      <w:szCs w:val="18"/>
                    </w:rPr>
                    <w:t>n</w:t>
                  </w:r>
                  <w:r w:rsidR="00470CE4">
                    <w:rPr>
                      <w:rFonts w:asciiTheme="minorHAnsi" w:hAnsiTheme="minorHAnsi"/>
                      <w:sz w:val="18"/>
                      <w:szCs w:val="18"/>
                    </w:rPr>
                    <w:t>,</w:t>
                  </w:r>
                  <w:r w:rsidR="00565546" w:rsidRPr="002847AE">
                    <w:rPr>
                      <w:rFonts w:asciiTheme="minorHAnsi" w:hAnsiTheme="minorHAnsi"/>
                      <w:sz w:val="18"/>
                      <w:szCs w:val="18"/>
                    </w:rPr>
                    <w:t xml:space="preserve"> Number of studies; N</w:t>
                  </w:r>
                  <w:r w:rsidR="00470CE4">
                    <w:rPr>
                      <w:rFonts w:asciiTheme="minorHAnsi" w:hAnsiTheme="minorHAnsi"/>
                      <w:sz w:val="18"/>
                      <w:szCs w:val="18"/>
                    </w:rPr>
                    <w:t>,</w:t>
                  </w:r>
                  <w:r w:rsidR="00565546" w:rsidRPr="002847AE">
                    <w:rPr>
                      <w:rFonts w:asciiTheme="minorHAnsi" w:hAnsiTheme="minorHAnsi"/>
                      <w:sz w:val="18"/>
                      <w:szCs w:val="18"/>
                    </w:rPr>
                    <w:t xml:space="preserve"> Number of patients</w:t>
                  </w:r>
                  <w:r w:rsidR="00FA6D42" w:rsidRPr="002847AE">
                    <w:rPr>
                      <w:rFonts w:asciiTheme="minorHAnsi" w:hAnsiTheme="minorHAnsi"/>
                      <w:sz w:val="18"/>
                      <w:szCs w:val="18"/>
                    </w:rPr>
                    <w:t>; CI</w:t>
                  </w:r>
                  <w:r w:rsidR="00470CE4">
                    <w:rPr>
                      <w:rFonts w:asciiTheme="minorHAnsi" w:hAnsiTheme="minorHAnsi"/>
                      <w:sz w:val="18"/>
                      <w:szCs w:val="18"/>
                    </w:rPr>
                    <w:t>,</w:t>
                  </w:r>
                  <w:r w:rsidR="00FA6D42" w:rsidRPr="002847AE">
                    <w:rPr>
                      <w:rFonts w:asciiTheme="minorHAnsi" w:hAnsiTheme="minorHAnsi"/>
                      <w:sz w:val="18"/>
                      <w:szCs w:val="18"/>
                    </w:rPr>
                    <w:t xml:space="preserve"> Confidence interval;</w:t>
                  </w:r>
                  <w:r w:rsidR="00BC2E0A" w:rsidRPr="002847AE">
                    <w:rPr>
                      <w:rFonts w:asciiTheme="minorHAnsi" w:hAnsiTheme="minorHAnsi"/>
                      <w:sz w:val="18"/>
                      <w:szCs w:val="18"/>
                    </w:rPr>
                    <w:t xml:space="preserve"> RR</w:t>
                  </w:r>
                  <w:r w:rsidR="00470CE4">
                    <w:rPr>
                      <w:rFonts w:asciiTheme="minorHAnsi" w:hAnsiTheme="minorHAnsi"/>
                      <w:sz w:val="18"/>
                      <w:szCs w:val="18"/>
                    </w:rPr>
                    <w:t>,</w:t>
                  </w:r>
                  <w:r w:rsidR="00BC2E0A" w:rsidRPr="002847AE">
                    <w:rPr>
                      <w:rFonts w:asciiTheme="minorHAnsi" w:hAnsiTheme="minorHAnsi" w:cstheme="minorHAnsi"/>
                      <w:b/>
                      <w:sz w:val="18"/>
                      <w:szCs w:val="18"/>
                    </w:rPr>
                    <w:t xml:space="preserve"> </w:t>
                  </w:r>
                  <w:r w:rsidR="00BC2E0A" w:rsidRPr="002847AE">
                    <w:rPr>
                      <w:rFonts w:asciiTheme="minorHAnsi" w:hAnsiTheme="minorHAnsi" w:cstheme="minorHAnsi"/>
                      <w:sz w:val="18"/>
                      <w:szCs w:val="18"/>
                    </w:rPr>
                    <w:t>Relative Risk, Mantel-Haenszel, Random Effects model, [95% CI]</w:t>
                  </w:r>
                </w:p>
                <w:p w:rsidR="001E7CE4" w:rsidRPr="002847AE" w:rsidRDefault="00665CB4" w:rsidP="00A26FF8">
                  <w:pPr>
                    <w:ind w:hanging="93"/>
                    <w:rPr>
                      <w:rFonts w:ascii="Calibri" w:hAnsi="Calibri" w:cs="Calibri"/>
                      <w:bCs/>
                      <w:sz w:val="18"/>
                      <w:szCs w:val="18"/>
                    </w:rPr>
                  </w:pPr>
                  <w:r w:rsidRPr="00AC081E">
                    <w:rPr>
                      <w:rFonts w:ascii="Calibri" w:hAnsi="Calibri" w:cs="Calibri"/>
                      <w:bCs/>
                      <w:sz w:val="18"/>
                      <w:szCs w:val="18"/>
                      <w:vertAlign w:val="superscript"/>
                    </w:rPr>
                    <w:t>a</w:t>
                  </w:r>
                  <w:r>
                    <w:rPr>
                      <w:rFonts w:ascii="Calibri" w:hAnsi="Calibri" w:cs="Calibri"/>
                      <w:bCs/>
                      <w:sz w:val="18"/>
                      <w:szCs w:val="18"/>
                      <w:vertAlign w:val="superscript"/>
                    </w:rPr>
                    <w:t xml:space="preserve"> </w:t>
                  </w:r>
                  <w:r w:rsidRPr="002847AE">
                    <w:rPr>
                      <w:rFonts w:ascii="Calibri" w:hAnsi="Calibri" w:cs="Calibri"/>
                      <w:bCs/>
                      <w:sz w:val="18"/>
                      <w:szCs w:val="18"/>
                    </w:rPr>
                    <w:t>RR</w:t>
                  </w:r>
                  <w:r w:rsidR="001E7CE4" w:rsidRPr="002847AE">
                    <w:rPr>
                      <w:rFonts w:ascii="Calibri" w:hAnsi="Calibri" w:cs="Calibri"/>
                      <w:bCs/>
                      <w:sz w:val="18"/>
                      <w:szCs w:val="18"/>
                    </w:rPr>
                    <w:t xml:space="preserve"> of </w:t>
                  </w:r>
                  <w:r w:rsidR="001E7CE4" w:rsidRPr="002847AE">
                    <w:rPr>
                      <w:rFonts w:ascii="Calibri" w:hAnsi="Calibri" w:cs="Calibri"/>
                      <w:bCs/>
                      <w:i/>
                      <w:sz w:val="18"/>
                      <w:szCs w:val="18"/>
                    </w:rPr>
                    <w:t>EGFR</w:t>
                  </w:r>
                  <w:r w:rsidR="001E7CE4" w:rsidRPr="002847AE">
                    <w:rPr>
                      <w:rFonts w:ascii="Calibri" w:hAnsi="Calibri" w:cs="Calibri"/>
                      <w:bCs/>
                      <w:sz w:val="18"/>
                      <w:szCs w:val="18"/>
                    </w:rPr>
                    <w:t xml:space="preserve"> mutation is indicated for the factor more strongly associated with </w:t>
                  </w:r>
                  <w:r w:rsidR="001E7CE4" w:rsidRPr="002847AE">
                    <w:rPr>
                      <w:rFonts w:ascii="Calibri" w:hAnsi="Calibri" w:cs="Calibri"/>
                      <w:bCs/>
                      <w:i/>
                      <w:sz w:val="18"/>
                      <w:szCs w:val="18"/>
                    </w:rPr>
                    <w:t>EGFR</w:t>
                  </w:r>
                  <w:r w:rsidR="001E7CE4" w:rsidRPr="002847AE">
                    <w:rPr>
                      <w:rFonts w:ascii="Calibri" w:hAnsi="Calibri" w:cs="Calibri"/>
                      <w:bCs/>
                      <w:sz w:val="18"/>
                      <w:szCs w:val="18"/>
                    </w:rPr>
                    <w:t xml:space="preserve"> mutation</w:t>
                  </w:r>
                </w:p>
                <w:p w:rsidR="001E7CE4" w:rsidRPr="002847AE" w:rsidRDefault="00665CB4" w:rsidP="00A26FF8">
                  <w:pPr>
                    <w:ind w:hanging="93"/>
                    <w:rPr>
                      <w:rFonts w:ascii="Calibri" w:hAnsi="Calibri" w:cs="Calibri"/>
                      <w:bCs/>
                      <w:sz w:val="18"/>
                      <w:szCs w:val="18"/>
                    </w:rPr>
                  </w:pPr>
                  <w:r w:rsidRPr="00AC081E">
                    <w:rPr>
                      <w:rFonts w:ascii="Calibri" w:hAnsi="Calibri" w:cs="Calibri"/>
                      <w:bCs/>
                      <w:sz w:val="18"/>
                      <w:szCs w:val="18"/>
                      <w:vertAlign w:val="superscript"/>
                    </w:rPr>
                    <w:t>b</w:t>
                  </w:r>
                  <w:r>
                    <w:rPr>
                      <w:rFonts w:ascii="Calibri" w:hAnsi="Calibri" w:cs="Calibri"/>
                      <w:bCs/>
                      <w:sz w:val="18"/>
                      <w:szCs w:val="18"/>
                      <w:vertAlign w:val="superscript"/>
                    </w:rPr>
                    <w:t xml:space="preserve"> </w:t>
                  </w:r>
                  <w:r w:rsidRPr="002847AE">
                    <w:rPr>
                      <w:rFonts w:ascii="Calibri" w:hAnsi="Calibri" w:cs="Calibri"/>
                      <w:bCs/>
                      <w:sz w:val="18"/>
                      <w:szCs w:val="18"/>
                    </w:rPr>
                    <w:t>Comparing</w:t>
                  </w:r>
                  <w:r w:rsidR="001E7CE4" w:rsidRPr="002847AE">
                    <w:rPr>
                      <w:rFonts w:ascii="Calibri" w:hAnsi="Calibri" w:cs="Calibri"/>
                      <w:bCs/>
                      <w:sz w:val="18"/>
                      <w:szCs w:val="18"/>
                    </w:rPr>
                    <w:t xml:space="preserve"> Well to Poor</w:t>
                  </w:r>
                </w:p>
                <w:p w:rsidR="001E7CE4" w:rsidRPr="002847AE" w:rsidRDefault="00665CB4" w:rsidP="00A26FF8">
                  <w:pPr>
                    <w:ind w:hanging="93"/>
                    <w:rPr>
                      <w:rFonts w:ascii="Calibri" w:hAnsi="Calibri" w:cs="Calibri"/>
                      <w:bCs/>
                      <w:sz w:val="18"/>
                      <w:szCs w:val="18"/>
                    </w:rPr>
                  </w:pPr>
                  <w:r w:rsidRPr="00AC081E">
                    <w:rPr>
                      <w:rFonts w:ascii="Calibri" w:hAnsi="Calibri" w:cs="Calibri"/>
                      <w:bCs/>
                      <w:sz w:val="18"/>
                      <w:szCs w:val="18"/>
                      <w:vertAlign w:val="superscript"/>
                    </w:rPr>
                    <w:t>c</w:t>
                  </w:r>
                  <w:r>
                    <w:rPr>
                      <w:rFonts w:ascii="Calibri" w:hAnsi="Calibri" w:cs="Calibri"/>
                      <w:bCs/>
                      <w:sz w:val="18"/>
                      <w:szCs w:val="18"/>
                      <w:vertAlign w:val="superscript"/>
                    </w:rPr>
                    <w:t xml:space="preserve"> </w:t>
                  </w:r>
                  <w:r w:rsidRPr="002847AE">
                    <w:rPr>
                      <w:rFonts w:ascii="Calibri" w:hAnsi="Calibri" w:cs="Calibri"/>
                      <w:bCs/>
                      <w:sz w:val="18"/>
                      <w:szCs w:val="18"/>
                    </w:rPr>
                    <w:t>Comparing</w:t>
                  </w:r>
                  <w:r w:rsidR="001E7CE4" w:rsidRPr="002847AE">
                    <w:rPr>
                      <w:rFonts w:ascii="Calibri" w:hAnsi="Calibri" w:cs="Calibri"/>
                      <w:bCs/>
                      <w:sz w:val="18"/>
                      <w:szCs w:val="18"/>
                    </w:rPr>
                    <w:t xml:space="preserve"> Well + Moderate to Poor</w:t>
                  </w:r>
                </w:p>
                <w:p w:rsidR="001E7CE4" w:rsidRPr="00A21238" w:rsidRDefault="001E7CE4">
                  <w:pPr>
                    <w:rPr>
                      <w:rFonts w:ascii="Century Gothic" w:hAnsi="Century Gothic" w:cs="Calibri"/>
                      <w:b/>
                      <w:bCs/>
                      <w:sz w:val="20"/>
                      <w:szCs w:val="20"/>
                    </w:rPr>
                  </w:pPr>
                </w:p>
                <w:p w:rsidR="001E7CE4" w:rsidRPr="00A21238" w:rsidRDefault="001E7CE4">
                  <w:pPr>
                    <w:rPr>
                      <w:rFonts w:ascii="Century Gothic" w:hAnsi="Century Gothic" w:cs="Calibri"/>
                      <w:b/>
                      <w:bCs/>
                      <w:sz w:val="20"/>
                      <w:szCs w:val="20"/>
                    </w:rPr>
                  </w:pPr>
                </w:p>
                <w:p w:rsidR="00147866" w:rsidRPr="00A21238" w:rsidRDefault="00147866">
                  <w:pPr>
                    <w:rPr>
                      <w:rFonts w:ascii="Century Gothic" w:hAnsi="Century Gothic" w:cs="Calibri"/>
                      <w:b/>
                      <w:bCs/>
                      <w:sz w:val="20"/>
                      <w:szCs w:val="20"/>
                    </w:rPr>
                  </w:pPr>
                </w:p>
                <w:p w:rsidR="00147866" w:rsidRPr="00A21238" w:rsidRDefault="00147866">
                  <w:pPr>
                    <w:rPr>
                      <w:rFonts w:ascii="Century Gothic" w:hAnsi="Century Gothic" w:cs="Calibri"/>
                      <w:b/>
                      <w:bCs/>
                      <w:sz w:val="20"/>
                      <w:szCs w:val="20"/>
                    </w:rPr>
                  </w:pPr>
                </w:p>
                <w:p w:rsidR="00147866" w:rsidRPr="00A21238" w:rsidRDefault="00147866">
                  <w:pPr>
                    <w:rPr>
                      <w:rFonts w:ascii="Century Gothic" w:hAnsi="Century Gothic" w:cs="Calibri"/>
                      <w:b/>
                      <w:bCs/>
                      <w:sz w:val="20"/>
                      <w:szCs w:val="20"/>
                    </w:rPr>
                  </w:pPr>
                </w:p>
                <w:p w:rsidR="00147866" w:rsidRPr="00A21238" w:rsidRDefault="00147866">
                  <w:pPr>
                    <w:rPr>
                      <w:rFonts w:ascii="Century Gothic" w:hAnsi="Century Gothic" w:cs="Calibri"/>
                      <w:b/>
                      <w:bCs/>
                      <w:sz w:val="20"/>
                      <w:szCs w:val="20"/>
                    </w:rPr>
                  </w:pPr>
                </w:p>
                <w:p w:rsidR="00147866" w:rsidRPr="00A21238" w:rsidRDefault="00147866">
                  <w:pPr>
                    <w:rPr>
                      <w:rFonts w:ascii="Century Gothic" w:hAnsi="Century Gothic" w:cs="Calibri"/>
                      <w:b/>
                      <w:bCs/>
                      <w:sz w:val="20"/>
                      <w:szCs w:val="20"/>
                    </w:rPr>
                  </w:pPr>
                </w:p>
                <w:p w:rsidR="00147866" w:rsidRPr="00A21238" w:rsidRDefault="00147866">
                  <w:pPr>
                    <w:rPr>
                      <w:rFonts w:ascii="Century Gothic" w:hAnsi="Century Gothic" w:cs="Calibri"/>
                      <w:b/>
                      <w:bCs/>
                      <w:sz w:val="20"/>
                      <w:szCs w:val="20"/>
                    </w:rPr>
                  </w:pPr>
                </w:p>
                <w:p w:rsidR="00147866" w:rsidRPr="00A21238" w:rsidRDefault="00147866">
                  <w:pPr>
                    <w:rPr>
                      <w:rFonts w:ascii="Century Gothic" w:hAnsi="Century Gothic" w:cs="Calibri"/>
                      <w:b/>
                      <w:bCs/>
                      <w:sz w:val="20"/>
                      <w:szCs w:val="20"/>
                    </w:rPr>
                  </w:pPr>
                </w:p>
                <w:p w:rsidR="00147866" w:rsidRPr="00A21238" w:rsidRDefault="00147866">
                  <w:pPr>
                    <w:rPr>
                      <w:rFonts w:ascii="Century Gothic" w:hAnsi="Century Gothic" w:cs="Calibri"/>
                      <w:b/>
                      <w:bCs/>
                      <w:sz w:val="20"/>
                      <w:szCs w:val="20"/>
                    </w:rPr>
                  </w:pPr>
                </w:p>
                <w:p w:rsidR="00147866" w:rsidRPr="00A21238" w:rsidRDefault="00147866">
                  <w:pPr>
                    <w:rPr>
                      <w:rFonts w:ascii="Century Gothic" w:hAnsi="Century Gothic" w:cs="Calibri"/>
                      <w:b/>
                      <w:bCs/>
                      <w:sz w:val="20"/>
                      <w:szCs w:val="20"/>
                    </w:rPr>
                  </w:pPr>
                </w:p>
                <w:p w:rsidR="00147866" w:rsidRPr="00A21238" w:rsidRDefault="00147866">
                  <w:pPr>
                    <w:rPr>
                      <w:rFonts w:ascii="Century Gothic" w:hAnsi="Century Gothic" w:cs="Calibri"/>
                      <w:b/>
                      <w:bCs/>
                      <w:sz w:val="20"/>
                      <w:szCs w:val="20"/>
                    </w:rPr>
                  </w:pPr>
                </w:p>
                <w:p w:rsidR="00147866" w:rsidRPr="00A21238" w:rsidRDefault="00147866">
                  <w:pPr>
                    <w:rPr>
                      <w:rFonts w:ascii="Century Gothic" w:hAnsi="Century Gothic" w:cs="Calibri"/>
                      <w:b/>
                      <w:bCs/>
                      <w:sz w:val="20"/>
                      <w:szCs w:val="20"/>
                    </w:rPr>
                  </w:pPr>
                </w:p>
                <w:p w:rsidR="00147866" w:rsidRPr="00A21238" w:rsidRDefault="00147866">
                  <w:pPr>
                    <w:rPr>
                      <w:rFonts w:ascii="Century Gothic" w:hAnsi="Century Gothic" w:cs="Calibri"/>
                      <w:b/>
                      <w:bCs/>
                      <w:sz w:val="20"/>
                      <w:szCs w:val="20"/>
                    </w:rPr>
                  </w:pPr>
                </w:p>
                <w:p w:rsidR="00147866" w:rsidRPr="00A21238" w:rsidRDefault="00147866">
                  <w:pPr>
                    <w:rPr>
                      <w:rFonts w:ascii="Century Gothic" w:hAnsi="Century Gothic" w:cs="Calibri"/>
                      <w:b/>
                      <w:bCs/>
                      <w:sz w:val="20"/>
                      <w:szCs w:val="20"/>
                    </w:rPr>
                  </w:pPr>
                </w:p>
                <w:p w:rsidR="00147866" w:rsidRPr="00A21238" w:rsidRDefault="00147866">
                  <w:pPr>
                    <w:rPr>
                      <w:rFonts w:ascii="Century Gothic" w:hAnsi="Century Gothic" w:cs="Calibri"/>
                      <w:b/>
                      <w:bCs/>
                      <w:sz w:val="20"/>
                      <w:szCs w:val="20"/>
                    </w:rPr>
                  </w:pPr>
                </w:p>
                <w:p w:rsidR="00147866" w:rsidRPr="00A21238" w:rsidRDefault="00147866">
                  <w:pPr>
                    <w:rPr>
                      <w:rFonts w:ascii="Century Gothic" w:hAnsi="Century Gothic" w:cs="Calibri"/>
                      <w:b/>
                      <w:bCs/>
                      <w:sz w:val="20"/>
                      <w:szCs w:val="20"/>
                    </w:rPr>
                  </w:pPr>
                </w:p>
                <w:p w:rsidR="008258B0" w:rsidRDefault="008258B0">
                  <w:pPr>
                    <w:rPr>
                      <w:rFonts w:ascii="Century Gothic" w:hAnsi="Century Gothic" w:cs="Calibri"/>
                      <w:b/>
                      <w:bCs/>
                      <w:sz w:val="20"/>
                      <w:szCs w:val="20"/>
                    </w:rPr>
                  </w:pPr>
                </w:p>
                <w:p w:rsidR="008258B0" w:rsidRDefault="008258B0">
                  <w:pPr>
                    <w:rPr>
                      <w:rFonts w:ascii="Century Gothic" w:hAnsi="Century Gothic" w:cs="Calibri"/>
                      <w:b/>
                      <w:bCs/>
                      <w:sz w:val="20"/>
                      <w:szCs w:val="20"/>
                    </w:rPr>
                  </w:pPr>
                </w:p>
                <w:p w:rsidR="002847AE" w:rsidRDefault="002847AE">
                  <w:pPr>
                    <w:rPr>
                      <w:rFonts w:ascii="Century Gothic" w:hAnsi="Century Gothic" w:cs="Calibri"/>
                      <w:b/>
                      <w:bCs/>
                      <w:sz w:val="20"/>
                      <w:szCs w:val="20"/>
                    </w:rPr>
                  </w:pPr>
                </w:p>
                <w:p w:rsidR="00D9506C" w:rsidRPr="00A21238" w:rsidRDefault="00401D35">
                  <w:pPr>
                    <w:rPr>
                      <w:rFonts w:ascii="Century Gothic" w:eastAsiaTheme="minorHAnsi" w:hAnsi="Century Gothic" w:cs="Calibri"/>
                      <w:b/>
                      <w:bCs/>
                      <w:sz w:val="20"/>
                      <w:szCs w:val="20"/>
                    </w:rPr>
                  </w:pPr>
                  <w:r w:rsidRPr="00A21238">
                    <w:rPr>
                      <w:rFonts w:ascii="Century Gothic" w:hAnsi="Century Gothic" w:cs="Calibri"/>
                      <w:b/>
                      <w:bCs/>
                      <w:sz w:val="20"/>
                      <w:szCs w:val="20"/>
                    </w:rPr>
                    <w:lastRenderedPageBreak/>
                    <w:t xml:space="preserve">Table </w:t>
                  </w:r>
                  <w:r w:rsidR="00A566D8">
                    <w:rPr>
                      <w:rFonts w:ascii="Century Gothic" w:hAnsi="Century Gothic" w:cs="Calibri"/>
                      <w:b/>
                      <w:bCs/>
                      <w:sz w:val="20"/>
                      <w:szCs w:val="20"/>
                    </w:rPr>
                    <w:t>10</w:t>
                  </w:r>
                  <w:r w:rsidR="00D9506C" w:rsidRPr="00A21238">
                    <w:rPr>
                      <w:rFonts w:ascii="Century Gothic" w:hAnsi="Century Gothic" w:cs="Calibri"/>
                      <w:b/>
                      <w:bCs/>
                      <w:sz w:val="20"/>
                      <w:szCs w:val="20"/>
                    </w:rPr>
                    <w:t xml:space="preserve">:  Pooled analyses of factors associated with </w:t>
                  </w:r>
                  <w:r w:rsidR="00D9506C" w:rsidRPr="00A21238">
                    <w:rPr>
                      <w:rFonts w:ascii="Century Gothic" w:hAnsi="Century Gothic" w:cs="Calibri"/>
                      <w:b/>
                      <w:bCs/>
                      <w:i/>
                      <w:iCs/>
                      <w:sz w:val="20"/>
                      <w:szCs w:val="20"/>
                    </w:rPr>
                    <w:t>EGFR</w:t>
                  </w:r>
                  <w:r w:rsidR="00D9506C" w:rsidRPr="00A21238">
                    <w:rPr>
                      <w:rFonts w:ascii="Century Gothic" w:hAnsi="Century Gothic" w:cs="Calibri"/>
                      <w:b/>
                      <w:bCs/>
                      <w:sz w:val="20"/>
                      <w:szCs w:val="20"/>
                    </w:rPr>
                    <w:t xml:space="preserve"> mutation status in studies containing primarily Non-Asian patients</w:t>
                  </w:r>
                </w:p>
              </w:tc>
            </w:tr>
            <w:tr w:rsidR="00D9506C" w:rsidRPr="00A21238" w:rsidTr="00817982">
              <w:trPr>
                <w:trHeight w:val="780"/>
              </w:trPr>
              <w:tc>
                <w:tcPr>
                  <w:tcW w:w="3345"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hideMark/>
                </w:tcPr>
                <w:p w:rsidR="00D9506C" w:rsidRPr="00A21238" w:rsidRDefault="00D9506C">
                  <w:pPr>
                    <w:rPr>
                      <w:rFonts w:ascii="Calibri" w:eastAsiaTheme="minorHAnsi" w:hAnsi="Calibri" w:cs="Calibri"/>
                      <w:sz w:val="20"/>
                      <w:szCs w:val="20"/>
                    </w:rPr>
                  </w:pPr>
                  <w:r w:rsidRPr="00A21238">
                    <w:rPr>
                      <w:rFonts w:ascii="Calibri" w:hAnsi="Calibri" w:cs="Calibri"/>
                      <w:sz w:val="20"/>
                      <w:szCs w:val="20"/>
                    </w:rPr>
                    <w:lastRenderedPageBreak/>
                    <w:t> </w:t>
                  </w:r>
                </w:p>
              </w:tc>
              <w:tc>
                <w:tcPr>
                  <w:tcW w:w="162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hideMark/>
                </w:tcPr>
                <w:p w:rsidR="00D9506C" w:rsidRPr="00A21238" w:rsidRDefault="00D9506C" w:rsidP="00525241">
                  <w:pPr>
                    <w:jc w:val="center"/>
                    <w:rPr>
                      <w:rFonts w:ascii="Calibri" w:eastAsiaTheme="minorHAnsi" w:hAnsi="Calibri" w:cs="Calibri"/>
                      <w:b/>
                      <w:bCs/>
                      <w:sz w:val="20"/>
                      <w:szCs w:val="20"/>
                    </w:rPr>
                  </w:pPr>
                  <w:r w:rsidRPr="00A21238">
                    <w:rPr>
                      <w:rFonts w:ascii="Calibri" w:hAnsi="Calibri" w:cs="Calibri"/>
                      <w:b/>
                      <w:bCs/>
                      <w:sz w:val="20"/>
                      <w:szCs w:val="20"/>
                    </w:rPr>
                    <w:t>n(N)</w:t>
                  </w:r>
                </w:p>
              </w:tc>
              <w:tc>
                <w:tcPr>
                  <w:tcW w:w="1800" w:type="dxa"/>
                  <w:tcBorders>
                    <w:top w:val="single" w:sz="8" w:space="0" w:color="auto"/>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bottom"/>
                  <w:hideMark/>
                </w:tcPr>
                <w:p w:rsidR="008258B0" w:rsidRDefault="00D9506C" w:rsidP="00525241">
                  <w:pPr>
                    <w:jc w:val="center"/>
                    <w:rPr>
                      <w:rFonts w:ascii="Calibri" w:hAnsi="Calibri" w:cs="Calibri"/>
                      <w:b/>
                      <w:bCs/>
                      <w:sz w:val="20"/>
                      <w:szCs w:val="20"/>
                    </w:rPr>
                  </w:pPr>
                  <w:r w:rsidRPr="00A21238">
                    <w:rPr>
                      <w:rFonts w:ascii="Calibri" w:hAnsi="Calibri" w:cs="Calibri"/>
                      <w:b/>
                      <w:bCs/>
                      <w:i/>
                      <w:iCs/>
                      <w:sz w:val="20"/>
                      <w:szCs w:val="20"/>
                    </w:rPr>
                    <w:t>EGFR</w:t>
                  </w:r>
                  <w:r w:rsidRPr="00A21238">
                    <w:rPr>
                      <w:rFonts w:ascii="Calibri" w:hAnsi="Calibri" w:cs="Calibri"/>
                      <w:b/>
                      <w:bCs/>
                      <w:sz w:val="20"/>
                      <w:szCs w:val="20"/>
                    </w:rPr>
                    <w:t xml:space="preserve"> mutation </w:t>
                  </w:r>
                </w:p>
                <w:p w:rsidR="00D9506C" w:rsidRPr="00A21238" w:rsidRDefault="00D9506C" w:rsidP="00525241">
                  <w:pPr>
                    <w:jc w:val="center"/>
                    <w:rPr>
                      <w:rFonts w:ascii="Calibri" w:eastAsiaTheme="minorHAnsi" w:hAnsi="Calibri" w:cs="Calibri"/>
                      <w:b/>
                      <w:bCs/>
                      <w:sz w:val="20"/>
                      <w:szCs w:val="20"/>
                    </w:rPr>
                  </w:pPr>
                  <w:r w:rsidRPr="00A21238">
                    <w:rPr>
                      <w:rFonts w:ascii="Calibri" w:hAnsi="Calibri" w:cs="Calibri"/>
                      <w:b/>
                      <w:bCs/>
                      <w:sz w:val="20"/>
                      <w:szCs w:val="20"/>
                    </w:rPr>
                    <w:t>R</w:t>
                  </w:r>
                  <w:r w:rsidR="008258B0">
                    <w:rPr>
                      <w:rFonts w:ascii="Calibri" w:hAnsi="Calibri" w:cs="Calibri"/>
                      <w:b/>
                      <w:bCs/>
                      <w:sz w:val="20"/>
                      <w:szCs w:val="20"/>
                    </w:rPr>
                    <w:t>R [</w:t>
                  </w:r>
                  <w:r w:rsidRPr="00A21238">
                    <w:rPr>
                      <w:rFonts w:ascii="Calibri" w:hAnsi="Calibri" w:cs="Calibri"/>
                      <w:b/>
                      <w:bCs/>
                      <w:sz w:val="20"/>
                      <w:szCs w:val="20"/>
                    </w:rPr>
                    <w:t xml:space="preserve"> 95%CI</w:t>
                  </w:r>
                  <w:r w:rsidR="008258B0">
                    <w:rPr>
                      <w:rFonts w:ascii="Calibri" w:hAnsi="Calibri" w:cs="Calibri"/>
                      <w:b/>
                      <w:bCs/>
                      <w:sz w:val="20"/>
                      <w:szCs w:val="20"/>
                    </w:rPr>
                    <w:t>]</w:t>
                  </w:r>
                  <w:r w:rsidR="00AC081E" w:rsidRPr="00AC081E">
                    <w:rPr>
                      <w:rFonts w:ascii="Calibri" w:hAnsi="Calibri" w:cs="Calibri"/>
                      <w:b/>
                      <w:bCs/>
                      <w:sz w:val="20"/>
                      <w:szCs w:val="20"/>
                      <w:vertAlign w:val="superscript"/>
                    </w:rPr>
                    <w:t>a</w:t>
                  </w:r>
                </w:p>
              </w:tc>
              <w:tc>
                <w:tcPr>
                  <w:tcW w:w="198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9506C" w:rsidRPr="00A21238" w:rsidRDefault="00F60EE8" w:rsidP="00525241">
                  <w:pPr>
                    <w:jc w:val="center"/>
                    <w:rPr>
                      <w:rFonts w:ascii="Calibri" w:eastAsiaTheme="minorHAnsi" w:hAnsi="Calibri" w:cs="Calibri"/>
                      <w:b/>
                      <w:bCs/>
                      <w:sz w:val="20"/>
                      <w:szCs w:val="20"/>
                    </w:rPr>
                  </w:pPr>
                  <w:r w:rsidRPr="00A21238">
                    <w:rPr>
                      <w:rFonts w:ascii="Calibri" w:hAnsi="Calibri" w:cs="Calibri"/>
                      <w:b/>
                      <w:bCs/>
                      <w:i/>
                      <w:sz w:val="20"/>
                      <w:szCs w:val="20"/>
                    </w:rPr>
                    <w:t>P</w:t>
                  </w:r>
                  <w:r w:rsidR="00D9506C" w:rsidRPr="00A21238">
                    <w:rPr>
                      <w:rFonts w:ascii="Calibri" w:hAnsi="Calibri" w:cs="Calibri"/>
                      <w:b/>
                      <w:bCs/>
                      <w:sz w:val="20"/>
                      <w:szCs w:val="20"/>
                    </w:rPr>
                    <w:t>-value</w:t>
                  </w:r>
                </w:p>
              </w:tc>
            </w:tr>
            <w:tr w:rsidR="00D9506C" w:rsidRPr="00A21238" w:rsidTr="00817982">
              <w:trPr>
                <w:trHeight w:val="270"/>
              </w:trPr>
              <w:tc>
                <w:tcPr>
                  <w:tcW w:w="3345"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hideMark/>
                </w:tcPr>
                <w:p w:rsidR="00D9506C" w:rsidRPr="00A21238" w:rsidRDefault="007F34E3">
                  <w:pPr>
                    <w:rPr>
                      <w:rFonts w:ascii="Calibri" w:eastAsiaTheme="minorHAnsi" w:hAnsi="Calibri" w:cs="Calibri"/>
                      <w:b/>
                      <w:bCs/>
                      <w:sz w:val="20"/>
                      <w:szCs w:val="20"/>
                    </w:rPr>
                  </w:pPr>
                  <w:r w:rsidRPr="00A21238">
                    <w:rPr>
                      <w:rFonts w:ascii="Calibri" w:hAnsi="Calibri" w:cs="Calibri"/>
                      <w:b/>
                      <w:bCs/>
                      <w:sz w:val="20"/>
                      <w:szCs w:val="20"/>
                    </w:rPr>
                    <w:t>Sex</w:t>
                  </w:r>
                </w:p>
              </w:tc>
              <w:tc>
                <w:tcPr>
                  <w:tcW w:w="1620" w:type="dxa"/>
                  <w:tcBorders>
                    <w:top w:val="single" w:sz="8" w:space="0" w:color="000000"/>
                    <w:left w:val="single" w:sz="8" w:space="0" w:color="000000"/>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9506C" w:rsidRPr="00A21238" w:rsidRDefault="00D9506C" w:rsidP="00525241">
                  <w:pPr>
                    <w:jc w:val="center"/>
                    <w:rPr>
                      <w:rFonts w:ascii="Calibri" w:eastAsiaTheme="minorHAnsi" w:hAnsi="Calibri" w:cs="Calibri"/>
                      <w:sz w:val="20"/>
                      <w:szCs w:val="20"/>
                    </w:rPr>
                  </w:pPr>
                </w:p>
              </w:tc>
              <w:tc>
                <w:tcPr>
                  <w:tcW w:w="18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9506C" w:rsidRPr="00A21238" w:rsidRDefault="00D9506C" w:rsidP="00525241">
                  <w:pPr>
                    <w:jc w:val="center"/>
                    <w:rPr>
                      <w:rFonts w:ascii="Calibri" w:eastAsiaTheme="minorHAnsi" w:hAnsi="Calibri" w:cs="Calibri"/>
                      <w:sz w:val="20"/>
                      <w:szCs w:val="20"/>
                    </w:rPr>
                  </w:pPr>
                </w:p>
              </w:tc>
              <w:tc>
                <w:tcPr>
                  <w:tcW w:w="19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9506C" w:rsidRPr="00A21238" w:rsidRDefault="00D9506C" w:rsidP="00525241">
                  <w:pPr>
                    <w:jc w:val="center"/>
                    <w:rPr>
                      <w:rFonts w:ascii="Calibri" w:eastAsiaTheme="minorHAnsi" w:hAnsi="Calibri" w:cs="Calibri"/>
                      <w:sz w:val="20"/>
                      <w:szCs w:val="20"/>
                    </w:rPr>
                  </w:pPr>
                </w:p>
              </w:tc>
            </w:tr>
            <w:tr w:rsidR="00D9506C" w:rsidRPr="00A21238" w:rsidTr="00525241">
              <w:trPr>
                <w:trHeight w:val="270"/>
              </w:trPr>
              <w:tc>
                <w:tcPr>
                  <w:tcW w:w="3345" w:type="dxa"/>
                  <w:tcBorders>
                    <w:top w:val="single" w:sz="8" w:space="0" w:color="000000"/>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506C" w:rsidRPr="00A21238" w:rsidRDefault="00D9506C" w:rsidP="0002496E">
                  <w:pPr>
                    <w:ind w:firstLine="357"/>
                    <w:rPr>
                      <w:rFonts w:ascii="Calibri" w:eastAsiaTheme="minorHAnsi" w:hAnsi="Calibri" w:cs="Calibri"/>
                      <w:b/>
                      <w:bCs/>
                      <w:sz w:val="20"/>
                      <w:szCs w:val="20"/>
                    </w:rPr>
                  </w:pPr>
                  <w:r w:rsidRPr="00A21238">
                    <w:rPr>
                      <w:rFonts w:ascii="Calibri" w:hAnsi="Calibri" w:cs="Calibri"/>
                      <w:b/>
                      <w:bCs/>
                      <w:sz w:val="20"/>
                      <w:szCs w:val="20"/>
                    </w:rPr>
                    <w:t>Female</w:t>
                  </w:r>
                  <w:r w:rsidR="0002496E" w:rsidRPr="0002496E">
                    <w:rPr>
                      <w:rFonts w:ascii="Calibri" w:hAnsi="Calibri" w:cs="Calibri"/>
                      <w:b/>
                      <w:bCs/>
                      <w:noProof/>
                      <w:sz w:val="20"/>
                      <w:szCs w:val="20"/>
                      <w:vertAlign w:val="superscript"/>
                    </w:rPr>
                    <w:t>10, 20, 22, 25, 32, 33, 39-47, 49, 53-55</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06C" w:rsidRPr="00A21238" w:rsidRDefault="00D9506C" w:rsidP="00525241">
                  <w:pPr>
                    <w:jc w:val="center"/>
                    <w:rPr>
                      <w:rFonts w:ascii="Calibri" w:eastAsiaTheme="minorHAnsi" w:hAnsi="Calibri" w:cs="Calibri"/>
                      <w:sz w:val="20"/>
                      <w:szCs w:val="20"/>
                    </w:rPr>
                  </w:pPr>
                  <w:r w:rsidRPr="00A21238">
                    <w:rPr>
                      <w:rFonts w:ascii="Calibri" w:hAnsi="Calibri" w:cs="Calibri"/>
                      <w:sz w:val="20"/>
                      <w:szCs w:val="20"/>
                    </w:rPr>
                    <w:t>19(3098)</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06C" w:rsidRPr="00A21238" w:rsidRDefault="00D9506C" w:rsidP="00525241">
                  <w:pPr>
                    <w:jc w:val="center"/>
                    <w:rPr>
                      <w:rFonts w:ascii="Calibri" w:eastAsiaTheme="minorHAnsi" w:hAnsi="Calibri" w:cs="Calibri"/>
                      <w:sz w:val="20"/>
                      <w:szCs w:val="20"/>
                    </w:rPr>
                  </w:pPr>
                  <w:r w:rsidRPr="00A21238">
                    <w:rPr>
                      <w:rFonts w:ascii="Calibri" w:hAnsi="Calibri" w:cs="Calibri"/>
                      <w:sz w:val="20"/>
                      <w:szCs w:val="20"/>
                    </w:rPr>
                    <w:t>1.67 [1.38, 2.01]</w:t>
                  </w:r>
                </w:p>
              </w:tc>
              <w:tc>
                <w:tcPr>
                  <w:tcW w:w="198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D9506C" w:rsidRPr="00A21238" w:rsidRDefault="00F60EE8" w:rsidP="00525241">
                  <w:pPr>
                    <w:jc w:val="center"/>
                    <w:rPr>
                      <w:rFonts w:ascii="Calibri" w:eastAsiaTheme="minorHAnsi" w:hAnsi="Calibri" w:cs="Calibri"/>
                      <w:b/>
                      <w:bCs/>
                      <w:sz w:val="20"/>
                      <w:szCs w:val="20"/>
                    </w:rPr>
                  </w:pPr>
                  <w:r w:rsidRPr="00A21238">
                    <w:rPr>
                      <w:rFonts w:asciiTheme="minorHAnsi" w:hAnsiTheme="minorHAnsi" w:cstheme="minorHAnsi"/>
                      <w:b/>
                      <w:bCs/>
                      <w:i/>
                      <w:sz w:val="20"/>
                      <w:szCs w:val="20"/>
                    </w:rPr>
                    <w:t>P</w:t>
                  </w:r>
                  <w:r w:rsidRPr="00A21238">
                    <w:rPr>
                      <w:rFonts w:asciiTheme="minorHAnsi" w:hAnsiTheme="minorHAnsi" w:cstheme="minorHAnsi"/>
                      <w:b/>
                      <w:bCs/>
                      <w:sz w:val="20"/>
                      <w:szCs w:val="20"/>
                    </w:rPr>
                    <w:t>&lt;.001</w:t>
                  </w:r>
                </w:p>
              </w:tc>
            </w:tr>
            <w:tr w:rsidR="00D9506C" w:rsidRPr="00A21238" w:rsidTr="00525241">
              <w:trPr>
                <w:trHeight w:val="27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506C" w:rsidRPr="00A21238" w:rsidRDefault="00D9506C" w:rsidP="0002496E">
                  <w:pPr>
                    <w:ind w:firstLine="357"/>
                    <w:rPr>
                      <w:rFonts w:ascii="Calibri" w:eastAsiaTheme="minorHAnsi" w:hAnsi="Calibri" w:cs="Calibri"/>
                      <w:b/>
                      <w:bCs/>
                      <w:sz w:val="20"/>
                      <w:szCs w:val="20"/>
                    </w:rPr>
                  </w:pPr>
                  <w:r w:rsidRPr="00A21238">
                    <w:rPr>
                      <w:rFonts w:ascii="Calibri" w:hAnsi="Calibri" w:cs="Calibri"/>
                      <w:b/>
                      <w:bCs/>
                      <w:sz w:val="20"/>
                      <w:szCs w:val="20"/>
                    </w:rPr>
                    <w:t>Male</w:t>
                  </w:r>
                  <w:r w:rsidR="0002496E" w:rsidRPr="0002496E">
                    <w:rPr>
                      <w:rFonts w:ascii="Calibri" w:hAnsi="Calibri" w:cs="Calibri"/>
                      <w:b/>
                      <w:bCs/>
                      <w:noProof/>
                      <w:sz w:val="20"/>
                      <w:szCs w:val="20"/>
                      <w:vertAlign w:val="superscript"/>
                    </w:rPr>
                    <w:t>10, 20, 22, 25, 32, 33, 39-47, 49, 53-55</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06C" w:rsidRPr="00A21238" w:rsidRDefault="00D9506C" w:rsidP="00525241">
                  <w:pPr>
                    <w:jc w:val="center"/>
                    <w:rPr>
                      <w:rFonts w:ascii="Calibri" w:eastAsiaTheme="minorHAnsi" w:hAnsi="Calibri" w:cs="Calibri"/>
                      <w:sz w:val="20"/>
                      <w:szCs w:val="20"/>
                    </w:rPr>
                  </w:pPr>
                  <w:r w:rsidRPr="00A21238">
                    <w:rPr>
                      <w:rFonts w:ascii="Calibri" w:hAnsi="Calibri" w:cs="Calibri"/>
                      <w:sz w:val="20"/>
                      <w:szCs w:val="20"/>
                    </w:rPr>
                    <w:t>19(2165)</w:t>
                  </w:r>
                </w:p>
              </w:tc>
              <w:tc>
                <w:tcPr>
                  <w:tcW w:w="1800" w:type="dxa"/>
                  <w:tcBorders>
                    <w:top w:val="nil"/>
                    <w:left w:val="nil"/>
                    <w:bottom w:val="single" w:sz="8" w:space="0" w:color="auto"/>
                    <w:right w:val="single" w:sz="4" w:space="0" w:color="auto"/>
                  </w:tcBorders>
                  <w:noWrap/>
                  <w:tcMar>
                    <w:top w:w="0" w:type="dxa"/>
                    <w:left w:w="108" w:type="dxa"/>
                    <w:bottom w:w="0" w:type="dxa"/>
                    <w:right w:w="108" w:type="dxa"/>
                  </w:tcMar>
                  <w:vAlign w:val="bottom"/>
                  <w:hideMark/>
                </w:tcPr>
                <w:p w:rsidR="00D9506C" w:rsidRPr="00A21238" w:rsidRDefault="00D9506C" w:rsidP="00525241">
                  <w:pPr>
                    <w:jc w:val="center"/>
                    <w:rPr>
                      <w:rFonts w:ascii="Calibri" w:eastAsiaTheme="minorHAns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D9506C" w:rsidRPr="00A21238" w:rsidRDefault="00D9506C" w:rsidP="00525241">
                  <w:pPr>
                    <w:jc w:val="center"/>
                    <w:rPr>
                      <w:rFonts w:ascii="Calibri" w:eastAsiaTheme="minorEastAsia" w:hAnsi="Calibri" w:cs="Calibri"/>
                      <w:sz w:val="22"/>
                      <w:szCs w:val="22"/>
                    </w:rPr>
                  </w:pPr>
                </w:p>
              </w:tc>
            </w:tr>
            <w:tr w:rsidR="00D9506C" w:rsidRPr="00A21238" w:rsidTr="00817982">
              <w:trPr>
                <w:trHeight w:val="270"/>
              </w:trPr>
              <w:tc>
                <w:tcPr>
                  <w:tcW w:w="334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9506C" w:rsidRPr="00A21238" w:rsidRDefault="00D9506C">
                  <w:pPr>
                    <w:rPr>
                      <w:rFonts w:ascii="Calibri" w:eastAsiaTheme="minorHAnsi" w:hAnsi="Calibri" w:cs="Calibri"/>
                      <w:b/>
                      <w:bCs/>
                      <w:sz w:val="20"/>
                      <w:szCs w:val="20"/>
                    </w:rPr>
                  </w:pPr>
                  <w:r w:rsidRPr="00A21238">
                    <w:rPr>
                      <w:rFonts w:ascii="Calibri" w:hAnsi="Calibri" w:cs="Calibri"/>
                      <w:b/>
                      <w:bCs/>
                      <w:sz w:val="20"/>
                      <w:szCs w:val="20"/>
                    </w:rPr>
                    <w:t>Smoking</w:t>
                  </w:r>
                </w:p>
              </w:tc>
              <w:tc>
                <w:tcPr>
                  <w:tcW w:w="16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9506C" w:rsidRPr="00A21238" w:rsidRDefault="00D9506C" w:rsidP="00525241">
                  <w:pPr>
                    <w:jc w:val="center"/>
                    <w:rPr>
                      <w:rFonts w:ascii="Calibri" w:eastAsiaTheme="minorHAnsi" w:hAnsi="Calibri" w:cs="Calibri"/>
                      <w:sz w:val="20"/>
                      <w:szCs w:val="20"/>
                    </w:rPr>
                  </w:pPr>
                </w:p>
              </w:tc>
              <w:tc>
                <w:tcPr>
                  <w:tcW w:w="18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9506C" w:rsidRPr="00A21238" w:rsidRDefault="00D9506C" w:rsidP="00525241">
                  <w:pPr>
                    <w:jc w:val="center"/>
                    <w:rPr>
                      <w:rFonts w:ascii="Calibri" w:eastAsiaTheme="minorHAnsi" w:hAnsi="Calibri" w:cs="Calibri"/>
                      <w:sz w:val="20"/>
                      <w:szCs w:val="20"/>
                    </w:rPr>
                  </w:pPr>
                </w:p>
              </w:tc>
              <w:tc>
                <w:tcPr>
                  <w:tcW w:w="1980"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9506C" w:rsidRPr="00A21238" w:rsidRDefault="00D9506C" w:rsidP="00525241">
                  <w:pPr>
                    <w:jc w:val="center"/>
                    <w:rPr>
                      <w:rFonts w:ascii="Calibri" w:eastAsiaTheme="minorHAnsi" w:hAnsi="Calibri" w:cs="Calibri"/>
                      <w:sz w:val="20"/>
                      <w:szCs w:val="20"/>
                    </w:rPr>
                  </w:pPr>
                </w:p>
              </w:tc>
            </w:tr>
            <w:tr w:rsidR="00D9506C" w:rsidRPr="00A21238" w:rsidTr="00525241">
              <w:trPr>
                <w:trHeight w:val="27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506C" w:rsidRPr="00A21238" w:rsidRDefault="00D9506C" w:rsidP="0002496E">
                  <w:pPr>
                    <w:ind w:firstLine="357"/>
                    <w:rPr>
                      <w:rFonts w:ascii="Calibri" w:eastAsiaTheme="minorHAnsi" w:hAnsi="Calibri" w:cs="Calibri"/>
                      <w:b/>
                      <w:bCs/>
                      <w:sz w:val="20"/>
                      <w:szCs w:val="20"/>
                    </w:rPr>
                  </w:pPr>
                  <w:r w:rsidRPr="00A21238">
                    <w:rPr>
                      <w:rFonts w:ascii="Calibri" w:hAnsi="Calibri" w:cs="Calibri"/>
                      <w:b/>
                      <w:bCs/>
                      <w:sz w:val="20"/>
                      <w:szCs w:val="20"/>
                    </w:rPr>
                    <w:t>Never</w:t>
                  </w:r>
                  <w:r w:rsidR="0002496E" w:rsidRPr="0002496E">
                    <w:rPr>
                      <w:rFonts w:ascii="Calibri" w:hAnsi="Calibri" w:cs="Calibri"/>
                      <w:b/>
                      <w:bCs/>
                      <w:noProof/>
                      <w:sz w:val="20"/>
                      <w:szCs w:val="20"/>
                      <w:vertAlign w:val="superscript"/>
                    </w:rPr>
                    <w:t>10, 20, 22, 25, 32, 33, 39-47, 49, 53, 54</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06C" w:rsidRPr="00A21238" w:rsidRDefault="00D9506C" w:rsidP="00525241">
                  <w:pPr>
                    <w:jc w:val="center"/>
                    <w:rPr>
                      <w:rFonts w:ascii="Calibri" w:eastAsiaTheme="minorHAnsi" w:hAnsi="Calibri" w:cs="Calibri"/>
                      <w:sz w:val="20"/>
                      <w:szCs w:val="20"/>
                    </w:rPr>
                  </w:pPr>
                  <w:r w:rsidRPr="00A21238">
                    <w:rPr>
                      <w:rFonts w:ascii="Calibri" w:hAnsi="Calibri" w:cs="Calibri"/>
                      <w:sz w:val="20"/>
                      <w:szCs w:val="20"/>
                    </w:rPr>
                    <w:t>18(1471)</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06C" w:rsidRPr="00A21238" w:rsidRDefault="00D9506C" w:rsidP="00525241">
                  <w:pPr>
                    <w:jc w:val="center"/>
                    <w:rPr>
                      <w:rFonts w:ascii="Calibri" w:eastAsiaTheme="minorHAnsi" w:hAnsi="Calibri" w:cs="Calibri"/>
                      <w:sz w:val="20"/>
                      <w:szCs w:val="20"/>
                    </w:rPr>
                  </w:pPr>
                  <w:r w:rsidRPr="00A21238">
                    <w:rPr>
                      <w:rFonts w:ascii="Calibri" w:hAnsi="Calibri" w:cs="Calibri"/>
                      <w:sz w:val="20"/>
                      <w:szCs w:val="20"/>
                    </w:rPr>
                    <w:t>3.11 [2.28, 4.25]</w:t>
                  </w:r>
                </w:p>
              </w:tc>
              <w:tc>
                <w:tcPr>
                  <w:tcW w:w="198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D9506C" w:rsidRPr="00A21238" w:rsidRDefault="00F60EE8" w:rsidP="00525241">
                  <w:pPr>
                    <w:jc w:val="center"/>
                    <w:rPr>
                      <w:rFonts w:ascii="Calibri" w:eastAsiaTheme="minorHAnsi" w:hAnsi="Calibri" w:cs="Calibri"/>
                      <w:b/>
                      <w:bCs/>
                      <w:sz w:val="20"/>
                      <w:szCs w:val="20"/>
                    </w:rPr>
                  </w:pPr>
                  <w:r w:rsidRPr="00A21238">
                    <w:rPr>
                      <w:rFonts w:asciiTheme="minorHAnsi" w:hAnsiTheme="minorHAnsi" w:cstheme="minorHAnsi"/>
                      <w:b/>
                      <w:bCs/>
                      <w:i/>
                      <w:sz w:val="20"/>
                      <w:szCs w:val="20"/>
                    </w:rPr>
                    <w:t>P</w:t>
                  </w:r>
                  <w:r w:rsidRPr="00A21238">
                    <w:rPr>
                      <w:rFonts w:asciiTheme="minorHAnsi" w:hAnsiTheme="minorHAnsi" w:cstheme="minorHAnsi"/>
                      <w:b/>
                      <w:bCs/>
                      <w:sz w:val="20"/>
                      <w:szCs w:val="20"/>
                    </w:rPr>
                    <w:t>&lt;.001</w:t>
                  </w:r>
                </w:p>
              </w:tc>
            </w:tr>
            <w:tr w:rsidR="00D9506C" w:rsidRPr="00A21238" w:rsidTr="00525241">
              <w:trPr>
                <w:trHeight w:val="27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506C" w:rsidRPr="00A21238" w:rsidRDefault="00D9506C" w:rsidP="0002496E">
                  <w:pPr>
                    <w:ind w:firstLine="357"/>
                    <w:rPr>
                      <w:rFonts w:ascii="Calibri" w:eastAsiaTheme="minorHAnsi" w:hAnsi="Calibri" w:cs="Calibri"/>
                      <w:b/>
                      <w:bCs/>
                      <w:sz w:val="20"/>
                      <w:szCs w:val="20"/>
                    </w:rPr>
                  </w:pPr>
                  <w:r w:rsidRPr="00A21238">
                    <w:rPr>
                      <w:rFonts w:ascii="Calibri" w:hAnsi="Calibri" w:cs="Calibri"/>
                      <w:b/>
                      <w:bCs/>
                      <w:sz w:val="20"/>
                      <w:szCs w:val="20"/>
                    </w:rPr>
                    <w:t>Ever</w:t>
                  </w:r>
                  <w:r w:rsidR="0002496E" w:rsidRPr="0002496E">
                    <w:rPr>
                      <w:rFonts w:ascii="Calibri" w:hAnsi="Calibri" w:cs="Calibri"/>
                      <w:b/>
                      <w:bCs/>
                      <w:noProof/>
                      <w:sz w:val="20"/>
                      <w:szCs w:val="20"/>
                      <w:vertAlign w:val="superscript"/>
                    </w:rPr>
                    <w:t>10, 20, 22, 25, 32, 33, 39-47, 49, 53, 54</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06C" w:rsidRPr="00A21238" w:rsidRDefault="00D9506C" w:rsidP="00525241">
                  <w:pPr>
                    <w:jc w:val="center"/>
                    <w:rPr>
                      <w:rFonts w:ascii="Calibri" w:eastAsiaTheme="minorHAnsi" w:hAnsi="Calibri" w:cs="Calibri"/>
                      <w:sz w:val="20"/>
                      <w:szCs w:val="20"/>
                    </w:rPr>
                  </w:pPr>
                  <w:r w:rsidRPr="00A21238">
                    <w:rPr>
                      <w:rFonts w:ascii="Calibri" w:hAnsi="Calibri" w:cs="Calibri"/>
                      <w:sz w:val="20"/>
                      <w:szCs w:val="20"/>
                    </w:rPr>
                    <w:t>18(3723)</w:t>
                  </w:r>
                </w:p>
              </w:tc>
              <w:tc>
                <w:tcPr>
                  <w:tcW w:w="1800" w:type="dxa"/>
                  <w:tcBorders>
                    <w:top w:val="nil"/>
                    <w:left w:val="nil"/>
                    <w:bottom w:val="single" w:sz="8" w:space="0" w:color="auto"/>
                    <w:right w:val="single" w:sz="4" w:space="0" w:color="auto"/>
                  </w:tcBorders>
                  <w:noWrap/>
                  <w:tcMar>
                    <w:top w:w="0" w:type="dxa"/>
                    <w:left w:w="108" w:type="dxa"/>
                    <w:bottom w:w="0" w:type="dxa"/>
                    <w:right w:w="108" w:type="dxa"/>
                  </w:tcMar>
                  <w:vAlign w:val="bottom"/>
                  <w:hideMark/>
                </w:tcPr>
                <w:p w:rsidR="00D9506C" w:rsidRPr="00A21238" w:rsidRDefault="00D9506C" w:rsidP="00525241">
                  <w:pPr>
                    <w:jc w:val="center"/>
                    <w:rPr>
                      <w:rFonts w:ascii="Calibri" w:eastAsiaTheme="minorHAns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D9506C" w:rsidRPr="00A21238" w:rsidRDefault="00D9506C" w:rsidP="00525241">
                  <w:pPr>
                    <w:jc w:val="center"/>
                    <w:rPr>
                      <w:rFonts w:ascii="Calibri" w:eastAsiaTheme="minorEastAsia" w:hAnsi="Calibri" w:cs="Calibri"/>
                      <w:sz w:val="22"/>
                      <w:szCs w:val="22"/>
                    </w:rPr>
                  </w:pPr>
                </w:p>
              </w:tc>
            </w:tr>
            <w:tr w:rsidR="00D9506C" w:rsidRPr="00A21238" w:rsidTr="00817982">
              <w:trPr>
                <w:trHeight w:val="270"/>
              </w:trPr>
              <w:tc>
                <w:tcPr>
                  <w:tcW w:w="334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9506C" w:rsidRPr="00A21238" w:rsidRDefault="00D9506C">
                  <w:pPr>
                    <w:rPr>
                      <w:rFonts w:ascii="Calibri" w:eastAsiaTheme="minorHAnsi" w:hAnsi="Calibri" w:cs="Calibri"/>
                      <w:b/>
                      <w:bCs/>
                      <w:sz w:val="20"/>
                      <w:szCs w:val="20"/>
                    </w:rPr>
                  </w:pPr>
                  <w:r w:rsidRPr="00A21238">
                    <w:rPr>
                      <w:rFonts w:ascii="Calibri" w:hAnsi="Calibri" w:cs="Calibri"/>
                      <w:b/>
                      <w:bCs/>
                      <w:sz w:val="20"/>
                      <w:szCs w:val="20"/>
                    </w:rPr>
                    <w:t>Histology</w:t>
                  </w:r>
                </w:p>
              </w:tc>
              <w:tc>
                <w:tcPr>
                  <w:tcW w:w="16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9506C" w:rsidRPr="00A21238" w:rsidRDefault="00D9506C" w:rsidP="00525241">
                  <w:pPr>
                    <w:jc w:val="center"/>
                    <w:rPr>
                      <w:rFonts w:ascii="Calibri" w:eastAsiaTheme="minorHAnsi" w:hAnsi="Calibri" w:cs="Calibri"/>
                      <w:sz w:val="20"/>
                      <w:szCs w:val="20"/>
                    </w:rPr>
                  </w:pPr>
                </w:p>
              </w:tc>
              <w:tc>
                <w:tcPr>
                  <w:tcW w:w="18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9506C" w:rsidRPr="00A21238" w:rsidRDefault="00D9506C" w:rsidP="00525241">
                  <w:pPr>
                    <w:jc w:val="center"/>
                    <w:rPr>
                      <w:rFonts w:ascii="Calibri" w:eastAsiaTheme="minorHAnsi" w:hAnsi="Calibri" w:cs="Calibri"/>
                      <w:sz w:val="20"/>
                      <w:szCs w:val="20"/>
                    </w:rPr>
                  </w:pPr>
                </w:p>
              </w:tc>
              <w:tc>
                <w:tcPr>
                  <w:tcW w:w="1980"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D9506C" w:rsidRPr="00A21238" w:rsidRDefault="00D9506C" w:rsidP="00525241">
                  <w:pPr>
                    <w:jc w:val="center"/>
                    <w:rPr>
                      <w:rFonts w:ascii="Calibri" w:eastAsiaTheme="minorHAnsi" w:hAnsi="Calibri" w:cs="Calibri"/>
                      <w:sz w:val="20"/>
                      <w:szCs w:val="20"/>
                    </w:rPr>
                  </w:pPr>
                </w:p>
              </w:tc>
            </w:tr>
            <w:tr w:rsidR="00D9506C" w:rsidRPr="00A21238" w:rsidTr="00525241">
              <w:trPr>
                <w:trHeight w:val="27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506C" w:rsidRPr="00A21238" w:rsidRDefault="00D9506C" w:rsidP="0002496E">
                  <w:pPr>
                    <w:ind w:firstLine="357"/>
                    <w:rPr>
                      <w:rFonts w:ascii="Calibri" w:eastAsiaTheme="minorHAnsi" w:hAnsi="Calibri" w:cs="Calibri"/>
                      <w:b/>
                      <w:bCs/>
                      <w:sz w:val="20"/>
                      <w:szCs w:val="20"/>
                    </w:rPr>
                  </w:pPr>
                  <w:r w:rsidRPr="00A21238">
                    <w:rPr>
                      <w:rFonts w:ascii="Calibri" w:hAnsi="Calibri" w:cs="Calibri"/>
                      <w:b/>
                      <w:bCs/>
                      <w:sz w:val="20"/>
                      <w:szCs w:val="20"/>
                    </w:rPr>
                    <w:t>Adenocarcinoma</w:t>
                  </w:r>
                  <w:r w:rsidR="0002496E" w:rsidRPr="0002496E">
                    <w:rPr>
                      <w:rFonts w:ascii="Calibri" w:hAnsi="Calibri" w:cs="Calibri"/>
                      <w:b/>
                      <w:bCs/>
                      <w:noProof/>
                      <w:sz w:val="20"/>
                      <w:szCs w:val="20"/>
                      <w:vertAlign w:val="superscript"/>
                    </w:rPr>
                    <w:t>20, 22, 25, 33, 43, 44, 46, 48, 54</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06C" w:rsidRPr="00A21238" w:rsidRDefault="00D9506C" w:rsidP="00525241">
                  <w:pPr>
                    <w:jc w:val="center"/>
                    <w:rPr>
                      <w:rFonts w:ascii="Calibri" w:eastAsiaTheme="minorHAnsi" w:hAnsi="Calibri" w:cs="Calibri"/>
                      <w:sz w:val="20"/>
                      <w:szCs w:val="20"/>
                    </w:rPr>
                  </w:pPr>
                  <w:r w:rsidRPr="00A21238">
                    <w:rPr>
                      <w:rFonts w:ascii="Calibri" w:hAnsi="Calibri" w:cs="Calibri"/>
                      <w:sz w:val="20"/>
                      <w:szCs w:val="20"/>
                    </w:rPr>
                    <w:t>9(761)</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06C" w:rsidRPr="00A21238" w:rsidRDefault="00D9506C" w:rsidP="00525241">
                  <w:pPr>
                    <w:jc w:val="center"/>
                    <w:rPr>
                      <w:rFonts w:ascii="Calibri" w:eastAsiaTheme="minorHAnsi" w:hAnsi="Calibri" w:cs="Calibri"/>
                      <w:sz w:val="20"/>
                      <w:szCs w:val="20"/>
                    </w:rPr>
                  </w:pPr>
                  <w:r w:rsidRPr="00A21238">
                    <w:rPr>
                      <w:rFonts w:ascii="Calibri" w:hAnsi="Calibri" w:cs="Calibri"/>
                      <w:sz w:val="20"/>
                      <w:szCs w:val="20"/>
                    </w:rPr>
                    <w:t>2.17 [1.12, 4.23]</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06C" w:rsidRPr="00A21238" w:rsidRDefault="00F60EE8" w:rsidP="00525241">
                  <w:pPr>
                    <w:jc w:val="center"/>
                    <w:rPr>
                      <w:rFonts w:ascii="Calibri" w:eastAsiaTheme="minorHAnsi" w:hAnsi="Calibri" w:cs="Calibri"/>
                      <w:b/>
                      <w:bCs/>
                      <w:sz w:val="20"/>
                      <w:szCs w:val="20"/>
                    </w:rPr>
                  </w:pPr>
                  <w:r w:rsidRPr="00A21238">
                    <w:rPr>
                      <w:rFonts w:ascii="Calibri" w:hAnsi="Calibri" w:cs="Calibri"/>
                      <w:b/>
                      <w:bCs/>
                      <w:i/>
                      <w:sz w:val="20"/>
                      <w:szCs w:val="20"/>
                    </w:rPr>
                    <w:t>P</w:t>
                  </w:r>
                  <w:r w:rsidR="00D9506C" w:rsidRPr="00A21238">
                    <w:rPr>
                      <w:rFonts w:ascii="Calibri" w:hAnsi="Calibri" w:cs="Calibri"/>
                      <w:b/>
                      <w:bCs/>
                      <w:sz w:val="20"/>
                      <w:szCs w:val="20"/>
                    </w:rPr>
                    <w:t>=.02</w:t>
                  </w:r>
                </w:p>
              </w:tc>
            </w:tr>
            <w:tr w:rsidR="00D9506C" w:rsidRPr="00A21238" w:rsidTr="00525241">
              <w:trPr>
                <w:trHeight w:val="270"/>
              </w:trPr>
              <w:tc>
                <w:tcPr>
                  <w:tcW w:w="33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506C" w:rsidRPr="00A21238" w:rsidRDefault="00D9506C" w:rsidP="0002496E">
                  <w:pPr>
                    <w:ind w:firstLine="357"/>
                    <w:rPr>
                      <w:rFonts w:ascii="Calibri" w:eastAsiaTheme="minorHAnsi" w:hAnsi="Calibri" w:cs="Calibri"/>
                      <w:b/>
                      <w:bCs/>
                      <w:sz w:val="20"/>
                      <w:szCs w:val="20"/>
                    </w:rPr>
                  </w:pPr>
                  <w:r w:rsidRPr="00A21238">
                    <w:rPr>
                      <w:rFonts w:ascii="Calibri" w:hAnsi="Calibri" w:cs="Calibri"/>
                      <w:b/>
                      <w:bCs/>
                      <w:sz w:val="20"/>
                      <w:szCs w:val="20"/>
                    </w:rPr>
                    <w:t>Squamous</w:t>
                  </w:r>
                  <w:r w:rsidR="0002496E" w:rsidRPr="0002496E">
                    <w:rPr>
                      <w:rFonts w:ascii="Calibri" w:hAnsi="Calibri" w:cs="Calibri"/>
                      <w:b/>
                      <w:bCs/>
                      <w:noProof/>
                      <w:sz w:val="20"/>
                      <w:szCs w:val="20"/>
                      <w:vertAlign w:val="superscript"/>
                    </w:rPr>
                    <w:t>20, 22, 25, 33, 43, 44, 46, 48, 54</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06C" w:rsidRPr="00A21238" w:rsidRDefault="00D9506C" w:rsidP="00525241">
                  <w:pPr>
                    <w:jc w:val="center"/>
                    <w:rPr>
                      <w:rFonts w:ascii="Calibri" w:eastAsiaTheme="minorHAnsi" w:hAnsi="Calibri" w:cs="Calibri"/>
                      <w:sz w:val="20"/>
                      <w:szCs w:val="20"/>
                    </w:rPr>
                  </w:pPr>
                  <w:r w:rsidRPr="00A21238">
                    <w:rPr>
                      <w:rFonts w:ascii="Calibri" w:hAnsi="Calibri" w:cs="Calibri"/>
                      <w:sz w:val="20"/>
                      <w:szCs w:val="20"/>
                    </w:rPr>
                    <w:t>9(110)</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06C" w:rsidRPr="00A21238" w:rsidRDefault="00D9506C" w:rsidP="00525241">
                  <w:pPr>
                    <w:jc w:val="center"/>
                    <w:rPr>
                      <w:rFonts w:ascii="Calibri" w:eastAsiaTheme="minorHAnsi" w:hAnsi="Calibri" w:cs="Calibri"/>
                      <w:sz w:val="20"/>
                      <w:szCs w:val="20"/>
                    </w:rPr>
                  </w:pP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506C" w:rsidRPr="00A21238" w:rsidRDefault="00D9506C" w:rsidP="00525241">
                  <w:pPr>
                    <w:jc w:val="center"/>
                    <w:rPr>
                      <w:rFonts w:ascii="Calibri" w:eastAsiaTheme="minorHAnsi" w:hAnsi="Calibri" w:cs="Calibri"/>
                      <w:sz w:val="20"/>
                      <w:szCs w:val="20"/>
                    </w:rPr>
                  </w:pPr>
                </w:p>
              </w:tc>
            </w:tr>
          </w:tbl>
          <w:p w:rsidR="008258B0" w:rsidRPr="002847AE" w:rsidRDefault="00A26FF8" w:rsidP="008258B0">
            <w:pPr>
              <w:rPr>
                <w:rFonts w:asciiTheme="minorHAnsi" w:hAnsiTheme="minorHAnsi" w:cstheme="minorHAnsi"/>
                <w:sz w:val="18"/>
                <w:szCs w:val="18"/>
              </w:rPr>
            </w:pPr>
            <w:r>
              <w:rPr>
                <w:rFonts w:asciiTheme="minorHAnsi" w:hAnsiTheme="minorHAnsi"/>
                <w:sz w:val="18"/>
                <w:szCs w:val="18"/>
              </w:rPr>
              <w:t xml:space="preserve">Abbreviations: </w:t>
            </w:r>
            <w:r w:rsidR="00565546" w:rsidRPr="002847AE">
              <w:rPr>
                <w:rFonts w:asciiTheme="minorHAnsi" w:hAnsiTheme="minorHAnsi"/>
                <w:sz w:val="18"/>
                <w:szCs w:val="18"/>
              </w:rPr>
              <w:t>n</w:t>
            </w:r>
            <w:r w:rsidR="00470CE4">
              <w:rPr>
                <w:rFonts w:asciiTheme="minorHAnsi" w:hAnsiTheme="minorHAnsi"/>
                <w:sz w:val="18"/>
                <w:szCs w:val="18"/>
              </w:rPr>
              <w:t>,</w:t>
            </w:r>
            <w:r w:rsidR="00565546" w:rsidRPr="002847AE">
              <w:rPr>
                <w:rFonts w:asciiTheme="minorHAnsi" w:hAnsiTheme="minorHAnsi"/>
                <w:sz w:val="18"/>
                <w:szCs w:val="18"/>
              </w:rPr>
              <w:t xml:space="preserve"> Number of studies; N</w:t>
            </w:r>
            <w:r w:rsidR="00470CE4">
              <w:rPr>
                <w:rFonts w:asciiTheme="minorHAnsi" w:hAnsiTheme="minorHAnsi"/>
                <w:sz w:val="18"/>
                <w:szCs w:val="18"/>
              </w:rPr>
              <w:t>,</w:t>
            </w:r>
            <w:r w:rsidR="00565546" w:rsidRPr="002847AE">
              <w:rPr>
                <w:rFonts w:asciiTheme="minorHAnsi" w:hAnsiTheme="minorHAnsi"/>
                <w:sz w:val="18"/>
                <w:szCs w:val="18"/>
              </w:rPr>
              <w:t xml:space="preserve"> Number of patients</w:t>
            </w:r>
            <w:r w:rsidR="00FA6D42" w:rsidRPr="002847AE">
              <w:rPr>
                <w:rFonts w:asciiTheme="minorHAnsi" w:hAnsiTheme="minorHAnsi"/>
                <w:sz w:val="18"/>
                <w:szCs w:val="18"/>
              </w:rPr>
              <w:t>;</w:t>
            </w:r>
            <w:r w:rsidR="00565546" w:rsidRPr="002847AE">
              <w:rPr>
                <w:rFonts w:ascii="Calibri" w:hAnsi="Calibri" w:cs="Calibri"/>
                <w:sz w:val="18"/>
                <w:szCs w:val="18"/>
              </w:rPr>
              <w:t xml:space="preserve"> </w:t>
            </w:r>
            <w:r w:rsidR="00FA6D42" w:rsidRPr="002847AE">
              <w:rPr>
                <w:rFonts w:asciiTheme="minorHAnsi" w:hAnsiTheme="minorHAnsi"/>
                <w:sz w:val="18"/>
                <w:szCs w:val="18"/>
              </w:rPr>
              <w:t>CI</w:t>
            </w:r>
            <w:r w:rsidR="00470CE4">
              <w:rPr>
                <w:rFonts w:asciiTheme="minorHAnsi" w:hAnsiTheme="minorHAnsi"/>
                <w:sz w:val="18"/>
                <w:szCs w:val="18"/>
              </w:rPr>
              <w:t>,</w:t>
            </w:r>
            <w:r w:rsidR="00FA6D42" w:rsidRPr="002847AE">
              <w:rPr>
                <w:rFonts w:asciiTheme="minorHAnsi" w:hAnsiTheme="minorHAnsi"/>
                <w:sz w:val="18"/>
                <w:szCs w:val="18"/>
              </w:rPr>
              <w:t xml:space="preserve"> Confidence interval;</w:t>
            </w:r>
            <w:r w:rsidR="008258B0" w:rsidRPr="002847AE">
              <w:rPr>
                <w:rFonts w:asciiTheme="minorHAnsi" w:hAnsiTheme="minorHAnsi"/>
                <w:sz w:val="18"/>
                <w:szCs w:val="18"/>
              </w:rPr>
              <w:t xml:space="preserve"> RR</w:t>
            </w:r>
            <w:r w:rsidR="00470CE4">
              <w:rPr>
                <w:rFonts w:asciiTheme="minorHAnsi" w:hAnsiTheme="minorHAnsi"/>
                <w:sz w:val="18"/>
                <w:szCs w:val="18"/>
              </w:rPr>
              <w:t>,</w:t>
            </w:r>
            <w:r w:rsidR="008258B0" w:rsidRPr="002847AE">
              <w:rPr>
                <w:rFonts w:asciiTheme="minorHAnsi" w:hAnsiTheme="minorHAnsi" w:cstheme="minorHAnsi"/>
                <w:b/>
                <w:sz w:val="18"/>
                <w:szCs w:val="18"/>
              </w:rPr>
              <w:t xml:space="preserve"> </w:t>
            </w:r>
            <w:r w:rsidR="008258B0" w:rsidRPr="002847AE">
              <w:rPr>
                <w:rFonts w:asciiTheme="minorHAnsi" w:hAnsiTheme="minorHAnsi" w:cstheme="minorHAnsi"/>
                <w:sz w:val="18"/>
                <w:szCs w:val="18"/>
              </w:rPr>
              <w:t xml:space="preserve">Relative Risk, Mantel-Haenszel, Random </w:t>
            </w:r>
          </w:p>
          <w:p w:rsidR="008258B0" w:rsidRPr="002847AE" w:rsidRDefault="008258B0" w:rsidP="008258B0">
            <w:pPr>
              <w:rPr>
                <w:rFonts w:ascii="Calibri" w:hAnsi="Calibri" w:cs="Calibri"/>
                <w:bCs/>
                <w:sz w:val="18"/>
                <w:szCs w:val="18"/>
              </w:rPr>
            </w:pPr>
            <w:r w:rsidRPr="002847AE">
              <w:rPr>
                <w:rFonts w:asciiTheme="minorHAnsi" w:hAnsiTheme="minorHAnsi" w:cstheme="minorHAnsi"/>
                <w:sz w:val="18"/>
                <w:szCs w:val="18"/>
              </w:rPr>
              <w:t>Effects model, [95% CI]</w:t>
            </w:r>
          </w:p>
          <w:p w:rsidR="00E67D6E" w:rsidRPr="00A21238" w:rsidRDefault="00665CB4">
            <w:pPr>
              <w:rPr>
                <w:rFonts w:ascii="Calibri" w:hAnsi="Calibri" w:cs="Calibri"/>
                <w:sz w:val="20"/>
                <w:szCs w:val="20"/>
              </w:rPr>
            </w:pPr>
            <w:r w:rsidRPr="00AC081E">
              <w:rPr>
                <w:rFonts w:ascii="Calibri" w:hAnsi="Calibri" w:cs="Calibri"/>
                <w:sz w:val="18"/>
                <w:szCs w:val="18"/>
                <w:vertAlign w:val="superscript"/>
              </w:rPr>
              <w:t>a</w:t>
            </w:r>
            <w:r>
              <w:rPr>
                <w:rFonts w:ascii="Calibri" w:hAnsi="Calibri" w:cs="Calibri"/>
                <w:sz w:val="18"/>
                <w:szCs w:val="18"/>
                <w:vertAlign w:val="superscript"/>
              </w:rPr>
              <w:t xml:space="preserve"> </w:t>
            </w:r>
            <w:r w:rsidRPr="002847AE">
              <w:rPr>
                <w:rFonts w:ascii="Calibri" w:hAnsi="Calibri" w:cs="Calibri"/>
                <w:sz w:val="18"/>
                <w:szCs w:val="18"/>
              </w:rPr>
              <w:t>RR</w:t>
            </w:r>
            <w:r w:rsidR="00D9506C" w:rsidRPr="002847AE">
              <w:rPr>
                <w:rFonts w:ascii="Calibri" w:hAnsi="Calibri" w:cs="Calibri"/>
                <w:sz w:val="18"/>
                <w:szCs w:val="18"/>
              </w:rPr>
              <w:t xml:space="preserve"> of </w:t>
            </w:r>
            <w:r w:rsidR="00D9506C" w:rsidRPr="002847AE">
              <w:rPr>
                <w:rFonts w:ascii="Calibri" w:hAnsi="Calibri" w:cs="Calibri"/>
                <w:i/>
                <w:sz w:val="18"/>
                <w:szCs w:val="18"/>
              </w:rPr>
              <w:t>EGFR</w:t>
            </w:r>
            <w:r w:rsidR="00D9506C" w:rsidRPr="002847AE">
              <w:rPr>
                <w:rFonts w:ascii="Calibri" w:hAnsi="Calibri" w:cs="Calibri"/>
                <w:sz w:val="18"/>
                <w:szCs w:val="18"/>
              </w:rPr>
              <w:t xml:space="preserve"> mutation is indicated for the factor more strongly associated with </w:t>
            </w:r>
            <w:r w:rsidR="00D9506C" w:rsidRPr="002847AE">
              <w:rPr>
                <w:rFonts w:ascii="Calibri" w:hAnsi="Calibri" w:cs="Calibri"/>
                <w:i/>
                <w:sz w:val="18"/>
                <w:szCs w:val="18"/>
              </w:rPr>
              <w:t>EGFR</w:t>
            </w:r>
            <w:r w:rsidR="00D9506C" w:rsidRPr="002847AE">
              <w:rPr>
                <w:rFonts w:ascii="Calibri" w:hAnsi="Calibri" w:cs="Calibri"/>
                <w:sz w:val="18"/>
                <w:szCs w:val="18"/>
              </w:rPr>
              <w:t xml:space="preserve"> mutation</w:t>
            </w:r>
          </w:p>
        </w:tc>
      </w:tr>
      <w:tr w:rsidR="009B07EF" w:rsidRPr="00A21238" w:rsidTr="00942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5" w:type="dxa"/>
          <w:wAfter w:w="3477" w:type="dxa"/>
        </w:trPr>
        <w:tc>
          <w:tcPr>
            <w:tcW w:w="9576" w:type="dxa"/>
            <w:gridSpan w:val="7"/>
            <w:vAlign w:val="center"/>
          </w:tcPr>
          <w:p w:rsidR="007126D2" w:rsidRPr="00357441" w:rsidRDefault="00E67D6E" w:rsidP="00373B5C">
            <w:pPr>
              <w:rPr>
                <w:b/>
                <w:sz w:val="22"/>
                <w:szCs w:val="22"/>
              </w:rPr>
            </w:pPr>
            <w:r w:rsidRPr="00357441">
              <w:rPr>
                <w:sz w:val="22"/>
                <w:szCs w:val="22"/>
              </w:rPr>
              <w:lastRenderedPageBreak/>
              <w:br w:type="page"/>
            </w:r>
            <w:r w:rsidR="00791C7B" w:rsidRPr="00357441">
              <w:rPr>
                <w:b/>
                <w:sz w:val="22"/>
                <w:szCs w:val="22"/>
              </w:rPr>
              <w:t xml:space="preserve">1.1b:  </w:t>
            </w:r>
            <w:r w:rsidR="005E0D7C" w:rsidRPr="00357441">
              <w:rPr>
                <w:b/>
                <w:sz w:val="22"/>
                <w:szCs w:val="22"/>
              </w:rPr>
              <w:t>Recommendation:</w:t>
            </w:r>
            <w:r w:rsidR="009B07EF" w:rsidRPr="00357441">
              <w:rPr>
                <w:b/>
                <w:sz w:val="22"/>
                <w:szCs w:val="22"/>
              </w:rPr>
              <w:t xml:space="preserve"> </w:t>
            </w:r>
            <w:r w:rsidR="007126D2" w:rsidRPr="00357441">
              <w:rPr>
                <w:b/>
                <w:i/>
                <w:sz w:val="22"/>
                <w:szCs w:val="22"/>
              </w:rPr>
              <w:t>ALK</w:t>
            </w:r>
            <w:r w:rsidR="007126D2" w:rsidRPr="00357441">
              <w:rPr>
                <w:b/>
                <w:sz w:val="22"/>
                <w:szCs w:val="22"/>
              </w:rPr>
              <w:t xml:space="preserve"> molecular testing should be used to select patients for </w:t>
            </w:r>
            <w:r w:rsidR="007126D2" w:rsidRPr="0032192C">
              <w:rPr>
                <w:b/>
                <w:sz w:val="22"/>
                <w:szCs w:val="22"/>
              </w:rPr>
              <w:t>ALK</w:t>
            </w:r>
            <w:r w:rsidR="007126D2" w:rsidRPr="00357441">
              <w:rPr>
                <w:b/>
                <w:sz w:val="22"/>
                <w:szCs w:val="22"/>
              </w:rPr>
              <w:t xml:space="preserve">-targeted </w:t>
            </w:r>
            <w:r w:rsidR="00373B5C" w:rsidRPr="00357441">
              <w:rPr>
                <w:b/>
                <w:sz w:val="22"/>
                <w:szCs w:val="22"/>
              </w:rPr>
              <w:t xml:space="preserve">TKI </w:t>
            </w:r>
            <w:r w:rsidR="007126D2" w:rsidRPr="00357441">
              <w:rPr>
                <w:b/>
                <w:sz w:val="22"/>
                <w:szCs w:val="22"/>
              </w:rPr>
              <w:t xml:space="preserve">therapy, </w:t>
            </w:r>
            <w:r w:rsidR="00373B5C" w:rsidRPr="00357441">
              <w:rPr>
                <w:b/>
                <w:sz w:val="22"/>
                <w:szCs w:val="22"/>
              </w:rPr>
              <w:t xml:space="preserve">and </w:t>
            </w:r>
            <w:r w:rsidR="007126D2" w:rsidRPr="00357441">
              <w:rPr>
                <w:b/>
                <w:sz w:val="22"/>
                <w:szCs w:val="22"/>
              </w:rPr>
              <w:t xml:space="preserve">patients with lung adenocarcinoma should not be excluded from testing </w:t>
            </w:r>
            <w:proofErr w:type="gramStart"/>
            <w:r w:rsidR="00373B5C" w:rsidRPr="00357441">
              <w:rPr>
                <w:b/>
                <w:sz w:val="22"/>
                <w:szCs w:val="22"/>
              </w:rPr>
              <w:t>on the basis of</w:t>
            </w:r>
            <w:proofErr w:type="gramEnd"/>
            <w:r w:rsidR="00373B5C" w:rsidRPr="00357441">
              <w:rPr>
                <w:b/>
                <w:sz w:val="22"/>
                <w:szCs w:val="22"/>
              </w:rPr>
              <w:t xml:space="preserve"> </w:t>
            </w:r>
            <w:r w:rsidR="007126D2" w:rsidRPr="00357441">
              <w:rPr>
                <w:b/>
                <w:sz w:val="22"/>
                <w:szCs w:val="22"/>
              </w:rPr>
              <w:t>clinical characteristics.</w:t>
            </w:r>
            <w:r w:rsidR="007126D2" w:rsidRPr="00357441">
              <w:rPr>
                <w:b/>
                <w:i/>
                <w:sz w:val="22"/>
                <w:szCs w:val="22"/>
              </w:rPr>
              <w:t xml:space="preserve">  </w:t>
            </w:r>
          </w:p>
        </w:tc>
      </w:tr>
      <w:tr w:rsidR="009B07EF" w:rsidRPr="00A21238" w:rsidTr="00942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5" w:type="dxa"/>
          <w:wAfter w:w="3477" w:type="dxa"/>
        </w:trPr>
        <w:tc>
          <w:tcPr>
            <w:tcW w:w="9576" w:type="dxa"/>
            <w:gridSpan w:val="7"/>
            <w:vAlign w:val="center"/>
          </w:tcPr>
          <w:p w:rsidR="009B07EF" w:rsidRPr="00357441" w:rsidRDefault="009B07EF" w:rsidP="00E27B72">
            <w:pPr>
              <w:rPr>
                <w:sz w:val="22"/>
                <w:szCs w:val="22"/>
              </w:rPr>
            </w:pPr>
            <w:r w:rsidRPr="00357441">
              <w:rPr>
                <w:b/>
                <w:bCs/>
                <w:sz w:val="22"/>
                <w:szCs w:val="22"/>
              </w:rPr>
              <w:t xml:space="preserve">Evidence base: </w:t>
            </w:r>
            <w:r w:rsidR="00E27B72" w:rsidRPr="00357441">
              <w:rPr>
                <w:b/>
                <w:bCs/>
                <w:sz w:val="22"/>
                <w:szCs w:val="22"/>
              </w:rPr>
              <w:t>B</w:t>
            </w:r>
          </w:p>
        </w:tc>
      </w:tr>
      <w:tr w:rsidR="009B07EF" w:rsidRPr="00A21238" w:rsidTr="00942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5" w:type="dxa"/>
          <w:wAfter w:w="3477" w:type="dxa"/>
        </w:trPr>
        <w:tc>
          <w:tcPr>
            <w:tcW w:w="9576" w:type="dxa"/>
            <w:gridSpan w:val="7"/>
            <w:vAlign w:val="center"/>
          </w:tcPr>
          <w:p w:rsidR="009B07EF" w:rsidRPr="00357441" w:rsidRDefault="009B07EF" w:rsidP="00E27B72">
            <w:pPr>
              <w:rPr>
                <w:sz w:val="22"/>
                <w:szCs w:val="22"/>
              </w:rPr>
            </w:pPr>
            <w:r w:rsidRPr="00357441">
              <w:rPr>
                <w:b/>
                <w:bCs/>
                <w:sz w:val="22"/>
                <w:szCs w:val="22"/>
              </w:rPr>
              <w:t xml:space="preserve">Consistency: </w:t>
            </w:r>
            <w:r w:rsidR="00E27B72" w:rsidRPr="00357441">
              <w:rPr>
                <w:b/>
                <w:bCs/>
                <w:sz w:val="22"/>
                <w:szCs w:val="22"/>
              </w:rPr>
              <w:t>B</w:t>
            </w:r>
          </w:p>
        </w:tc>
      </w:tr>
      <w:tr w:rsidR="009B07EF" w:rsidRPr="00A21238" w:rsidTr="00942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5" w:type="dxa"/>
          <w:wAfter w:w="3477" w:type="dxa"/>
        </w:trPr>
        <w:tc>
          <w:tcPr>
            <w:tcW w:w="9576" w:type="dxa"/>
            <w:gridSpan w:val="7"/>
            <w:vAlign w:val="center"/>
          </w:tcPr>
          <w:p w:rsidR="009B07EF" w:rsidRPr="00357441" w:rsidRDefault="009B07EF" w:rsidP="00750DE4">
            <w:pPr>
              <w:rPr>
                <w:b/>
                <w:bCs/>
                <w:sz w:val="22"/>
                <w:szCs w:val="22"/>
              </w:rPr>
            </w:pPr>
            <w:r w:rsidRPr="00357441">
              <w:rPr>
                <w:b/>
                <w:bCs/>
                <w:sz w:val="22"/>
                <w:szCs w:val="22"/>
              </w:rPr>
              <w:t>Clinical impact: A</w:t>
            </w:r>
          </w:p>
        </w:tc>
      </w:tr>
      <w:tr w:rsidR="009B07EF" w:rsidRPr="00A21238" w:rsidTr="00942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5" w:type="dxa"/>
          <w:wAfter w:w="3477" w:type="dxa"/>
        </w:trPr>
        <w:tc>
          <w:tcPr>
            <w:tcW w:w="9576" w:type="dxa"/>
            <w:gridSpan w:val="7"/>
            <w:vAlign w:val="center"/>
          </w:tcPr>
          <w:p w:rsidR="009B07EF" w:rsidRPr="00357441" w:rsidRDefault="009B07EF" w:rsidP="00750DE4">
            <w:pPr>
              <w:rPr>
                <w:b/>
                <w:bCs/>
                <w:sz w:val="22"/>
                <w:szCs w:val="22"/>
              </w:rPr>
            </w:pPr>
            <w:proofErr w:type="spellStart"/>
            <w:r w:rsidRPr="00357441">
              <w:rPr>
                <w:b/>
                <w:bCs/>
                <w:sz w:val="22"/>
                <w:szCs w:val="22"/>
              </w:rPr>
              <w:t>Generalizability</w:t>
            </w:r>
            <w:proofErr w:type="spellEnd"/>
            <w:r w:rsidRPr="00357441">
              <w:rPr>
                <w:b/>
                <w:bCs/>
                <w:sz w:val="22"/>
                <w:szCs w:val="22"/>
              </w:rPr>
              <w:t>: B</w:t>
            </w:r>
          </w:p>
        </w:tc>
      </w:tr>
      <w:tr w:rsidR="009B07EF" w:rsidRPr="00A21238" w:rsidTr="00314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5" w:type="dxa"/>
          <w:wAfter w:w="3477" w:type="dxa"/>
        </w:trPr>
        <w:tc>
          <w:tcPr>
            <w:tcW w:w="9576" w:type="dxa"/>
            <w:gridSpan w:val="7"/>
            <w:tcBorders>
              <w:bottom w:val="single" w:sz="4" w:space="0" w:color="auto"/>
            </w:tcBorders>
            <w:vAlign w:val="center"/>
          </w:tcPr>
          <w:p w:rsidR="009B07EF" w:rsidRPr="00357441" w:rsidRDefault="009B07EF" w:rsidP="00750DE4">
            <w:pPr>
              <w:rPr>
                <w:b/>
                <w:bCs/>
                <w:sz w:val="22"/>
                <w:szCs w:val="22"/>
              </w:rPr>
            </w:pPr>
            <w:r w:rsidRPr="00357441">
              <w:rPr>
                <w:b/>
                <w:bCs/>
                <w:sz w:val="22"/>
                <w:szCs w:val="22"/>
              </w:rPr>
              <w:t>Applicability: B</w:t>
            </w:r>
          </w:p>
        </w:tc>
      </w:tr>
      <w:tr w:rsidR="009B07EF" w:rsidRPr="00A21238" w:rsidTr="00314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5" w:type="dxa"/>
          <w:wAfter w:w="3477" w:type="dxa"/>
        </w:trPr>
        <w:tc>
          <w:tcPr>
            <w:tcW w:w="9576" w:type="dxa"/>
            <w:gridSpan w:val="7"/>
            <w:tcBorders>
              <w:bottom w:val="single" w:sz="4" w:space="0" w:color="auto"/>
            </w:tcBorders>
            <w:vAlign w:val="center"/>
          </w:tcPr>
          <w:p w:rsidR="009B07EF" w:rsidRPr="00357441" w:rsidRDefault="009B07EF" w:rsidP="00E27B72">
            <w:pPr>
              <w:rPr>
                <w:b/>
                <w:bCs/>
                <w:sz w:val="22"/>
                <w:szCs w:val="22"/>
              </w:rPr>
            </w:pPr>
            <w:r w:rsidRPr="00357441">
              <w:rPr>
                <w:b/>
                <w:sz w:val="22"/>
                <w:szCs w:val="22"/>
              </w:rPr>
              <w:t xml:space="preserve">Overall Grade: </w:t>
            </w:r>
            <w:r w:rsidR="00E27B72" w:rsidRPr="00357441">
              <w:rPr>
                <w:b/>
                <w:sz w:val="22"/>
                <w:szCs w:val="22"/>
              </w:rPr>
              <w:t>B</w:t>
            </w:r>
          </w:p>
        </w:tc>
      </w:tr>
    </w:tbl>
    <w:p w:rsidR="00F901A5" w:rsidRPr="00A21238" w:rsidRDefault="00F901A5">
      <w:pPr>
        <w:rPr>
          <w:rFonts w:ascii="Century Gothic" w:hAnsi="Century Gothic" w:cs="Arial"/>
          <w:b/>
          <w:sz w:val="20"/>
          <w:szCs w:val="20"/>
        </w:rPr>
      </w:pPr>
    </w:p>
    <w:p w:rsidR="006609E3" w:rsidRPr="00A21238" w:rsidRDefault="006609E3">
      <w:pPr>
        <w:rPr>
          <w:rFonts w:ascii="Century Gothic" w:hAnsi="Century Gothic" w:cs="Arial"/>
          <w:b/>
          <w:sz w:val="20"/>
          <w:szCs w:val="20"/>
        </w:rPr>
      </w:pPr>
    </w:p>
    <w:tbl>
      <w:tblPr>
        <w:tblW w:w="13077" w:type="dxa"/>
        <w:tblInd w:w="18" w:type="dxa"/>
        <w:tblLook w:val="04A0"/>
      </w:tblPr>
      <w:tblGrid>
        <w:gridCol w:w="2970"/>
        <w:gridCol w:w="1440"/>
        <w:gridCol w:w="1350"/>
        <w:gridCol w:w="845"/>
        <w:gridCol w:w="2035"/>
        <w:gridCol w:w="1080"/>
        <w:gridCol w:w="3357"/>
      </w:tblGrid>
      <w:tr w:rsidR="007E0352" w:rsidRPr="00A21238" w:rsidTr="00EF07A9">
        <w:trPr>
          <w:trHeight w:val="285"/>
        </w:trPr>
        <w:tc>
          <w:tcPr>
            <w:tcW w:w="13077" w:type="dxa"/>
            <w:gridSpan w:val="7"/>
            <w:tcBorders>
              <w:top w:val="nil"/>
              <w:left w:val="nil"/>
              <w:bottom w:val="nil"/>
              <w:right w:val="nil"/>
            </w:tcBorders>
            <w:shd w:val="clear" w:color="auto" w:fill="auto"/>
            <w:noWrap/>
            <w:vAlign w:val="bottom"/>
            <w:hideMark/>
          </w:tcPr>
          <w:p w:rsidR="00147866" w:rsidRPr="00A21238" w:rsidRDefault="00147866" w:rsidP="001F7BB7">
            <w:pPr>
              <w:ind w:hanging="108"/>
              <w:rPr>
                <w:rFonts w:ascii="Century Gothic" w:hAnsi="Century Gothic"/>
                <w:b/>
                <w:bCs/>
                <w:sz w:val="20"/>
                <w:szCs w:val="20"/>
              </w:rPr>
            </w:pPr>
          </w:p>
          <w:p w:rsidR="00147866" w:rsidRPr="00A21238" w:rsidRDefault="00147866" w:rsidP="001F7BB7">
            <w:pPr>
              <w:ind w:hanging="108"/>
              <w:rPr>
                <w:rFonts w:ascii="Century Gothic" w:hAnsi="Century Gothic"/>
                <w:b/>
                <w:bCs/>
                <w:sz w:val="20"/>
                <w:szCs w:val="20"/>
              </w:rPr>
            </w:pPr>
          </w:p>
          <w:p w:rsidR="00147866" w:rsidRPr="00A21238" w:rsidRDefault="00147866" w:rsidP="001F7BB7">
            <w:pPr>
              <w:ind w:hanging="108"/>
              <w:rPr>
                <w:rFonts w:ascii="Century Gothic" w:hAnsi="Century Gothic"/>
                <w:b/>
                <w:bCs/>
                <w:sz w:val="20"/>
                <w:szCs w:val="20"/>
              </w:rPr>
            </w:pPr>
          </w:p>
          <w:p w:rsidR="00147866" w:rsidRPr="00A21238" w:rsidRDefault="00147866" w:rsidP="001F7BB7">
            <w:pPr>
              <w:ind w:hanging="108"/>
              <w:rPr>
                <w:rFonts w:ascii="Century Gothic" w:hAnsi="Century Gothic"/>
                <w:b/>
                <w:bCs/>
                <w:sz w:val="20"/>
                <w:szCs w:val="20"/>
              </w:rPr>
            </w:pPr>
          </w:p>
          <w:p w:rsidR="00147866" w:rsidRPr="00A21238" w:rsidRDefault="00147866" w:rsidP="001F7BB7">
            <w:pPr>
              <w:ind w:hanging="108"/>
              <w:rPr>
                <w:rFonts w:ascii="Century Gothic" w:hAnsi="Century Gothic"/>
                <w:b/>
                <w:bCs/>
                <w:sz w:val="20"/>
                <w:szCs w:val="20"/>
              </w:rPr>
            </w:pPr>
          </w:p>
          <w:p w:rsidR="00147866" w:rsidRPr="00A21238" w:rsidRDefault="00147866" w:rsidP="001F7BB7">
            <w:pPr>
              <w:ind w:hanging="108"/>
              <w:rPr>
                <w:rFonts w:ascii="Century Gothic" w:hAnsi="Century Gothic"/>
                <w:b/>
                <w:bCs/>
                <w:sz w:val="20"/>
                <w:szCs w:val="20"/>
              </w:rPr>
            </w:pPr>
          </w:p>
          <w:p w:rsidR="007E0352" w:rsidRPr="00A52683" w:rsidRDefault="006609E3" w:rsidP="001F7BB7">
            <w:pPr>
              <w:ind w:hanging="108"/>
              <w:rPr>
                <w:b/>
                <w:bCs/>
                <w:sz w:val="22"/>
                <w:szCs w:val="22"/>
              </w:rPr>
            </w:pPr>
            <w:r w:rsidRPr="00A52683">
              <w:rPr>
                <w:b/>
                <w:bCs/>
                <w:sz w:val="22"/>
                <w:szCs w:val="22"/>
              </w:rPr>
              <w:lastRenderedPageBreak/>
              <w:t>Table 1</w:t>
            </w:r>
            <w:r w:rsidR="00A566D8" w:rsidRPr="00A52683">
              <w:rPr>
                <w:b/>
                <w:bCs/>
                <w:sz w:val="22"/>
                <w:szCs w:val="22"/>
              </w:rPr>
              <w:t>1</w:t>
            </w:r>
            <w:r w:rsidR="007E0352" w:rsidRPr="00A52683">
              <w:rPr>
                <w:b/>
                <w:bCs/>
                <w:sz w:val="22"/>
                <w:szCs w:val="22"/>
              </w:rPr>
              <w:t xml:space="preserve">:  Mean and Median age in lung adenocarcinoma patients </w:t>
            </w:r>
          </w:p>
          <w:p w:rsidR="007E0352" w:rsidRPr="00A21238" w:rsidRDefault="007E0352" w:rsidP="001F7BB7">
            <w:pPr>
              <w:ind w:hanging="108"/>
              <w:rPr>
                <w:rFonts w:ascii="Century Gothic" w:hAnsi="Century Gothic"/>
                <w:b/>
                <w:bCs/>
                <w:sz w:val="20"/>
                <w:szCs w:val="20"/>
              </w:rPr>
            </w:pPr>
            <w:r w:rsidRPr="00A52683">
              <w:rPr>
                <w:b/>
                <w:bCs/>
                <w:sz w:val="22"/>
                <w:szCs w:val="22"/>
              </w:rPr>
              <w:t xml:space="preserve">assessed for </w:t>
            </w:r>
            <w:r w:rsidRPr="00A52683">
              <w:rPr>
                <w:b/>
                <w:bCs/>
                <w:i/>
                <w:sz w:val="22"/>
                <w:szCs w:val="22"/>
              </w:rPr>
              <w:t>ALK</w:t>
            </w:r>
            <w:r w:rsidRPr="00A52683">
              <w:rPr>
                <w:b/>
                <w:bCs/>
                <w:sz w:val="22"/>
                <w:szCs w:val="22"/>
              </w:rPr>
              <w:t xml:space="preserve"> rearrangement status</w:t>
            </w:r>
          </w:p>
        </w:tc>
      </w:tr>
      <w:tr w:rsidR="007E0352" w:rsidRPr="00A21238" w:rsidTr="00817982">
        <w:trPr>
          <w:trHeight w:val="315"/>
        </w:trPr>
        <w:tc>
          <w:tcPr>
            <w:tcW w:w="2970" w:type="dxa"/>
            <w:tcBorders>
              <w:top w:val="nil"/>
              <w:left w:val="nil"/>
              <w:bottom w:val="nil"/>
              <w:right w:val="nil"/>
            </w:tcBorders>
            <w:shd w:val="clear" w:color="auto" w:fill="auto"/>
            <w:noWrap/>
            <w:vAlign w:val="bottom"/>
            <w:hideMark/>
          </w:tcPr>
          <w:p w:rsidR="007E0352" w:rsidRPr="00A21238" w:rsidRDefault="007E0352" w:rsidP="001F7BB7">
            <w:pPr>
              <w:rPr>
                <w:rFonts w:ascii="Calibri" w:hAnsi="Calibri" w:cs="Calibri"/>
                <w:sz w:val="22"/>
                <w:szCs w:val="22"/>
              </w:rPr>
            </w:pPr>
          </w:p>
        </w:tc>
        <w:tc>
          <w:tcPr>
            <w:tcW w:w="279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E0352" w:rsidRPr="00A21238" w:rsidRDefault="007E0352" w:rsidP="00525241">
            <w:pPr>
              <w:jc w:val="center"/>
              <w:rPr>
                <w:rFonts w:ascii="Calibri" w:hAnsi="Calibri" w:cs="Calibri"/>
                <w:b/>
                <w:bCs/>
                <w:sz w:val="20"/>
                <w:szCs w:val="20"/>
              </w:rPr>
            </w:pPr>
            <w:r w:rsidRPr="00A21238">
              <w:rPr>
                <w:rFonts w:ascii="Calibri" w:hAnsi="Calibri" w:cs="Calibri"/>
                <w:b/>
                <w:bCs/>
                <w:sz w:val="20"/>
                <w:szCs w:val="20"/>
              </w:rPr>
              <w:t xml:space="preserve">Mean </w:t>
            </w:r>
            <w:r w:rsidRPr="00A21238">
              <w:rPr>
                <w:rFonts w:ascii="Calibri" w:hAnsi="Calibri" w:cs="Calibri"/>
                <w:b/>
                <w:bCs/>
                <w:sz w:val="20"/>
                <w:szCs w:val="20"/>
                <w:u w:val="single"/>
              </w:rPr>
              <w:t>+</w:t>
            </w:r>
            <w:r w:rsidRPr="00A21238">
              <w:rPr>
                <w:rFonts w:ascii="Calibri" w:hAnsi="Calibri" w:cs="Calibri"/>
                <w:b/>
                <w:bCs/>
                <w:sz w:val="20"/>
                <w:szCs w:val="20"/>
              </w:rPr>
              <w:t xml:space="preserve"> SD</w:t>
            </w:r>
          </w:p>
        </w:tc>
        <w:tc>
          <w:tcPr>
            <w:tcW w:w="845" w:type="dxa"/>
            <w:tcBorders>
              <w:top w:val="nil"/>
              <w:left w:val="nil"/>
              <w:bottom w:val="nil"/>
              <w:right w:val="nil"/>
            </w:tcBorders>
            <w:shd w:val="clear" w:color="auto" w:fill="auto"/>
            <w:noWrap/>
            <w:vAlign w:val="bottom"/>
            <w:hideMark/>
          </w:tcPr>
          <w:p w:rsidR="007E0352" w:rsidRPr="00A21238" w:rsidRDefault="007E0352" w:rsidP="001F7BB7">
            <w:pPr>
              <w:rPr>
                <w:rFonts w:ascii="Calibri" w:hAnsi="Calibri" w:cs="Calibri"/>
                <w:sz w:val="22"/>
                <w:szCs w:val="22"/>
              </w:rPr>
            </w:pPr>
          </w:p>
        </w:tc>
        <w:tc>
          <w:tcPr>
            <w:tcW w:w="2035" w:type="dxa"/>
            <w:tcBorders>
              <w:top w:val="nil"/>
              <w:left w:val="nil"/>
              <w:bottom w:val="nil"/>
              <w:right w:val="nil"/>
            </w:tcBorders>
            <w:shd w:val="clear" w:color="auto" w:fill="auto"/>
            <w:noWrap/>
            <w:vAlign w:val="bottom"/>
            <w:hideMark/>
          </w:tcPr>
          <w:p w:rsidR="007E0352" w:rsidRPr="00A21238" w:rsidRDefault="007E0352" w:rsidP="001F7BB7">
            <w:pPr>
              <w:rPr>
                <w:rFonts w:ascii="Calibri" w:hAnsi="Calibri" w:cs="Calibri"/>
                <w:sz w:val="22"/>
                <w:szCs w:val="22"/>
              </w:rPr>
            </w:pPr>
          </w:p>
        </w:tc>
        <w:tc>
          <w:tcPr>
            <w:tcW w:w="1080" w:type="dxa"/>
            <w:tcBorders>
              <w:top w:val="nil"/>
              <w:left w:val="nil"/>
              <w:bottom w:val="nil"/>
              <w:right w:val="nil"/>
            </w:tcBorders>
            <w:shd w:val="clear" w:color="auto" w:fill="auto"/>
            <w:noWrap/>
            <w:vAlign w:val="bottom"/>
            <w:hideMark/>
          </w:tcPr>
          <w:p w:rsidR="007E0352" w:rsidRPr="00A21238" w:rsidRDefault="007E0352" w:rsidP="001F7BB7">
            <w:pPr>
              <w:rPr>
                <w:rFonts w:ascii="Calibri" w:hAnsi="Calibri" w:cs="Calibri"/>
                <w:sz w:val="22"/>
                <w:szCs w:val="22"/>
              </w:rPr>
            </w:pPr>
          </w:p>
        </w:tc>
        <w:tc>
          <w:tcPr>
            <w:tcW w:w="3357" w:type="dxa"/>
            <w:tcBorders>
              <w:top w:val="nil"/>
              <w:left w:val="nil"/>
              <w:bottom w:val="nil"/>
              <w:right w:val="nil"/>
            </w:tcBorders>
            <w:shd w:val="clear" w:color="auto" w:fill="auto"/>
            <w:noWrap/>
            <w:vAlign w:val="bottom"/>
            <w:hideMark/>
          </w:tcPr>
          <w:p w:rsidR="007E0352" w:rsidRPr="00A21238" w:rsidRDefault="007E0352" w:rsidP="001F7BB7">
            <w:pPr>
              <w:rPr>
                <w:rFonts w:ascii="Century Gothic" w:hAnsi="Century Gothic"/>
                <w:sz w:val="20"/>
                <w:szCs w:val="20"/>
              </w:rPr>
            </w:pPr>
          </w:p>
        </w:tc>
      </w:tr>
      <w:tr w:rsidR="007E0352" w:rsidRPr="00A21238" w:rsidTr="00817982">
        <w:trPr>
          <w:trHeight w:val="285"/>
        </w:trPr>
        <w:tc>
          <w:tcPr>
            <w:tcW w:w="2970" w:type="dxa"/>
            <w:tcBorders>
              <w:top w:val="single" w:sz="8" w:space="0" w:color="auto"/>
              <w:left w:val="single" w:sz="8" w:space="0" w:color="auto"/>
              <w:bottom w:val="single" w:sz="8" w:space="0" w:color="auto"/>
              <w:right w:val="single" w:sz="8" w:space="0" w:color="auto"/>
            </w:tcBorders>
            <w:shd w:val="clear" w:color="auto" w:fill="auto"/>
            <w:noWrap/>
            <w:hideMark/>
          </w:tcPr>
          <w:p w:rsidR="007E0352" w:rsidRPr="00A21238" w:rsidRDefault="007E0352" w:rsidP="001F7BB7">
            <w:pPr>
              <w:rPr>
                <w:rFonts w:ascii="Century Gothic" w:hAnsi="Century Gothic"/>
                <w:b/>
                <w:bCs/>
                <w:sz w:val="20"/>
                <w:szCs w:val="20"/>
              </w:rPr>
            </w:pPr>
            <w:r w:rsidRPr="00A21238">
              <w:rPr>
                <w:rFonts w:ascii="Century Gothic" w:hAnsi="Century Gothic"/>
                <w:b/>
                <w:bCs/>
                <w:sz w:val="20"/>
                <w:szCs w:val="20"/>
              </w:rPr>
              <w:t> </w:t>
            </w:r>
          </w:p>
        </w:tc>
        <w:tc>
          <w:tcPr>
            <w:tcW w:w="1440" w:type="dxa"/>
            <w:tcBorders>
              <w:top w:val="nil"/>
              <w:left w:val="nil"/>
              <w:bottom w:val="single" w:sz="8" w:space="0" w:color="auto"/>
              <w:right w:val="single" w:sz="8" w:space="0" w:color="auto"/>
            </w:tcBorders>
            <w:shd w:val="clear" w:color="auto" w:fill="auto"/>
            <w:vAlign w:val="bottom"/>
            <w:hideMark/>
          </w:tcPr>
          <w:p w:rsidR="007E0352" w:rsidRPr="00A21238" w:rsidRDefault="007E0352" w:rsidP="00525241">
            <w:pPr>
              <w:jc w:val="center"/>
              <w:rPr>
                <w:rFonts w:ascii="Calibri" w:hAnsi="Calibri" w:cs="Calibri"/>
                <w:b/>
                <w:bCs/>
                <w:i/>
                <w:iCs/>
                <w:sz w:val="20"/>
                <w:szCs w:val="20"/>
              </w:rPr>
            </w:pPr>
            <w:r w:rsidRPr="00A21238">
              <w:rPr>
                <w:rFonts w:ascii="Calibri" w:hAnsi="Calibri" w:cs="Calibri"/>
                <w:b/>
                <w:bCs/>
                <w:i/>
                <w:iCs/>
                <w:sz w:val="20"/>
                <w:szCs w:val="20"/>
              </w:rPr>
              <w:t>ALK</w:t>
            </w:r>
            <w:r w:rsidRPr="00A21238">
              <w:rPr>
                <w:rFonts w:ascii="Calibri" w:hAnsi="Calibri" w:cs="Calibri"/>
                <w:b/>
                <w:bCs/>
                <w:sz w:val="20"/>
                <w:szCs w:val="20"/>
              </w:rPr>
              <w:t xml:space="preserve"> Pos</w:t>
            </w:r>
          </w:p>
        </w:tc>
        <w:tc>
          <w:tcPr>
            <w:tcW w:w="1350" w:type="dxa"/>
            <w:tcBorders>
              <w:top w:val="nil"/>
              <w:left w:val="nil"/>
              <w:bottom w:val="single" w:sz="8" w:space="0" w:color="auto"/>
              <w:right w:val="single" w:sz="8" w:space="0" w:color="auto"/>
            </w:tcBorders>
            <w:shd w:val="clear" w:color="auto" w:fill="auto"/>
            <w:vAlign w:val="bottom"/>
            <w:hideMark/>
          </w:tcPr>
          <w:p w:rsidR="007E0352" w:rsidRPr="00A21238" w:rsidRDefault="007E0352" w:rsidP="00525241">
            <w:pPr>
              <w:jc w:val="center"/>
              <w:rPr>
                <w:rFonts w:ascii="Calibri" w:hAnsi="Calibri" w:cs="Calibri"/>
                <w:b/>
                <w:bCs/>
                <w:i/>
                <w:iCs/>
                <w:sz w:val="20"/>
                <w:szCs w:val="20"/>
              </w:rPr>
            </w:pPr>
            <w:r w:rsidRPr="00A21238">
              <w:rPr>
                <w:rFonts w:ascii="Calibri" w:hAnsi="Calibri" w:cs="Calibri"/>
                <w:b/>
                <w:bCs/>
                <w:i/>
                <w:iCs/>
                <w:sz w:val="20"/>
                <w:szCs w:val="20"/>
              </w:rPr>
              <w:t>ALK</w:t>
            </w:r>
            <w:r w:rsidRPr="00A21238">
              <w:rPr>
                <w:rFonts w:ascii="Calibri" w:hAnsi="Calibri" w:cs="Calibri"/>
                <w:b/>
                <w:bCs/>
                <w:sz w:val="20"/>
                <w:szCs w:val="20"/>
              </w:rPr>
              <w:t xml:space="preserve"> </w:t>
            </w:r>
            <w:proofErr w:type="spellStart"/>
            <w:r w:rsidRPr="00A21238">
              <w:rPr>
                <w:rFonts w:ascii="Calibri" w:hAnsi="Calibri" w:cs="Calibri"/>
                <w:b/>
                <w:bCs/>
                <w:sz w:val="20"/>
                <w:szCs w:val="20"/>
              </w:rPr>
              <w:t>Neg</w:t>
            </w:r>
            <w:proofErr w:type="spellEnd"/>
          </w:p>
        </w:tc>
        <w:tc>
          <w:tcPr>
            <w:tcW w:w="845" w:type="dxa"/>
            <w:tcBorders>
              <w:top w:val="single" w:sz="8" w:space="0" w:color="auto"/>
              <w:left w:val="nil"/>
              <w:bottom w:val="single" w:sz="8" w:space="0" w:color="auto"/>
              <w:right w:val="single" w:sz="8" w:space="0" w:color="auto"/>
            </w:tcBorders>
            <w:shd w:val="clear" w:color="auto" w:fill="auto"/>
            <w:vAlign w:val="bottom"/>
            <w:hideMark/>
          </w:tcPr>
          <w:p w:rsidR="007E0352" w:rsidRPr="00A21238" w:rsidRDefault="007E0352" w:rsidP="00525241">
            <w:pPr>
              <w:jc w:val="center"/>
              <w:rPr>
                <w:rFonts w:ascii="Calibri" w:hAnsi="Calibri" w:cs="Calibri"/>
                <w:b/>
                <w:bCs/>
                <w:sz w:val="20"/>
                <w:szCs w:val="20"/>
              </w:rPr>
            </w:pPr>
            <w:r w:rsidRPr="00A21238">
              <w:rPr>
                <w:rFonts w:ascii="Calibri" w:hAnsi="Calibri" w:cs="Calibri"/>
                <w:b/>
                <w:bCs/>
                <w:sz w:val="20"/>
                <w:szCs w:val="20"/>
              </w:rPr>
              <w:t>n(N)</w:t>
            </w:r>
          </w:p>
        </w:tc>
        <w:tc>
          <w:tcPr>
            <w:tcW w:w="2035" w:type="dxa"/>
            <w:tcBorders>
              <w:top w:val="single" w:sz="8" w:space="0" w:color="auto"/>
              <w:left w:val="nil"/>
              <w:bottom w:val="single" w:sz="8" w:space="0" w:color="auto"/>
              <w:right w:val="single" w:sz="8" w:space="0" w:color="auto"/>
            </w:tcBorders>
            <w:shd w:val="clear" w:color="auto" w:fill="auto"/>
            <w:vAlign w:val="bottom"/>
            <w:hideMark/>
          </w:tcPr>
          <w:p w:rsidR="007E0352" w:rsidRPr="00A21238" w:rsidRDefault="007E0352" w:rsidP="00525241">
            <w:pPr>
              <w:jc w:val="center"/>
              <w:rPr>
                <w:rFonts w:ascii="Calibri" w:hAnsi="Calibri" w:cs="Calibri"/>
                <w:b/>
                <w:bCs/>
                <w:sz w:val="20"/>
                <w:szCs w:val="20"/>
              </w:rPr>
            </w:pPr>
            <w:r w:rsidRPr="00A21238">
              <w:rPr>
                <w:rFonts w:ascii="Calibri" w:hAnsi="Calibri" w:cs="Calibri"/>
                <w:b/>
                <w:bCs/>
                <w:sz w:val="20"/>
                <w:szCs w:val="20"/>
              </w:rPr>
              <w:t>WMD</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rsidR="007E0352" w:rsidRPr="00A21238" w:rsidRDefault="00F60EE8" w:rsidP="00525241">
            <w:pPr>
              <w:jc w:val="center"/>
              <w:rPr>
                <w:rFonts w:ascii="Calibri" w:hAnsi="Calibri" w:cs="Calibri"/>
                <w:b/>
                <w:bCs/>
                <w:sz w:val="20"/>
                <w:szCs w:val="20"/>
              </w:rPr>
            </w:pPr>
            <w:r w:rsidRPr="00A21238">
              <w:rPr>
                <w:rFonts w:ascii="Calibri" w:hAnsi="Calibri" w:cs="Calibri"/>
                <w:b/>
                <w:bCs/>
                <w:i/>
                <w:sz w:val="20"/>
                <w:szCs w:val="20"/>
              </w:rPr>
              <w:t>P</w:t>
            </w:r>
            <w:r w:rsidR="007E0352" w:rsidRPr="00A21238">
              <w:rPr>
                <w:rFonts w:ascii="Calibri" w:hAnsi="Calibri" w:cs="Calibri"/>
                <w:b/>
                <w:bCs/>
                <w:sz w:val="20"/>
                <w:szCs w:val="20"/>
              </w:rPr>
              <w:t>-value</w:t>
            </w:r>
          </w:p>
        </w:tc>
        <w:tc>
          <w:tcPr>
            <w:tcW w:w="3357" w:type="dxa"/>
            <w:tcBorders>
              <w:top w:val="nil"/>
              <w:left w:val="nil"/>
              <w:bottom w:val="nil"/>
              <w:right w:val="nil"/>
            </w:tcBorders>
            <w:shd w:val="clear" w:color="auto" w:fill="auto"/>
            <w:noWrap/>
            <w:vAlign w:val="bottom"/>
            <w:hideMark/>
          </w:tcPr>
          <w:p w:rsidR="007E0352" w:rsidRPr="00A21238" w:rsidRDefault="007E0352" w:rsidP="001F7BB7">
            <w:pPr>
              <w:rPr>
                <w:rFonts w:ascii="Century Gothic" w:hAnsi="Century Gothic"/>
                <w:sz w:val="20"/>
                <w:szCs w:val="20"/>
              </w:rPr>
            </w:pPr>
          </w:p>
        </w:tc>
      </w:tr>
      <w:tr w:rsidR="007E0352" w:rsidRPr="00A21238" w:rsidTr="00525241">
        <w:trPr>
          <w:trHeight w:val="285"/>
        </w:trPr>
        <w:tc>
          <w:tcPr>
            <w:tcW w:w="2970" w:type="dxa"/>
            <w:tcBorders>
              <w:top w:val="nil"/>
              <w:left w:val="single" w:sz="8" w:space="0" w:color="auto"/>
              <w:bottom w:val="single" w:sz="8" w:space="0" w:color="auto"/>
              <w:right w:val="single" w:sz="8" w:space="0" w:color="auto"/>
            </w:tcBorders>
            <w:shd w:val="clear" w:color="auto" w:fill="auto"/>
            <w:noWrap/>
            <w:vAlign w:val="bottom"/>
            <w:hideMark/>
          </w:tcPr>
          <w:p w:rsidR="007E0352" w:rsidRPr="00A21238" w:rsidRDefault="001F7BB7" w:rsidP="0002496E">
            <w:pPr>
              <w:rPr>
                <w:rFonts w:ascii="Calibri" w:hAnsi="Calibri" w:cs="Calibri"/>
                <w:b/>
                <w:bCs/>
                <w:sz w:val="20"/>
                <w:szCs w:val="20"/>
              </w:rPr>
            </w:pPr>
            <w:r w:rsidRPr="00A21238">
              <w:rPr>
                <w:rFonts w:ascii="Calibri" w:hAnsi="Calibri" w:cs="Calibri"/>
                <w:b/>
                <w:bCs/>
                <w:sz w:val="20"/>
                <w:szCs w:val="20"/>
              </w:rPr>
              <w:t>Median Age</w:t>
            </w:r>
            <w:r w:rsidR="0002496E" w:rsidRPr="0002496E">
              <w:rPr>
                <w:rFonts w:ascii="Calibri" w:hAnsi="Calibri" w:cs="Calibri"/>
                <w:b/>
                <w:bCs/>
                <w:noProof/>
                <w:sz w:val="20"/>
                <w:szCs w:val="20"/>
                <w:vertAlign w:val="superscript"/>
              </w:rPr>
              <w:t>56, 57</w:t>
            </w:r>
            <w:r w:rsidRPr="00A21238">
              <w:rPr>
                <w:rFonts w:ascii="Calibri" w:hAnsi="Calibri" w:cs="Calibri"/>
                <w:b/>
                <w:bCs/>
                <w:sz w:val="20"/>
                <w:szCs w:val="20"/>
              </w:rPr>
              <w:t xml:space="preserve"> </w:t>
            </w:r>
            <w:r w:rsidR="007E0352" w:rsidRPr="00A21238">
              <w:rPr>
                <w:rFonts w:ascii="Calibri" w:hAnsi="Calibri" w:cs="Calibri"/>
                <w:b/>
                <w:bCs/>
                <w:sz w:val="20"/>
                <w:szCs w:val="20"/>
              </w:rPr>
              <w:t xml:space="preserve"> </w:t>
            </w:r>
          </w:p>
        </w:tc>
        <w:tc>
          <w:tcPr>
            <w:tcW w:w="1440" w:type="dxa"/>
            <w:tcBorders>
              <w:top w:val="nil"/>
              <w:left w:val="nil"/>
              <w:bottom w:val="single" w:sz="8" w:space="0" w:color="auto"/>
              <w:right w:val="single" w:sz="8" w:space="0" w:color="auto"/>
            </w:tcBorders>
            <w:shd w:val="clear" w:color="auto" w:fill="auto"/>
            <w:noWrap/>
            <w:vAlign w:val="bottom"/>
            <w:hideMark/>
          </w:tcPr>
          <w:p w:rsidR="007E0352" w:rsidRPr="00A21238" w:rsidRDefault="00E13F82" w:rsidP="00525241">
            <w:pPr>
              <w:jc w:val="center"/>
              <w:rPr>
                <w:rFonts w:ascii="Calibri" w:hAnsi="Calibri" w:cs="Calibri"/>
                <w:sz w:val="20"/>
                <w:szCs w:val="20"/>
              </w:rPr>
            </w:pPr>
            <w:r w:rsidRPr="00A21238">
              <w:rPr>
                <w:rFonts w:ascii="Calibri" w:hAnsi="Calibri" w:cs="Calibri"/>
                <w:sz w:val="20"/>
                <w:szCs w:val="20"/>
              </w:rPr>
              <w:t xml:space="preserve">53.5 </w:t>
            </w:r>
            <w:r w:rsidR="007E0352" w:rsidRPr="00A21238">
              <w:rPr>
                <w:rFonts w:ascii="Calibri" w:hAnsi="Calibri" w:cs="Calibri"/>
                <w:sz w:val="20"/>
                <w:szCs w:val="20"/>
              </w:rPr>
              <w:t xml:space="preserve"> </w:t>
            </w:r>
            <w:r w:rsidR="007E0352" w:rsidRPr="00A21238">
              <w:rPr>
                <w:rFonts w:ascii="Calibri" w:hAnsi="Calibri" w:cs="Calibri"/>
                <w:sz w:val="20"/>
                <w:szCs w:val="20"/>
                <w:u w:val="single"/>
              </w:rPr>
              <w:t>+</w:t>
            </w:r>
            <w:r w:rsidRPr="00A21238">
              <w:rPr>
                <w:rFonts w:ascii="Calibri" w:hAnsi="Calibri" w:cs="Calibri"/>
                <w:sz w:val="20"/>
                <w:szCs w:val="20"/>
              </w:rPr>
              <w:t xml:space="preserve">  3.5</w:t>
            </w:r>
          </w:p>
        </w:tc>
        <w:tc>
          <w:tcPr>
            <w:tcW w:w="1350" w:type="dxa"/>
            <w:tcBorders>
              <w:top w:val="nil"/>
              <w:left w:val="nil"/>
              <w:bottom w:val="single" w:sz="8" w:space="0" w:color="auto"/>
              <w:right w:val="single" w:sz="8" w:space="0" w:color="auto"/>
            </w:tcBorders>
            <w:shd w:val="clear" w:color="auto" w:fill="auto"/>
            <w:noWrap/>
            <w:vAlign w:val="bottom"/>
            <w:hideMark/>
          </w:tcPr>
          <w:p w:rsidR="007E0352" w:rsidRPr="00A21238" w:rsidRDefault="00E13F82" w:rsidP="00525241">
            <w:pPr>
              <w:jc w:val="center"/>
              <w:rPr>
                <w:rFonts w:ascii="Calibri" w:hAnsi="Calibri" w:cs="Calibri"/>
                <w:sz w:val="20"/>
                <w:szCs w:val="20"/>
              </w:rPr>
            </w:pPr>
            <w:r w:rsidRPr="00A21238">
              <w:rPr>
                <w:rFonts w:ascii="Calibri" w:hAnsi="Calibri" w:cs="Calibri"/>
                <w:sz w:val="20"/>
                <w:szCs w:val="20"/>
              </w:rPr>
              <w:t xml:space="preserve">64.0 </w:t>
            </w:r>
            <w:r w:rsidR="007E0352" w:rsidRPr="00A21238">
              <w:rPr>
                <w:rFonts w:ascii="Calibri" w:hAnsi="Calibri" w:cs="Calibri"/>
                <w:sz w:val="20"/>
                <w:szCs w:val="20"/>
                <w:u w:val="single"/>
              </w:rPr>
              <w:t>+</w:t>
            </w:r>
            <w:r w:rsidR="007E0352" w:rsidRPr="00A21238">
              <w:rPr>
                <w:rFonts w:ascii="Calibri" w:hAnsi="Calibri" w:cs="Calibri"/>
                <w:sz w:val="20"/>
                <w:szCs w:val="20"/>
              </w:rPr>
              <w:t xml:space="preserve"> </w:t>
            </w:r>
            <w:r w:rsidRPr="00A21238">
              <w:rPr>
                <w:rFonts w:ascii="Calibri" w:hAnsi="Calibri" w:cs="Calibri"/>
                <w:sz w:val="20"/>
                <w:szCs w:val="20"/>
              </w:rPr>
              <w:t xml:space="preserve"> 2.8</w:t>
            </w:r>
          </w:p>
        </w:tc>
        <w:tc>
          <w:tcPr>
            <w:tcW w:w="845" w:type="dxa"/>
            <w:tcBorders>
              <w:top w:val="nil"/>
              <w:left w:val="nil"/>
              <w:bottom w:val="single" w:sz="8" w:space="0" w:color="auto"/>
              <w:right w:val="single" w:sz="8" w:space="0" w:color="auto"/>
            </w:tcBorders>
            <w:shd w:val="clear" w:color="auto" w:fill="auto"/>
            <w:noWrap/>
            <w:vAlign w:val="bottom"/>
            <w:hideMark/>
          </w:tcPr>
          <w:p w:rsidR="007E0352" w:rsidRPr="00A21238" w:rsidRDefault="00E13F82" w:rsidP="00525241">
            <w:pPr>
              <w:jc w:val="center"/>
              <w:rPr>
                <w:rFonts w:ascii="Calibri" w:hAnsi="Calibri" w:cs="Calibri"/>
                <w:sz w:val="20"/>
                <w:szCs w:val="20"/>
              </w:rPr>
            </w:pPr>
            <w:r w:rsidRPr="00A21238">
              <w:rPr>
                <w:rFonts w:ascii="Calibri" w:hAnsi="Calibri" w:cs="Calibri"/>
                <w:sz w:val="20"/>
                <w:szCs w:val="20"/>
              </w:rPr>
              <w:t>2(663)</w:t>
            </w:r>
          </w:p>
        </w:tc>
        <w:tc>
          <w:tcPr>
            <w:tcW w:w="2035" w:type="dxa"/>
            <w:tcBorders>
              <w:top w:val="nil"/>
              <w:left w:val="nil"/>
              <w:bottom w:val="single" w:sz="8" w:space="0" w:color="auto"/>
              <w:right w:val="single" w:sz="8" w:space="0" w:color="auto"/>
            </w:tcBorders>
            <w:shd w:val="clear" w:color="auto" w:fill="auto"/>
            <w:noWrap/>
            <w:vAlign w:val="bottom"/>
            <w:hideMark/>
          </w:tcPr>
          <w:p w:rsidR="007E0352" w:rsidRPr="00A21238" w:rsidRDefault="00E13F82" w:rsidP="00525241">
            <w:pPr>
              <w:jc w:val="center"/>
              <w:rPr>
                <w:rFonts w:ascii="Calibri" w:hAnsi="Calibri" w:cs="Calibri"/>
                <w:sz w:val="20"/>
                <w:szCs w:val="20"/>
              </w:rPr>
            </w:pPr>
            <w:r w:rsidRPr="00A21238">
              <w:rPr>
                <w:rFonts w:ascii="Calibri" w:hAnsi="Calibri" w:cs="Calibri"/>
                <w:sz w:val="20"/>
                <w:szCs w:val="20"/>
              </w:rPr>
              <w:t>-10.55 [-19.37, -1.73]</w:t>
            </w:r>
          </w:p>
        </w:tc>
        <w:tc>
          <w:tcPr>
            <w:tcW w:w="1080" w:type="dxa"/>
            <w:tcBorders>
              <w:top w:val="nil"/>
              <w:left w:val="nil"/>
              <w:bottom w:val="single" w:sz="8" w:space="0" w:color="auto"/>
              <w:right w:val="single" w:sz="8" w:space="0" w:color="auto"/>
            </w:tcBorders>
            <w:shd w:val="clear" w:color="auto" w:fill="auto"/>
            <w:noWrap/>
            <w:vAlign w:val="bottom"/>
            <w:hideMark/>
          </w:tcPr>
          <w:p w:rsidR="007E0352" w:rsidRPr="00A21238" w:rsidRDefault="00F60EE8" w:rsidP="00525241">
            <w:pPr>
              <w:jc w:val="center"/>
              <w:rPr>
                <w:rFonts w:ascii="Calibri" w:hAnsi="Calibri" w:cs="Calibri"/>
                <w:sz w:val="20"/>
                <w:szCs w:val="20"/>
              </w:rPr>
            </w:pPr>
            <w:r w:rsidRPr="00A21238">
              <w:rPr>
                <w:rFonts w:ascii="Calibri" w:hAnsi="Calibri" w:cs="Calibri"/>
                <w:i/>
                <w:sz w:val="20"/>
                <w:szCs w:val="20"/>
              </w:rPr>
              <w:t>P</w:t>
            </w:r>
            <w:r w:rsidR="00E13F82" w:rsidRPr="00A21238">
              <w:rPr>
                <w:rFonts w:ascii="Calibri" w:hAnsi="Calibri" w:cs="Calibri"/>
                <w:sz w:val="20"/>
                <w:szCs w:val="20"/>
              </w:rPr>
              <w:t>=.02</w:t>
            </w:r>
          </w:p>
        </w:tc>
        <w:tc>
          <w:tcPr>
            <w:tcW w:w="3357" w:type="dxa"/>
            <w:tcBorders>
              <w:top w:val="nil"/>
              <w:left w:val="nil"/>
              <w:bottom w:val="nil"/>
              <w:right w:val="nil"/>
            </w:tcBorders>
            <w:shd w:val="clear" w:color="auto" w:fill="auto"/>
            <w:noWrap/>
            <w:vAlign w:val="bottom"/>
            <w:hideMark/>
          </w:tcPr>
          <w:p w:rsidR="007E0352" w:rsidRPr="00A21238" w:rsidRDefault="007E0352" w:rsidP="001F7BB7">
            <w:pPr>
              <w:rPr>
                <w:rFonts w:ascii="Century Gothic" w:hAnsi="Century Gothic"/>
                <w:sz w:val="20"/>
                <w:szCs w:val="20"/>
              </w:rPr>
            </w:pPr>
          </w:p>
        </w:tc>
      </w:tr>
      <w:tr w:rsidR="007E0352" w:rsidRPr="00A21238" w:rsidTr="00525241">
        <w:trPr>
          <w:trHeight w:val="285"/>
        </w:trPr>
        <w:tc>
          <w:tcPr>
            <w:tcW w:w="2970" w:type="dxa"/>
            <w:tcBorders>
              <w:top w:val="nil"/>
              <w:left w:val="single" w:sz="8" w:space="0" w:color="auto"/>
              <w:bottom w:val="single" w:sz="8" w:space="0" w:color="auto"/>
              <w:right w:val="single" w:sz="8" w:space="0" w:color="auto"/>
            </w:tcBorders>
            <w:shd w:val="clear" w:color="auto" w:fill="auto"/>
            <w:noWrap/>
            <w:vAlign w:val="bottom"/>
            <w:hideMark/>
          </w:tcPr>
          <w:p w:rsidR="007E0352" w:rsidRPr="00A21238" w:rsidRDefault="007E0352" w:rsidP="0002496E">
            <w:pPr>
              <w:rPr>
                <w:rFonts w:ascii="Calibri" w:hAnsi="Calibri" w:cs="Calibri"/>
                <w:b/>
                <w:bCs/>
                <w:sz w:val="20"/>
                <w:szCs w:val="20"/>
              </w:rPr>
            </w:pPr>
            <w:r w:rsidRPr="00A21238">
              <w:rPr>
                <w:rFonts w:ascii="Calibri" w:hAnsi="Calibri" w:cs="Calibri"/>
                <w:b/>
                <w:bCs/>
                <w:sz w:val="20"/>
                <w:szCs w:val="20"/>
              </w:rPr>
              <w:t>Mean Age</w:t>
            </w:r>
            <w:r w:rsidR="0002496E" w:rsidRPr="0002496E">
              <w:rPr>
                <w:rFonts w:ascii="Calibri" w:hAnsi="Calibri" w:cs="Calibri"/>
                <w:b/>
                <w:bCs/>
                <w:noProof/>
                <w:sz w:val="20"/>
                <w:szCs w:val="20"/>
                <w:vertAlign w:val="superscript"/>
              </w:rPr>
              <w:t>58-60</w:t>
            </w:r>
            <w:r w:rsidRPr="00A21238">
              <w:rPr>
                <w:rFonts w:ascii="Calibri" w:hAnsi="Calibri" w:cs="Calibri"/>
                <w:b/>
                <w:bCs/>
                <w:sz w:val="20"/>
                <w:szCs w:val="20"/>
              </w:rPr>
              <w:t xml:space="preserve"> </w:t>
            </w:r>
          </w:p>
        </w:tc>
        <w:tc>
          <w:tcPr>
            <w:tcW w:w="1440" w:type="dxa"/>
            <w:tcBorders>
              <w:top w:val="nil"/>
              <w:left w:val="nil"/>
              <w:bottom w:val="single" w:sz="8" w:space="0" w:color="auto"/>
              <w:right w:val="single" w:sz="8" w:space="0" w:color="auto"/>
            </w:tcBorders>
            <w:shd w:val="clear" w:color="auto" w:fill="auto"/>
            <w:noWrap/>
            <w:vAlign w:val="bottom"/>
            <w:hideMark/>
          </w:tcPr>
          <w:p w:rsidR="007E0352" w:rsidRPr="00A21238" w:rsidRDefault="00E13F82" w:rsidP="00525241">
            <w:pPr>
              <w:jc w:val="center"/>
              <w:rPr>
                <w:rFonts w:ascii="Calibri" w:hAnsi="Calibri" w:cs="Calibri"/>
                <w:sz w:val="20"/>
                <w:szCs w:val="20"/>
              </w:rPr>
            </w:pPr>
            <w:r w:rsidRPr="00A21238">
              <w:rPr>
                <w:rFonts w:ascii="Calibri" w:hAnsi="Calibri" w:cs="Calibri"/>
                <w:sz w:val="20"/>
                <w:szCs w:val="20"/>
              </w:rPr>
              <w:t xml:space="preserve">58.9 </w:t>
            </w:r>
            <w:r w:rsidR="007E0352" w:rsidRPr="00A21238">
              <w:rPr>
                <w:rFonts w:ascii="Calibri" w:hAnsi="Calibri" w:cs="Calibri"/>
                <w:sz w:val="20"/>
                <w:szCs w:val="20"/>
              </w:rPr>
              <w:t xml:space="preserve"> </w:t>
            </w:r>
            <w:r w:rsidR="007E0352" w:rsidRPr="00A21238">
              <w:rPr>
                <w:rFonts w:ascii="Calibri" w:hAnsi="Calibri" w:cs="Calibri"/>
                <w:sz w:val="20"/>
                <w:szCs w:val="20"/>
                <w:u w:val="single"/>
              </w:rPr>
              <w:t>+</w:t>
            </w:r>
            <w:r w:rsidRPr="00A21238">
              <w:rPr>
                <w:rFonts w:ascii="Calibri" w:hAnsi="Calibri" w:cs="Calibri"/>
                <w:sz w:val="20"/>
                <w:szCs w:val="20"/>
              </w:rPr>
              <w:t xml:space="preserve">  9.7</w:t>
            </w:r>
          </w:p>
        </w:tc>
        <w:tc>
          <w:tcPr>
            <w:tcW w:w="1350" w:type="dxa"/>
            <w:tcBorders>
              <w:top w:val="nil"/>
              <w:left w:val="nil"/>
              <w:bottom w:val="single" w:sz="8" w:space="0" w:color="auto"/>
              <w:right w:val="single" w:sz="8" w:space="0" w:color="auto"/>
            </w:tcBorders>
            <w:shd w:val="clear" w:color="auto" w:fill="auto"/>
            <w:noWrap/>
            <w:vAlign w:val="bottom"/>
            <w:hideMark/>
          </w:tcPr>
          <w:p w:rsidR="007E0352" w:rsidRPr="00A21238" w:rsidRDefault="00E13F82" w:rsidP="00525241">
            <w:pPr>
              <w:jc w:val="center"/>
              <w:rPr>
                <w:rFonts w:ascii="Calibri" w:hAnsi="Calibri" w:cs="Calibri"/>
                <w:sz w:val="20"/>
                <w:szCs w:val="20"/>
              </w:rPr>
            </w:pPr>
            <w:r w:rsidRPr="00A21238">
              <w:rPr>
                <w:rFonts w:ascii="Calibri" w:hAnsi="Calibri" w:cs="Calibri"/>
                <w:sz w:val="20"/>
                <w:szCs w:val="20"/>
              </w:rPr>
              <w:t xml:space="preserve">65.2 </w:t>
            </w:r>
            <w:r w:rsidR="007E0352" w:rsidRPr="00A21238">
              <w:rPr>
                <w:rFonts w:ascii="Calibri" w:hAnsi="Calibri" w:cs="Calibri"/>
                <w:sz w:val="20"/>
                <w:szCs w:val="20"/>
                <w:u w:val="single"/>
              </w:rPr>
              <w:t>+</w:t>
            </w:r>
            <w:r w:rsidRPr="00A21238">
              <w:rPr>
                <w:rFonts w:ascii="Calibri" w:hAnsi="Calibri" w:cs="Calibri"/>
                <w:sz w:val="20"/>
                <w:szCs w:val="20"/>
              </w:rPr>
              <w:t xml:space="preserve">  3.9</w:t>
            </w:r>
          </w:p>
        </w:tc>
        <w:tc>
          <w:tcPr>
            <w:tcW w:w="845" w:type="dxa"/>
            <w:tcBorders>
              <w:top w:val="nil"/>
              <w:left w:val="nil"/>
              <w:bottom w:val="single" w:sz="8" w:space="0" w:color="auto"/>
              <w:right w:val="single" w:sz="8" w:space="0" w:color="auto"/>
            </w:tcBorders>
            <w:shd w:val="clear" w:color="auto" w:fill="auto"/>
            <w:noWrap/>
            <w:vAlign w:val="bottom"/>
            <w:hideMark/>
          </w:tcPr>
          <w:p w:rsidR="007E0352" w:rsidRPr="00A21238" w:rsidRDefault="00E13F82" w:rsidP="00525241">
            <w:pPr>
              <w:jc w:val="center"/>
              <w:rPr>
                <w:rFonts w:ascii="Calibri" w:hAnsi="Calibri" w:cs="Calibri"/>
                <w:sz w:val="20"/>
                <w:szCs w:val="20"/>
              </w:rPr>
            </w:pPr>
            <w:r w:rsidRPr="00A21238">
              <w:rPr>
                <w:rFonts w:ascii="Calibri" w:hAnsi="Calibri" w:cs="Calibri"/>
                <w:sz w:val="20"/>
                <w:szCs w:val="20"/>
              </w:rPr>
              <w:t>3(967)</w:t>
            </w:r>
          </w:p>
        </w:tc>
        <w:tc>
          <w:tcPr>
            <w:tcW w:w="2035" w:type="dxa"/>
            <w:tcBorders>
              <w:top w:val="nil"/>
              <w:left w:val="nil"/>
              <w:bottom w:val="single" w:sz="8" w:space="0" w:color="auto"/>
              <w:right w:val="single" w:sz="8" w:space="0" w:color="auto"/>
            </w:tcBorders>
            <w:shd w:val="clear" w:color="auto" w:fill="auto"/>
            <w:noWrap/>
            <w:vAlign w:val="bottom"/>
            <w:hideMark/>
          </w:tcPr>
          <w:p w:rsidR="007E0352" w:rsidRPr="00A21238" w:rsidRDefault="00E13F82" w:rsidP="00525241">
            <w:pPr>
              <w:jc w:val="center"/>
              <w:rPr>
                <w:rFonts w:ascii="Calibri" w:hAnsi="Calibri" w:cs="Calibri"/>
                <w:sz w:val="20"/>
                <w:szCs w:val="20"/>
              </w:rPr>
            </w:pPr>
            <w:r w:rsidRPr="00A21238">
              <w:rPr>
                <w:rFonts w:ascii="Calibri" w:hAnsi="Calibri" w:cs="Calibri"/>
                <w:sz w:val="20"/>
                <w:szCs w:val="20"/>
              </w:rPr>
              <w:t>-7.23 [-13.03, -1.43]</w:t>
            </w:r>
          </w:p>
        </w:tc>
        <w:tc>
          <w:tcPr>
            <w:tcW w:w="1080" w:type="dxa"/>
            <w:tcBorders>
              <w:top w:val="nil"/>
              <w:left w:val="nil"/>
              <w:bottom w:val="single" w:sz="8" w:space="0" w:color="auto"/>
              <w:right w:val="single" w:sz="8" w:space="0" w:color="auto"/>
            </w:tcBorders>
            <w:shd w:val="clear" w:color="auto" w:fill="auto"/>
            <w:noWrap/>
            <w:vAlign w:val="bottom"/>
            <w:hideMark/>
          </w:tcPr>
          <w:p w:rsidR="007E0352" w:rsidRPr="00A21238" w:rsidRDefault="00F60EE8" w:rsidP="00525241">
            <w:pPr>
              <w:jc w:val="center"/>
              <w:rPr>
                <w:rFonts w:ascii="Calibri" w:hAnsi="Calibri" w:cs="Calibri"/>
                <w:sz w:val="20"/>
                <w:szCs w:val="20"/>
              </w:rPr>
            </w:pPr>
            <w:r w:rsidRPr="00A21238">
              <w:rPr>
                <w:rFonts w:ascii="Calibri" w:hAnsi="Calibri" w:cs="Calibri"/>
                <w:i/>
                <w:sz w:val="20"/>
                <w:szCs w:val="20"/>
              </w:rPr>
              <w:t>P</w:t>
            </w:r>
            <w:r w:rsidR="00E13F82" w:rsidRPr="00A21238">
              <w:rPr>
                <w:rFonts w:ascii="Calibri" w:hAnsi="Calibri" w:cs="Calibri"/>
                <w:sz w:val="20"/>
                <w:szCs w:val="20"/>
              </w:rPr>
              <w:t>=.01</w:t>
            </w:r>
          </w:p>
        </w:tc>
        <w:tc>
          <w:tcPr>
            <w:tcW w:w="3357" w:type="dxa"/>
            <w:tcBorders>
              <w:top w:val="nil"/>
              <w:left w:val="nil"/>
              <w:bottom w:val="nil"/>
              <w:right w:val="nil"/>
            </w:tcBorders>
            <w:shd w:val="clear" w:color="auto" w:fill="auto"/>
            <w:noWrap/>
            <w:vAlign w:val="bottom"/>
            <w:hideMark/>
          </w:tcPr>
          <w:p w:rsidR="007E0352" w:rsidRPr="00A21238" w:rsidRDefault="007E0352" w:rsidP="001F7BB7">
            <w:pPr>
              <w:rPr>
                <w:rFonts w:ascii="Century Gothic" w:hAnsi="Century Gothic"/>
                <w:sz w:val="20"/>
                <w:szCs w:val="20"/>
              </w:rPr>
            </w:pPr>
          </w:p>
        </w:tc>
      </w:tr>
    </w:tbl>
    <w:p w:rsidR="00FA6D42" w:rsidRPr="00930C52" w:rsidRDefault="00A26FF8" w:rsidP="00A26FF8">
      <w:pPr>
        <w:ind w:hanging="90"/>
        <w:rPr>
          <w:rFonts w:asciiTheme="minorHAnsi" w:hAnsiTheme="minorHAnsi" w:cs="Arial"/>
          <w:b/>
          <w:sz w:val="18"/>
          <w:szCs w:val="18"/>
        </w:rPr>
      </w:pPr>
      <w:r>
        <w:rPr>
          <w:rFonts w:asciiTheme="minorHAnsi" w:hAnsiTheme="minorHAnsi"/>
          <w:sz w:val="18"/>
          <w:szCs w:val="18"/>
        </w:rPr>
        <w:t xml:space="preserve">Abbreviations: </w:t>
      </w:r>
      <w:r w:rsidR="00565546" w:rsidRPr="00930C52">
        <w:rPr>
          <w:rFonts w:asciiTheme="minorHAnsi" w:hAnsiTheme="minorHAnsi"/>
          <w:sz w:val="18"/>
          <w:szCs w:val="18"/>
        </w:rPr>
        <w:t>n</w:t>
      </w:r>
      <w:r w:rsidR="00470CE4">
        <w:rPr>
          <w:rFonts w:asciiTheme="minorHAnsi" w:hAnsiTheme="minorHAnsi"/>
          <w:sz w:val="18"/>
          <w:szCs w:val="18"/>
        </w:rPr>
        <w:t>,</w:t>
      </w:r>
      <w:r w:rsidR="00565546" w:rsidRPr="00930C52">
        <w:rPr>
          <w:rFonts w:asciiTheme="minorHAnsi" w:hAnsiTheme="minorHAnsi"/>
          <w:sz w:val="18"/>
          <w:szCs w:val="18"/>
        </w:rPr>
        <w:t xml:space="preserve"> Number of studies; N</w:t>
      </w:r>
      <w:r w:rsidR="00470CE4">
        <w:rPr>
          <w:rFonts w:asciiTheme="minorHAnsi" w:hAnsiTheme="minorHAnsi"/>
          <w:sz w:val="18"/>
          <w:szCs w:val="18"/>
        </w:rPr>
        <w:t>,</w:t>
      </w:r>
      <w:r w:rsidR="00565546" w:rsidRPr="00930C52">
        <w:rPr>
          <w:rFonts w:asciiTheme="minorHAnsi" w:hAnsiTheme="minorHAnsi"/>
          <w:sz w:val="18"/>
          <w:szCs w:val="18"/>
        </w:rPr>
        <w:t xml:space="preserve"> Number of patients</w:t>
      </w:r>
      <w:r w:rsidR="00FA6D42" w:rsidRPr="00930C52">
        <w:rPr>
          <w:rFonts w:asciiTheme="minorHAnsi" w:hAnsiTheme="minorHAnsi"/>
          <w:sz w:val="18"/>
          <w:szCs w:val="18"/>
        </w:rPr>
        <w:t>;</w:t>
      </w:r>
      <w:r w:rsidR="00FA6D42" w:rsidRPr="00930C52">
        <w:rPr>
          <w:rFonts w:ascii="Calibri" w:hAnsi="Calibri"/>
          <w:sz w:val="18"/>
          <w:szCs w:val="18"/>
        </w:rPr>
        <w:t xml:space="preserve"> WMD</w:t>
      </w:r>
      <w:r w:rsidR="00470CE4">
        <w:rPr>
          <w:rFonts w:ascii="Calibri" w:hAnsi="Calibri"/>
          <w:sz w:val="18"/>
          <w:szCs w:val="18"/>
        </w:rPr>
        <w:t>,</w:t>
      </w:r>
      <w:r w:rsidR="00FA6D42" w:rsidRPr="00930C52">
        <w:rPr>
          <w:rFonts w:ascii="Calibri" w:hAnsi="Calibri"/>
          <w:sz w:val="18"/>
          <w:szCs w:val="18"/>
        </w:rPr>
        <w:t xml:space="preserve"> Weighted mean difference</w:t>
      </w:r>
    </w:p>
    <w:p w:rsidR="007E0352" w:rsidRPr="00A21238" w:rsidRDefault="007E0352" w:rsidP="00565546">
      <w:pPr>
        <w:ind w:hanging="90"/>
        <w:rPr>
          <w:rFonts w:ascii="Century Gothic" w:hAnsi="Century Gothic"/>
          <w:sz w:val="16"/>
          <w:szCs w:val="16"/>
        </w:rPr>
      </w:pPr>
    </w:p>
    <w:tbl>
      <w:tblPr>
        <w:tblW w:w="9195" w:type="dxa"/>
        <w:tblInd w:w="18" w:type="dxa"/>
        <w:tblLook w:val="04A0"/>
      </w:tblPr>
      <w:tblGrid>
        <w:gridCol w:w="2985"/>
        <w:gridCol w:w="1710"/>
        <w:gridCol w:w="1620"/>
        <w:gridCol w:w="1530"/>
        <w:gridCol w:w="1350"/>
      </w:tblGrid>
      <w:tr w:rsidR="007C3D5D" w:rsidRPr="00A21238" w:rsidTr="00A52683">
        <w:trPr>
          <w:trHeight w:val="270"/>
        </w:trPr>
        <w:tc>
          <w:tcPr>
            <w:tcW w:w="7845" w:type="dxa"/>
            <w:gridSpan w:val="4"/>
            <w:tcBorders>
              <w:top w:val="nil"/>
              <w:left w:val="nil"/>
              <w:bottom w:val="nil"/>
              <w:right w:val="nil"/>
            </w:tcBorders>
            <w:shd w:val="clear" w:color="auto" w:fill="auto"/>
            <w:noWrap/>
            <w:vAlign w:val="bottom"/>
            <w:hideMark/>
          </w:tcPr>
          <w:p w:rsidR="007E0352" w:rsidRPr="00A21238" w:rsidRDefault="007E0352" w:rsidP="007C3D5D">
            <w:pPr>
              <w:rPr>
                <w:rFonts w:ascii="Century Gothic" w:hAnsi="Century Gothic"/>
                <w:b/>
                <w:bCs/>
                <w:sz w:val="20"/>
                <w:szCs w:val="20"/>
              </w:rPr>
            </w:pPr>
          </w:p>
          <w:p w:rsidR="007C3D5D" w:rsidRPr="00A52683" w:rsidRDefault="006609E3" w:rsidP="00A52683">
            <w:pPr>
              <w:ind w:hanging="93"/>
              <w:rPr>
                <w:b/>
                <w:bCs/>
                <w:sz w:val="22"/>
                <w:szCs w:val="22"/>
              </w:rPr>
            </w:pPr>
            <w:r w:rsidRPr="00A52683">
              <w:rPr>
                <w:b/>
                <w:bCs/>
                <w:sz w:val="22"/>
                <w:szCs w:val="22"/>
              </w:rPr>
              <w:t>Table 1</w:t>
            </w:r>
            <w:r w:rsidR="00A566D8" w:rsidRPr="00A52683">
              <w:rPr>
                <w:b/>
                <w:bCs/>
                <w:sz w:val="22"/>
                <w:szCs w:val="22"/>
              </w:rPr>
              <w:t>2</w:t>
            </w:r>
            <w:r w:rsidRPr="00A52683">
              <w:rPr>
                <w:b/>
                <w:bCs/>
                <w:sz w:val="22"/>
                <w:szCs w:val="22"/>
              </w:rPr>
              <w:t>:</w:t>
            </w:r>
            <w:r w:rsidR="007C3D5D" w:rsidRPr="00A52683">
              <w:rPr>
                <w:b/>
                <w:bCs/>
                <w:sz w:val="22"/>
                <w:szCs w:val="22"/>
              </w:rPr>
              <w:t xml:space="preserve"> </w:t>
            </w:r>
            <w:proofErr w:type="spellStart"/>
            <w:r w:rsidR="0032192C">
              <w:rPr>
                <w:b/>
                <w:bCs/>
                <w:sz w:val="22"/>
                <w:szCs w:val="22"/>
              </w:rPr>
              <w:t>Clinicopathologic</w:t>
            </w:r>
            <w:proofErr w:type="spellEnd"/>
            <w:r w:rsidR="00052EAF" w:rsidRPr="00A52683">
              <w:rPr>
                <w:b/>
                <w:bCs/>
                <w:sz w:val="22"/>
                <w:szCs w:val="22"/>
              </w:rPr>
              <w:t xml:space="preserve"> characteristics in relation to </w:t>
            </w:r>
            <w:r w:rsidR="00052EAF" w:rsidRPr="00A52683">
              <w:rPr>
                <w:b/>
                <w:bCs/>
                <w:i/>
                <w:sz w:val="22"/>
                <w:szCs w:val="22"/>
              </w:rPr>
              <w:t>ALK</w:t>
            </w:r>
            <w:r w:rsidR="00052EAF" w:rsidRPr="00A52683">
              <w:rPr>
                <w:b/>
                <w:bCs/>
                <w:sz w:val="22"/>
                <w:szCs w:val="22"/>
              </w:rPr>
              <w:t xml:space="preserve"> rearrangement </w:t>
            </w:r>
            <w:proofErr w:type="spellStart"/>
            <w:r w:rsidR="00052EAF" w:rsidRPr="00A52683">
              <w:rPr>
                <w:b/>
                <w:bCs/>
                <w:sz w:val="22"/>
                <w:szCs w:val="22"/>
              </w:rPr>
              <w:t>status</w:t>
            </w:r>
            <w:r w:rsidR="00AC081E" w:rsidRPr="00AC081E">
              <w:rPr>
                <w:rFonts w:ascii="Times New Roman Bold" w:hAnsi="Times New Roman Bold"/>
                <w:b/>
                <w:bCs/>
                <w:sz w:val="22"/>
                <w:szCs w:val="22"/>
                <w:vertAlign w:val="superscript"/>
              </w:rPr>
              <w:t>a</w:t>
            </w:r>
            <w:proofErr w:type="spellEnd"/>
          </w:p>
        </w:tc>
        <w:tc>
          <w:tcPr>
            <w:tcW w:w="1350" w:type="dxa"/>
            <w:tcBorders>
              <w:top w:val="nil"/>
              <w:left w:val="nil"/>
              <w:bottom w:val="nil"/>
              <w:right w:val="nil"/>
            </w:tcBorders>
            <w:shd w:val="clear" w:color="auto" w:fill="auto"/>
            <w:noWrap/>
            <w:vAlign w:val="bottom"/>
            <w:hideMark/>
          </w:tcPr>
          <w:p w:rsidR="007C3D5D" w:rsidRPr="00A21238" w:rsidRDefault="007C3D5D" w:rsidP="007C3D5D">
            <w:pPr>
              <w:rPr>
                <w:rFonts w:ascii="Century Gothic" w:hAnsi="Century Gothic"/>
                <w:sz w:val="20"/>
                <w:szCs w:val="20"/>
              </w:rPr>
            </w:pPr>
          </w:p>
        </w:tc>
      </w:tr>
      <w:tr w:rsidR="007C3D5D" w:rsidRPr="00A21238" w:rsidTr="00817982">
        <w:trPr>
          <w:trHeight w:val="510"/>
        </w:trPr>
        <w:tc>
          <w:tcPr>
            <w:tcW w:w="2985" w:type="dxa"/>
            <w:tcBorders>
              <w:top w:val="nil"/>
              <w:left w:val="nil"/>
              <w:bottom w:val="nil"/>
              <w:right w:val="nil"/>
            </w:tcBorders>
            <w:shd w:val="clear" w:color="auto" w:fill="auto"/>
            <w:hideMark/>
          </w:tcPr>
          <w:p w:rsidR="007C3D5D" w:rsidRPr="00A21238" w:rsidRDefault="007C3D5D" w:rsidP="007C3D5D">
            <w:pPr>
              <w:rPr>
                <w:rFonts w:ascii="Calibri" w:hAnsi="Calibri" w:cs="Calibri"/>
                <w:b/>
                <w:bCs/>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D5D" w:rsidRPr="00A21238" w:rsidRDefault="007C3D5D" w:rsidP="00525241">
            <w:pPr>
              <w:jc w:val="center"/>
              <w:rPr>
                <w:rFonts w:ascii="Calibri" w:hAnsi="Calibri" w:cs="Calibri"/>
                <w:b/>
                <w:bCs/>
                <w:sz w:val="20"/>
                <w:szCs w:val="20"/>
              </w:rPr>
            </w:pPr>
            <w:r w:rsidRPr="00A21238">
              <w:rPr>
                <w:rFonts w:ascii="Calibri" w:hAnsi="Calibri" w:cs="Calibri"/>
                <w:b/>
                <w:bCs/>
                <w:i/>
                <w:iCs/>
                <w:sz w:val="20"/>
                <w:szCs w:val="20"/>
              </w:rPr>
              <w:t>ALK</w:t>
            </w:r>
            <w:r w:rsidRPr="00A21238">
              <w:rPr>
                <w:rFonts w:ascii="Calibri" w:hAnsi="Calibri" w:cs="Calibri"/>
                <w:b/>
                <w:bCs/>
                <w:sz w:val="20"/>
                <w:szCs w:val="20"/>
              </w:rPr>
              <w:t xml:space="preserve"> rearrang</w:t>
            </w:r>
            <w:r w:rsidR="00052EAF" w:rsidRPr="00A21238">
              <w:rPr>
                <w:rFonts w:ascii="Calibri" w:hAnsi="Calibri" w:cs="Calibri"/>
                <w:b/>
                <w:bCs/>
                <w:sz w:val="20"/>
                <w:szCs w:val="20"/>
              </w:rPr>
              <w:t>e</w:t>
            </w:r>
            <w:r w:rsidRPr="00A21238">
              <w:rPr>
                <w:rFonts w:ascii="Calibri" w:hAnsi="Calibri" w:cs="Calibri"/>
                <w:b/>
                <w:bCs/>
                <w:sz w:val="20"/>
                <w:szCs w:val="20"/>
              </w:rPr>
              <w:t>ment prevalence</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7C3D5D" w:rsidRPr="00A21238" w:rsidRDefault="007C3D5D" w:rsidP="00525241">
            <w:pPr>
              <w:jc w:val="center"/>
              <w:rPr>
                <w:rFonts w:ascii="Calibri" w:hAnsi="Calibri" w:cs="Calibri"/>
                <w:b/>
                <w:bCs/>
                <w:sz w:val="20"/>
                <w:szCs w:val="20"/>
              </w:rPr>
            </w:pPr>
            <w:r w:rsidRPr="00A21238">
              <w:rPr>
                <w:rFonts w:ascii="Calibri" w:hAnsi="Calibri" w:cs="Calibri"/>
                <w:b/>
                <w:bCs/>
                <w:i/>
                <w:iCs/>
                <w:sz w:val="20"/>
                <w:szCs w:val="20"/>
              </w:rPr>
              <w:t>ALK</w:t>
            </w:r>
            <w:r w:rsidRPr="00A21238">
              <w:rPr>
                <w:rFonts w:ascii="Calibri" w:hAnsi="Calibri" w:cs="Calibri"/>
                <w:b/>
                <w:bCs/>
                <w:sz w:val="20"/>
                <w:szCs w:val="20"/>
              </w:rPr>
              <w:t xml:space="preserve"> Positive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D5D" w:rsidRPr="00A21238" w:rsidRDefault="007C3D5D" w:rsidP="00525241">
            <w:pPr>
              <w:jc w:val="center"/>
              <w:rPr>
                <w:rFonts w:ascii="Calibri" w:hAnsi="Calibri" w:cs="Calibri"/>
                <w:b/>
                <w:bCs/>
                <w:sz w:val="20"/>
                <w:szCs w:val="20"/>
              </w:rPr>
            </w:pPr>
            <w:r w:rsidRPr="00A21238">
              <w:rPr>
                <w:rFonts w:ascii="Calibri" w:hAnsi="Calibri" w:cs="Calibri"/>
                <w:b/>
                <w:bCs/>
                <w:i/>
                <w:iCs/>
                <w:sz w:val="20"/>
                <w:szCs w:val="20"/>
              </w:rPr>
              <w:t xml:space="preserve">ALK </w:t>
            </w:r>
            <w:r w:rsidRPr="00A21238">
              <w:rPr>
                <w:rFonts w:ascii="Calibri" w:hAnsi="Calibri" w:cs="Calibri"/>
                <w:b/>
                <w:bCs/>
                <w:sz w:val="20"/>
                <w:szCs w:val="20"/>
              </w:rPr>
              <w:t>Negative</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7C3D5D" w:rsidRPr="00A21238" w:rsidRDefault="007C3D5D" w:rsidP="00525241">
            <w:pPr>
              <w:jc w:val="center"/>
              <w:rPr>
                <w:rFonts w:ascii="Calibri" w:hAnsi="Calibri" w:cs="Calibri"/>
                <w:b/>
                <w:bCs/>
                <w:sz w:val="20"/>
                <w:szCs w:val="20"/>
              </w:rPr>
            </w:pPr>
            <w:r w:rsidRPr="00A21238">
              <w:rPr>
                <w:rFonts w:ascii="Calibri" w:hAnsi="Calibri" w:cs="Calibri"/>
                <w:b/>
                <w:bCs/>
                <w:sz w:val="20"/>
                <w:szCs w:val="20"/>
              </w:rPr>
              <w:t>n (N)</w:t>
            </w:r>
          </w:p>
        </w:tc>
      </w:tr>
      <w:tr w:rsidR="007C3D5D" w:rsidRPr="00A21238" w:rsidTr="00817982">
        <w:trPr>
          <w:trHeight w:val="315"/>
        </w:trPr>
        <w:tc>
          <w:tcPr>
            <w:tcW w:w="2985" w:type="dxa"/>
            <w:tcBorders>
              <w:top w:val="single" w:sz="4" w:space="0" w:color="auto"/>
              <w:left w:val="single" w:sz="4" w:space="0" w:color="auto"/>
              <w:bottom w:val="single" w:sz="4" w:space="0" w:color="auto"/>
              <w:right w:val="single" w:sz="4" w:space="0" w:color="auto"/>
            </w:tcBorders>
            <w:shd w:val="clear" w:color="auto" w:fill="auto"/>
            <w:hideMark/>
          </w:tcPr>
          <w:p w:rsidR="007C3D5D" w:rsidRPr="00817982" w:rsidRDefault="007C3D5D" w:rsidP="007C3D5D">
            <w:pPr>
              <w:rPr>
                <w:rFonts w:ascii="Calibri" w:hAnsi="Calibri" w:cs="Calibri"/>
                <w:b/>
                <w:sz w:val="20"/>
                <w:szCs w:val="20"/>
              </w:rPr>
            </w:pPr>
            <w:r w:rsidRPr="00817982">
              <w:rPr>
                <w:rFonts w:ascii="Calibri" w:hAnsi="Calibri" w:cs="Calibri"/>
                <w:b/>
                <w:sz w:val="20"/>
                <w:szCs w:val="20"/>
              </w:rPr>
              <w:t>Age with cut-off</w:t>
            </w:r>
          </w:p>
        </w:tc>
        <w:tc>
          <w:tcPr>
            <w:tcW w:w="1710" w:type="dxa"/>
            <w:tcBorders>
              <w:top w:val="nil"/>
              <w:left w:val="nil"/>
              <w:bottom w:val="single" w:sz="4" w:space="0" w:color="auto"/>
              <w:right w:val="single" w:sz="4" w:space="0" w:color="auto"/>
            </w:tcBorders>
            <w:shd w:val="clear" w:color="auto" w:fill="auto"/>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 </w:t>
            </w:r>
          </w:p>
        </w:tc>
      </w:tr>
      <w:tr w:rsidR="007C3D5D" w:rsidRPr="00A21238" w:rsidTr="00A52683">
        <w:trPr>
          <w:trHeight w:val="270"/>
        </w:trPr>
        <w:tc>
          <w:tcPr>
            <w:tcW w:w="2985" w:type="dxa"/>
            <w:tcBorders>
              <w:top w:val="nil"/>
              <w:left w:val="single" w:sz="4" w:space="0" w:color="auto"/>
              <w:bottom w:val="single" w:sz="4" w:space="0" w:color="auto"/>
              <w:right w:val="single" w:sz="4" w:space="0" w:color="auto"/>
            </w:tcBorders>
            <w:shd w:val="clear" w:color="auto" w:fill="auto"/>
            <w:hideMark/>
          </w:tcPr>
          <w:p w:rsidR="007C3D5D" w:rsidRPr="00817982" w:rsidRDefault="007C3D5D" w:rsidP="00817982">
            <w:pPr>
              <w:ind w:firstLineChars="200" w:firstLine="402"/>
              <w:rPr>
                <w:rFonts w:ascii="Calibri" w:hAnsi="Calibri" w:cs="Calibri"/>
                <w:b/>
                <w:sz w:val="20"/>
                <w:szCs w:val="20"/>
              </w:rPr>
            </w:pPr>
            <w:r w:rsidRPr="00817982">
              <w:rPr>
                <w:rFonts w:ascii="Calibri" w:hAnsi="Calibri" w:cs="Calibri"/>
                <w:b/>
                <w:sz w:val="20"/>
                <w:szCs w:val="20"/>
              </w:rPr>
              <w:t>≤ 65 years</w:t>
            </w:r>
            <w:r w:rsidR="0002496E" w:rsidRPr="00817982">
              <w:rPr>
                <w:rFonts w:ascii="Calibri" w:hAnsi="Calibri" w:cs="Calibri"/>
                <w:b/>
                <w:noProof/>
                <w:sz w:val="20"/>
                <w:szCs w:val="20"/>
                <w:vertAlign w:val="superscript"/>
              </w:rPr>
              <w:t>61</w:t>
            </w:r>
            <w:r w:rsidRPr="00817982">
              <w:rPr>
                <w:rFonts w:ascii="Calibri" w:hAnsi="Calibri" w:cs="Calibri"/>
                <w:b/>
                <w:sz w:val="20"/>
                <w:szCs w:val="20"/>
              </w:rPr>
              <w:t xml:space="preserve"> </w:t>
            </w:r>
          </w:p>
        </w:tc>
        <w:tc>
          <w:tcPr>
            <w:tcW w:w="1710" w:type="dxa"/>
            <w:tcBorders>
              <w:top w:val="nil"/>
              <w:left w:val="nil"/>
              <w:bottom w:val="single" w:sz="4" w:space="0" w:color="auto"/>
              <w:right w:val="single" w:sz="4" w:space="0" w:color="auto"/>
            </w:tcBorders>
            <w:shd w:val="clear" w:color="auto" w:fill="auto"/>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6%</w:t>
            </w:r>
          </w:p>
        </w:tc>
        <w:tc>
          <w:tcPr>
            <w:tcW w:w="1620" w:type="dxa"/>
            <w:tcBorders>
              <w:top w:val="nil"/>
              <w:left w:val="nil"/>
              <w:bottom w:val="single" w:sz="4" w:space="0" w:color="auto"/>
              <w:right w:val="single" w:sz="4" w:space="0" w:color="auto"/>
            </w:tcBorders>
            <w:shd w:val="clear" w:color="auto"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13</w:t>
            </w:r>
          </w:p>
        </w:tc>
        <w:tc>
          <w:tcPr>
            <w:tcW w:w="1530" w:type="dxa"/>
            <w:tcBorders>
              <w:top w:val="nil"/>
              <w:left w:val="nil"/>
              <w:bottom w:val="single" w:sz="4" w:space="0" w:color="auto"/>
              <w:right w:val="single" w:sz="4" w:space="0" w:color="auto"/>
            </w:tcBorders>
            <w:shd w:val="clear" w:color="auto"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210</w:t>
            </w:r>
          </w:p>
        </w:tc>
        <w:tc>
          <w:tcPr>
            <w:tcW w:w="1350" w:type="dxa"/>
            <w:tcBorders>
              <w:top w:val="nil"/>
              <w:left w:val="nil"/>
              <w:bottom w:val="single" w:sz="4" w:space="0" w:color="auto"/>
              <w:right w:val="single" w:sz="4" w:space="0" w:color="auto"/>
            </w:tcBorders>
            <w:shd w:val="clear" w:color="auto"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1(223)</w:t>
            </w:r>
          </w:p>
        </w:tc>
      </w:tr>
      <w:tr w:rsidR="007C3D5D" w:rsidRPr="00A21238" w:rsidTr="00817982">
        <w:trPr>
          <w:trHeight w:val="270"/>
        </w:trPr>
        <w:tc>
          <w:tcPr>
            <w:tcW w:w="2985" w:type="dxa"/>
            <w:tcBorders>
              <w:top w:val="nil"/>
              <w:left w:val="single" w:sz="4" w:space="0" w:color="auto"/>
              <w:bottom w:val="single" w:sz="4" w:space="0" w:color="auto"/>
              <w:right w:val="single" w:sz="4" w:space="0" w:color="auto"/>
            </w:tcBorders>
            <w:shd w:val="clear" w:color="auto" w:fill="auto"/>
            <w:hideMark/>
          </w:tcPr>
          <w:p w:rsidR="007C3D5D" w:rsidRPr="00817982" w:rsidRDefault="007C3D5D" w:rsidP="00817982">
            <w:pPr>
              <w:ind w:firstLineChars="200" w:firstLine="402"/>
              <w:rPr>
                <w:rFonts w:ascii="Calibri" w:hAnsi="Calibri" w:cs="Calibri"/>
                <w:b/>
                <w:sz w:val="20"/>
                <w:szCs w:val="20"/>
              </w:rPr>
            </w:pPr>
            <w:r w:rsidRPr="00817982">
              <w:rPr>
                <w:rFonts w:ascii="Calibri" w:hAnsi="Calibri" w:cs="Calibri"/>
                <w:b/>
                <w:sz w:val="20"/>
                <w:szCs w:val="20"/>
              </w:rPr>
              <w:t>&gt; 65 years</w:t>
            </w:r>
            <w:r w:rsidR="0002496E" w:rsidRPr="00817982">
              <w:rPr>
                <w:rFonts w:ascii="Calibri" w:hAnsi="Calibri" w:cs="Calibri"/>
                <w:b/>
                <w:noProof/>
                <w:sz w:val="20"/>
                <w:szCs w:val="20"/>
                <w:vertAlign w:val="superscript"/>
              </w:rPr>
              <w:t>61</w:t>
            </w:r>
            <w:r w:rsidRPr="00817982">
              <w:rPr>
                <w:rFonts w:ascii="Calibri" w:hAnsi="Calibri" w:cs="Calibri"/>
                <w:b/>
                <w:sz w:val="20"/>
                <w:szCs w:val="20"/>
              </w:rPr>
              <w:t xml:space="preserve"> </w:t>
            </w:r>
          </w:p>
        </w:tc>
        <w:tc>
          <w:tcPr>
            <w:tcW w:w="1710" w:type="dxa"/>
            <w:tcBorders>
              <w:top w:val="nil"/>
              <w:left w:val="nil"/>
              <w:bottom w:val="single" w:sz="4" w:space="0" w:color="auto"/>
              <w:right w:val="single" w:sz="4" w:space="0" w:color="auto"/>
            </w:tcBorders>
            <w:shd w:val="clear" w:color="auto" w:fill="auto"/>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3%</w:t>
            </w:r>
          </w:p>
        </w:tc>
        <w:tc>
          <w:tcPr>
            <w:tcW w:w="1620" w:type="dxa"/>
            <w:tcBorders>
              <w:top w:val="nil"/>
              <w:left w:val="nil"/>
              <w:bottom w:val="single" w:sz="4" w:space="0" w:color="auto"/>
              <w:right w:val="single" w:sz="4" w:space="0" w:color="auto"/>
            </w:tcBorders>
            <w:shd w:val="clear" w:color="auto"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6</w:t>
            </w:r>
          </w:p>
        </w:tc>
        <w:tc>
          <w:tcPr>
            <w:tcW w:w="1530" w:type="dxa"/>
            <w:tcBorders>
              <w:top w:val="nil"/>
              <w:left w:val="nil"/>
              <w:bottom w:val="single" w:sz="4" w:space="0" w:color="auto"/>
              <w:right w:val="single" w:sz="4" w:space="0" w:color="auto"/>
            </w:tcBorders>
            <w:shd w:val="clear" w:color="auto"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224</w:t>
            </w:r>
          </w:p>
        </w:tc>
        <w:tc>
          <w:tcPr>
            <w:tcW w:w="1350" w:type="dxa"/>
            <w:tcBorders>
              <w:top w:val="nil"/>
              <w:left w:val="nil"/>
              <w:bottom w:val="single" w:sz="4" w:space="0" w:color="auto"/>
              <w:right w:val="single" w:sz="4" w:space="0" w:color="auto"/>
            </w:tcBorders>
            <w:shd w:val="clear" w:color="auto"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1(230)</w:t>
            </w:r>
          </w:p>
        </w:tc>
      </w:tr>
      <w:tr w:rsidR="007C3D5D" w:rsidRPr="00A21238" w:rsidTr="00817982">
        <w:trPr>
          <w:trHeight w:val="270"/>
        </w:trPr>
        <w:tc>
          <w:tcPr>
            <w:tcW w:w="2985" w:type="dxa"/>
            <w:tcBorders>
              <w:top w:val="single" w:sz="4" w:space="0" w:color="auto"/>
              <w:left w:val="single" w:sz="4" w:space="0" w:color="auto"/>
              <w:bottom w:val="single" w:sz="4" w:space="0" w:color="auto"/>
              <w:right w:val="single" w:sz="4" w:space="0" w:color="auto"/>
            </w:tcBorders>
            <w:shd w:val="clear" w:color="000000" w:fill="auto"/>
            <w:hideMark/>
          </w:tcPr>
          <w:p w:rsidR="007C3D5D" w:rsidRPr="00817982" w:rsidRDefault="007C3D5D" w:rsidP="007C3D5D">
            <w:pPr>
              <w:rPr>
                <w:rFonts w:ascii="Calibri" w:hAnsi="Calibri" w:cs="Calibri"/>
                <w:b/>
                <w:sz w:val="20"/>
                <w:szCs w:val="20"/>
              </w:rPr>
            </w:pPr>
            <w:r w:rsidRPr="00817982">
              <w:rPr>
                <w:rFonts w:ascii="Calibri" w:hAnsi="Calibri" w:cs="Calibri"/>
                <w:b/>
                <w:sz w:val="20"/>
                <w:szCs w:val="20"/>
              </w:rPr>
              <w:t>Sex</w:t>
            </w:r>
          </w:p>
        </w:tc>
        <w:tc>
          <w:tcPr>
            <w:tcW w:w="1710" w:type="dxa"/>
            <w:tcBorders>
              <w:top w:val="single" w:sz="4" w:space="0" w:color="auto"/>
              <w:left w:val="nil"/>
              <w:bottom w:val="single" w:sz="4" w:space="0" w:color="auto"/>
              <w:right w:val="single" w:sz="4" w:space="0" w:color="auto"/>
            </w:tcBorders>
            <w:shd w:val="clear" w:color="000000" w:fill="auto"/>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 </w:t>
            </w:r>
          </w:p>
        </w:tc>
        <w:tc>
          <w:tcPr>
            <w:tcW w:w="1620" w:type="dxa"/>
            <w:tcBorders>
              <w:top w:val="single" w:sz="4" w:space="0" w:color="auto"/>
              <w:left w:val="nil"/>
              <w:bottom w:val="single" w:sz="4" w:space="0" w:color="auto"/>
              <w:right w:val="single" w:sz="4" w:space="0" w:color="auto"/>
            </w:tcBorders>
            <w:shd w:val="clear" w:color="000000"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 </w:t>
            </w:r>
          </w:p>
        </w:tc>
        <w:tc>
          <w:tcPr>
            <w:tcW w:w="1530" w:type="dxa"/>
            <w:tcBorders>
              <w:top w:val="single" w:sz="4" w:space="0" w:color="auto"/>
              <w:left w:val="nil"/>
              <w:bottom w:val="single" w:sz="4" w:space="0" w:color="auto"/>
              <w:right w:val="single" w:sz="4" w:space="0" w:color="auto"/>
            </w:tcBorders>
            <w:shd w:val="clear" w:color="000000"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 </w:t>
            </w:r>
          </w:p>
        </w:tc>
        <w:tc>
          <w:tcPr>
            <w:tcW w:w="1350" w:type="dxa"/>
            <w:tcBorders>
              <w:top w:val="single" w:sz="4" w:space="0" w:color="auto"/>
              <w:left w:val="nil"/>
              <w:bottom w:val="single" w:sz="4" w:space="0" w:color="auto"/>
              <w:right w:val="single" w:sz="4" w:space="0" w:color="auto"/>
            </w:tcBorders>
            <w:shd w:val="clear" w:color="000000"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 </w:t>
            </w:r>
          </w:p>
        </w:tc>
      </w:tr>
      <w:tr w:rsidR="007C3D5D" w:rsidRPr="00A21238" w:rsidTr="00A52683">
        <w:trPr>
          <w:trHeight w:val="270"/>
        </w:trPr>
        <w:tc>
          <w:tcPr>
            <w:tcW w:w="2985" w:type="dxa"/>
            <w:tcBorders>
              <w:top w:val="nil"/>
              <w:left w:val="single" w:sz="4" w:space="0" w:color="auto"/>
              <w:bottom w:val="single" w:sz="4" w:space="0" w:color="auto"/>
              <w:right w:val="single" w:sz="4" w:space="0" w:color="auto"/>
            </w:tcBorders>
            <w:shd w:val="clear" w:color="auto" w:fill="auto"/>
            <w:hideMark/>
          </w:tcPr>
          <w:p w:rsidR="007C3D5D" w:rsidRPr="00817982" w:rsidRDefault="007C3D5D" w:rsidP="00817982">
            <w:pPr>
              <w:ind w:firstLineChars="200" w:firstLine="402"/>
              <w:rPr>
                <w:rFonts w:ascii="Calibri" w:hAnsi="Calibri" w:cs="Calibri"/>
                <w:b/>
                <w:sz w:val="20"/>
                <w:szCs w:val="20"/>
              </w:rPr>
            </w:pPr>
            <w:r w:rsidRPr="00817982">
              <w:rPr>
                <w:rFonts w:ascii="Calibri" w:hAnsi="Calibri" w:cs="Calibri"/>
                <w:b/>
                <w:sz w:val="20"/>
                <w:szCs w:val="20"/>
              </w:rPr>
              <w:t>Females</w:t>
            </w:r>
            <w:r w:rsidR="0002496E" w:rsidRPr="00817982">
              <w:rPr>
                <w:rFonts w:ascii="Calibri" w:hAnsi="Calibri" w:cs="Calibri"/>
                <w:b/>
                <w:noProof/>
                <w:sz w:val="20"/>
                <w:szCs w:val="20"/>
                <w:vertAlign w:val="superscript"/>
              </w:rPr>
              <w:t>56, 57, 59, 61</w:t>
            </w:r>
            <w:r w:rsidRPr="00817982">
              <w:rPr>
                <w:rFonts w:ascii="Calibri" w:hAnsi="Calibri" w:cs="Calibri"/>
                <w:b/>
                <w:sz w:val="20"/>
                <w:szCs w:val="20"/>
              </w:rPr>
              <w:t xml:space="preserve"> </w:t>
            </w:r>
          </w:p>
        </w:tc>
        <w:tc>
          <w:tcPr>
            <w:tcW w:w="1710" w:type="dxa"/>
            <w:tcBorders>
              <w:top w:val="nil"/>
              <w:left w:val="nil"/>
              <w:bottom w:val="single" w:sz="4" w:space="0" w:color="auto"/>
              <w:right w:val="single" w:sz="4" w:space="0" w:color="auto"/>
            </w:tcBorders>
            <w:shd w:val="clear" w:color="auto" w:fill="auto"/>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5%</w:t>
            </w:r>
          </w:p>
        </w:tc>
        <w:tc>
          <w:tcPr>
            <w:tcW w:w="1620" w:type="dxa"/>
            <w:tcBorders>
              <w:top w:val="nil"/>
              <w:left w:val="nil"/>
              <w:bottom w:val="single" w:sz="4" w:space="0" w:color="auto"/>
              <w:right w:val="single" w:sz="4" w:space="0" w:color="auto"/>
            </w:tcBorders>
            <w:shd w:val="clear" w:color="auto"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28</w:t>
            </w:r>
          </w:p>
        </w:tc>
        <w:tc>
          <w:tcPr>
            <w:tcW w:w="1530" w:type="dxa"/>
            <w:tcBorders>
              <w:top w:val="nil"/>
              <w:left w:val="nil"/>
              <w:bottom w:val="single" w:sz="4" w:space="0" w:color="auto"/>
              <w:right w:val="single" w:sz="4" w:space="0" w:color="auto"/>
            </w:tcBorders>
            <w:shd w:val="clear" w:color="auto"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579</w:t>
            </w:r>
          </w:p>
        </w:tc>
        <w:tc>
          <w:tcPr>
            <w:tcW w:w="1350" w:type="dxa"/>
            <w:tcBorders>
              <w:top w:val="nil"/>
              <w:left w:val="nil"/>
              <w:bottom w:val="single" w:sz="4" w:space="0" w:color="auto"/>
              <w:right w:val="single" w:sz="4" w:space="0" w:color="auto"/>
            </w:tcBorders>
            <w:shd w:val="clear" w:color="auto"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4(607)</w:t>
            </w:r>
          </w:p>
        </w:tc>
      </w:tr>
      <w:tr w:rsidR="007C3D5D" w:rsidRPr="00A21238" w:rsidTr="00817982">
        <w:trPr>
          <w:trHeight w:val="270"/>
        </w:trPr>
        <w:tc>
          <w:tcPr>
            <w:tcW w:w="2985" w:type="dxa"/>
            <w:tcBorders>
              <w:top w:val="nil"/>
              <w:left w:val="single" w:sz="4" w:space="0" w:color="auto"/>
              <w:bottom w:val="single" w:sz="4" w:space="0" w:color="auto"/>
              <w:right w:val="single" w:sz="4" w:space="0" w:color="auto"/>
            </w:tcBorders>
            <w:shd w:val="clear" w:color="auto" w:fill="auto"/>
            <w:hideMark/>
          </w:tcPr>
          <w:p w:rsidR="007C3D5D" w:rsidRPr="00817982" w:rsidRDefault="007C3D5D" w:rsidP="00817982">
            <w:pPr>
              <w:ind w:firstLineChars="200" w:firstLine="402"/>
              <w:rPr>
                <w:rFonts w:ascii="Calibri" w:hAnsi="Calibri" w:cs="Calibri"/>
                <w:b/>
                <w:sz w:val="20"/>
                <w:szCs w:val="20"/>
              </w:rPr>
            </w:pPr>
            <w:r w:rsidRPr="00817982">
              <w:rPr>
                <w:rFonts w:ascii="Calibri" w:hAnsi="Calibri" w:cs="Calibri"/>
                <w:b/>
                <w:sz w:val="20"/>
                <w:szCs w:val="20"/>
              </w:rPr>
              <w:t>Males</w:t>
            </w:r>
            <w:r w:rsidR="0002496E" w:rsidRPr="00817982">
              <w:rPr>
                <w:rFonts w:ascii="Calibri" w:hAnsi="Calibri" w:cs="Calibri"/>
                <w:b/>
                <w:noProof/>
                <w:sz w:val="20"/>
                <w:szCs w:val="20"/>
                <w:vertAlign w:val="superscript"/>
              </w:rPr>
              <w:t>56, 57, 59, 61</w:t>
            </w:r>
            <w:r w:rsidRPr="00817982">
              <w:rPr>
                <w:rFonts w:ascii="Calibri" w:hAnsi="Calibri" w:cs="Calibri"/>
                <w:b/>
                <w:sz w:val="20"/>
                <w:szCs w:val="20"/>
              </w:rPr>
              <w:t xml:space="preserve"> </w:t>
            </w:r>
          </w:p>
        </w:tc>
        <w:tc>
          <w:tcPr>
            <w:tcW w:w="1710" w:type="dxa"/>
            <w:tcBorders>
              <w:top w:val="nil"/>
              <w:left w:val="nil"/>
              <w:bottom w:val="single" w:sz="4" w:space="0" w:color="auto"/>
              <w:right w:val="single" w:sz="4" w:space="0" w:color="auto"/>
            </w:tcBorders>
            <w:shd w:val="clear" w:color="auto" w:fill="auto"/>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4%</w:t>
            </w:r>
          </w:p>
        </w:tc>
        <w:tc>
          <w:tcPr>
            <w:tcW w:w="1620" w:type="dxa"/>
            <w:tcBorders>
              <w:top w:val="nil"/>
              <w:left w:val="nil"/>
              <w:bottom w:val="single" w:sz="4" w:space="0" w:color="auto"/>
              <w:right w:val="single" w:sz="4" w:space="0" w:color="auto"/>
            </w:tcBorders>
            <w:shd w:val="clear" w:color="auto"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30</w:t>
            </w:r>
          </w:p>
        </w:tc>
        <w:tc>
          <w:tcPr>
            <w:tcW w:w="1530" w:type="dxa"/>
            <w:tcBorders>
              <w:top w:val="nil"/>
              <w:left w:val="nil"/>
              <w:bottom w:val="single" w:sz="4" w:space="0" w:color="auto"/>
              <w:right w:val="single" w:sz="4" w:space="0" w:color="auto"/>
            </w:tcBorders>
            <w:shd w:val="clear" w:color="auto"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738</w:t>
            </w:r>
          </w:p>
        </w:tc>
        <w:tc>
          <w:tcPr>
            <w:tcW w:w="1350" w:type="dxa"/>
            <w:tcBorders>
              <w:top w:val="nil"/>
              <w:left w:val="nil"/>
              <w:bottom w:val="single" w:sz="4" w:space="0" w:color="auto"/>
              <w:right w:val="single" w:sz="4" w:space="0" w:color="auto"/>
            </w:tcBorders>
            <w:shd w:val="clear" w:color="auto"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4(768)</w:t>
            </w:r>
          </w:p>
        </w:tc>
      </w:tr>
      <w:tr w:rsidR="007C3D5D" w:rsidRPr="00A21238" w:rsidTr="00817982">
        <w:trPr>
          <w:trHeight w:val="270"/>
        </w:trPr>
        <w:tc>
          <w:tcPr>
            <w:tcW w:w="2985" w:type="dxa"/>
            <w:tcBorders>
              <w:top w:val="single" w:sz="4" w:space="0" w:color="auto"/>
              <w:left w:val="single" w:sz="4" w:space="0" w:color="auto"/>
              <w:bottom w:val="single" w:sz="4" w:space="0" w:color="auto"/>
              <w:right w:val="single" w:sz="4" w:space="0" w:color="auto"/>
            </w:tcBorders>
            <w:shd w:val="clear" w:color="000000" w:fill="auto"/>
            <w:hideMark/>
          </w:tcPr>
          <w:p w:rsidR="007C3D5D" w:rsidRPr="00817982" w:rsidRDefault="007C3D5D" w:rsidP="007C3D5D">
            <w:pPr>
              <w:rPr>
                <w:rFonts w:ascii="Calibri" w:hAnsi="Calibri" w:cs="Calibri"/>
                <w:b/>
                <w:sz w:val="20"/>
                <w:szCs w:val="20"/>
              </w:rPr>
            </w:pPr>
            <w:r w:rsidRPr="00817982">
              <w:rPr>
                <w:rFonts w:ascii="Calibri" w:hAnsi="Calibri" w:cs="Calibri"/>
                <w:b/>
                <w:sz w:val="20"/>
                <w:szCs w:val="20"/>
              </w:rPr>
              <w:t>Smoking</w:t>
            </w:r>
          </w:p>
        </w:tc>
        <w:tc>
          <w:tcPr>
            <w:tcW w:w="1710" w:type="dxa"/>
            <w:tcBorders>
              <w:top w:val="single" w:sz="4" w:space="0" w:color="auto"/>
              <w:left w:val="nil"/>
              <w:bottom w:val="single" w:sz="4" w:space="0" w:color="auto"/>
              <w:right w:val="single" w:sz="4" w:space="0" w:color="auto"/>
            </w:tcBorders>
            <w:shd w:val="clear" w:color="000000" w:fill="auto"/>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 </w:t>
            </w:r>
          </w:p>
        </w:tc>
        <w:tc>
          <w:tcPr>
            <w:tcW w:w="1620" w:type="dxa"/>
            <w:tcBorders>
              <w:top w:val="single" w:sz="4" w:space="0" w:color="auto"/>
              <w:left w:val="nil"/>
              <w:bottom w:val="single" w:sz="4" w:space="0" w:color="auto"/>
              <w:right w:val="single" w:sz="4" w:space="0" w:color="auto"/>
            </w:tcBorders>
            <w:shd w:val="clear" w:color="000000"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 </w:t>
            </w:r>
          </w:p>
        </w:tc>
        <w:tc>
          <w:tcPr>
            <w:tcW w:w="1530" w:type="dxa"/>
            <w:tcBorders>
              <w:top w:val="single" w:sz="4" w:space="0" w:color="auto"/>
              <w:left w:val="nil"/>
              <w:bottom w:val="single" w:sz="4" w:space="0" w:color="auto"/>
              <w:right w:val="single" w:sz="4" w:space="0" w:color="auto"/>
            </w:tcBorders>
            <w:shd w:val="clear" w:color="000000"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 </w:t>
            </w:r>
          </w:p>
        </w:tc>
        <w:tc>
          <w:tcPr>
            <w:tcW w:w="1350" w:type="dxa"/>
            <w:tcBorders>
              <w:top w:val="single" w:sz="4" w:space="0" w:color="auto"/>
              <w:left w:val="nil"/>
              <w:bottom w:val="single" w:sz="4" w:space="0" w:color="auto"/>
              <w:right w:val="single" w:sz="4" w:space="0" w:color="auto"/>
            </w:tcBorders>
            <w:shd w:val="clear" w:color="000000"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 </w:t>
            </w:r>
          </w:p>
        </w:tc>
      </w:tr>
      <w:tr w:rsidR="007C3D5D" w:rsidRPr="00A21238" w:rsidTr="00A52683">
        <w:trPr>
          <w:trHeight w:val="270"/>
        </w:trPr>
        <w:tc>
          <w:tcPr>
            <w:tcW w:w="2985" w:type="dxa"/>
            <w:tcBorders>
              <w:top w:val="nil"/>
              <w:left w:val="single" w:sz="4" w:space="0" w:color="auto"/>
              <w:bottom w:val="single" w:sz="4" w:space="0" w:color="auto"/>
              <w:right w:val="single" w:sz="4" w:space="0" w:color="auto"/>
            </w:tcBorders>
            <w:shd w:val="clear" w:color="auto" w:fill="auto"/>
            <w:hideMark/>
          </w:tcPr>
          <w:p w:rsidR="007C3D5D" w:rsidRPr="00817982" w:rsidRDefault="007C3D5D" w:rsidP="00817982">
            <w:pPr>
              <w:ind w:firstLineChars="200" w:firstLine="402"/>
              <w:rPr>
                <w:rFonts w:ascii="Calibri" w:hAnsi="Calibri" w:cs="Calibri"/>
                <w:b/>
                <w:sz w:val="20"/>
                <w:szCs w:val="20"/>
              </w:rPr>
            </w:pPr>
            <w:r w:rsidRPr="00817982">
              <w:rPr>
                <w:rFonts w:ascii="Calibri" w:hAnsi="Calibri" w:cs="Calibri"/>
                <w:b/>
                <w:sz w:val="20"/>
                <w:szCs w:val="20"/>
              </w:rPr>
              <w:t>Never</w:t>
            </w:r>
            <w:r w:rsidR="0002496E" w:rsidRPr="00817982">
              <w:rPr>
                <w:rFonts w:ascii="Calibri" w:hAnsi="Calibri" w:cs="Calibri"/>
                <w:b/>
                <w:noProof/>
                <w:sz w:val="20"/>
                <w:szCs w:val="20"/>
                <w:vertAlign w:val="superscript"/>
              </w:rPr>
              <w:t>57, 59, 61</w:t>
            </w:r>
            <w:r w:rsidRPr="00817982">
              <w:rPr>
                <w:rFonts w:ascii="Calibri" w:hAnsi="Calibri" w:cs="Calibri"/>
                <w:b/>
                <w:sz w:val="20"/>
                <w:szCs w:val="20"/>
              </w:rPr>
              <w:t xml:space="preserve"> </w:t>
            </w:r>
          </w:p>
        </w:tc>
        <w:tc>
          <w:tcPr>
            <w:tcW w:w="1710" w:type="dxa"/>
            <w:tcBorders>
              <w:top w:val="nil"/>
              <w:left w:val="nil"/>
              <w:bottom w:val="single" w:sz="4" w:space="0" w:color="auto"/>
              <w:right w:val="single" w:sz="4" w:space="0" w:color="auto"/>
            </w:tcBorders>
            <w:shd w:val="clear" w:color="auto" w:fill="auto"/>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8%</w:t>
            </w:r>
          </w:p>
        </w:tc>
        <w:tc>
          <w:tcPr>
            <w:tcW w:w="1620" w:type="dxa"/>
            <w:tcBorders>
              <w:top w:val="nil"/>
              <w:left w:val="nil"/>
              <w:bottom w:val="single" w:sz="4" w:space="0" w:color="auto"/>
              <w:right w:val="single" w:sz="4" w:space="0" w:color="auto"/>
            </w:tcBorders>
            <w:shd w:val="clear" w:color="auto"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3</w:t>
            </w:r>
            <w:r w:rsidR="0068403E" w:rsidRPr="00A21238">
              <w:rPr>
                <w:rFonts w:ascii="Calibri" w:hAnsi="Calibri" w:cs="Calibri"/>
                <w:sz w:val="20"/>
                <w:szCs w:val="20"/>
              </w:rPr>
              <w:t>0</w:t>
            </w:r>
          </w:p>
        </w:tc>
        <w:tc>
          <w:tcPr>
            <w:tcW w:w="1530" w:type="dxa"/>
            <w:tcBorders>
              <w:top w:val="nil"/>
              <w:left w:val="nil"/>
              <w:bottom w:val="single" w:sz="4" w:space="0" w:color="auto"/>
              <w:right w:val="single" w:sz="4" w:space="0" w:color="auto"/>
            </w:tcBorders>
            <w:shd w:val="clear" w:color="auto"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3</w:t>
            </w:r>
            <w:r w:rsidR="0068403E" w:rsidRPr="00A21238">
              <w:rPr>
                <w:rFonts w:ascii="Calibri" w:hAnsi="Calibri" w:cs="Calibri"/>
                <w:sz w:val="20"/>
                <w:szCs w:val="20"/>
              </w:rPr>
              <w:t>31</w:t>
            </w:r>
          </w:p>
        </w:tc>
        <w:tc>
          <w:tcPr>
            <w:tcW w:w="1350" w:type="dxa"/>
            <w:tcBorders>
              <w:top w:val="nil"/>
              <w:left w:val="nil"/>
              <w:bottom w:val="single" w:sz="4" w:space="0" w:color="auto"/>
              <w:right w:val="single" w:sz="4" w:space="0" w:color="auto"/>
            </w:tcBorders>
            <w:shd w:val="clear" w:color="auto" w:fill="auto"/>
            <w:vAlign w:val="bottom"/>
            <w:hideMark/>
          </w:tcPr>
          <w:p w:rsidR="007C3D5D" w:rsidRPr="00A21238" w:rsidRDefault="0068403E" w:rsidP="007C3D5D">
            <w:pPr>
              <w:jc w:val="center"/>
              <w:rPr>
                <w:rFonts w:ascii="Calibri" w:hAnsi="Calibri" w:cs="Calibri"/>
                <w:sz w:val="20"/>
                <w:szCs w:val="20"/>
              </w:rPr>
            </w:pPr>
            <w:r w:rsidRPr="00A21238">
              <w:rPr>
                <w:rFonts w:ascii="Calibri" w:hAnsi="Calibri" w:cs="Calibri"/>
                <w:sz w:val="20"/>
                <w:szCs w:val="20"/>
              </w:rPr>
              <w:t>3(361</w:t>
            </w:r>
            <w:r w:rsidR="007C3D5D" w:rsidRPr="00A21238">
              <w:rPr>
                <w:rFonts w:ascii="Calibri" w:hAnsi="Calibri" w:cs="Calibri"/>
                <w:sz w:val="20"/>
                <w:szCs w:val="20"/>
              </w:rPr>
              <w:t>)</w:t>
            </w:r>
          </w:p>
        </w:tc>
      </w:tr>
      <w:tr w:rsidR="007C3D5D" w:rsidRPr="00A21238" w:rsidTr="00817982">
        <w:trPr>
          <w:trHeight w:val="270"/>
        </w:trPr>
        <w:tc>
          <w:tcPr>
            <w:tcW w:w="2985" w:type="dxa"/>
            <w:tcBorders>
              <w:top w:val="nil"/>
              <w:left w:val="single" w:sz="4" w:space="0" w:color="auto"/>
              <w:bottom w:val="single" w:sz="4" w:space="0" w:color="auto"/>
              <w:right w:val="single" w:sz="4" w:space="0" w:color="auto"/>
            </w:tcBorders>
            <w:shd w:val="clear" w:color="auto" w:fill="auto"/>
            <w:hideMark/>
          </w:tcPr>
          <w:p w:rsidR="007C3D5D" w:rsidRPr="00817982" w:rsidRDefault="007C3D5D" w:rsidP="00817982">
            <w:pPr>
              <w:ind w:firstLineChars="200" w:firstLine="402"/>
              <w:rPr>
                <w:rFonts w:ascii="Calibri" w:hAnsi="Calibri" w:cs="Calibri"/>
                <w:b/>
                <w:sz w:val="20"/>
                <w:szCs w:val="20"/>
              </w:rPr>
            </w:pPr>
            <w:r w:rsidRPr="00817982">
              <w:rPr>
                <w:rFonts w:ascii="Calibri" w:hAnsi="Calibri" w:cs="Calibri"/>
                <w:b/>
                <w:sz w:val="20"/>
                <w:szCs w:val="20"/>
              </w:rPr>
              <w:t>Ever</w:t>
            </w:r>
            <w:r w:rsidR="0002496E" w:rsidRPr="00817982">
              <w:rPr>
                <w:rFonts w:ascii="Calibri" w:hAnsi="Calibri" w:cs="Calibri"/>
                <w:b/>
                <w:noProof/>
                <w:sz w:val="20"/>
                <w:szCs w:val="20"/>
                <w:vertAlign w:val="superscript"/>
              </w:rPr>
              <w:t>57, 59, 61</w:t>
            </w:r>
            <w:r w:rsidRPr="00817982">
              <w:rPr>
                <w:rFonts w:ascii="Calibri" w:hAnsi="Calibri" w:cs="Calibri"/>
                <w:b/>
                <w:sz w:val="20"/>
                <w:szCs w:val="20"/>
              </w:rPr>
              <w:t xml:space="preserve"> </w:t>
            </w:r>
          </w:p>
        </w:tc>
        <w:tc>
          <w:tcPr>
            <w:tcW w:w="1710" w:type="dxa"/>
            <w:tcBorders>
              <w:top w:val="nil"/>
              <w:left w:val="nil"/>
              <w:bottom w:val="single" w:sz="4" w:space="0" w:color="auto"/>
              <w:right w:val="single" w:sz="4" w:space="0" w:color="auto"/>
            </w:tcBorders>
            <w:shd w:val="clear" w:color="auto" w:fill="auto"/>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3%</w:t>
            </w:r>
          </w:p>
        </w:tc>
        <w:tc>
          <w:tcPr>
            <w:tcW w:w="1620" w:type="dxa"/>
            <w:tcBorders>
              <w:top w:val="nil"/>
              <w:left w:val="nil"/>
              <w:bottom w:val="single" w:sz="4" w:space="0" w:color="auto"/>
              <w:right w:val="single" w:sz="4" w:space="0" w:color="auto"/>
            </w:tcBorders>
            <w:shd w:val="clear" w:color="auto"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2</w:t>
            </w:r>
            <w:r w:rsidR="0068403E" w:rsidRPr="00A21238">
              <w:rPr>
                <w:rFonts w:ascii="Calibri" w:hAnsi="Calibri" w:cs="Calibri"/>
                <w:sz w:val="20"/>
                <w:szCs w:val="20"/>
              </w:rPr>
              <w:t>0</w:t>
            </w:r>
          </w:p>
        </w:tc>
        <w:tc>
          <w:tcPr>
            <w:tcW w:w="1530" w:type="dxa"/>
            <w:tcBorders>
              <w:top w:val="nil"/>
              <w:left w:val="nil"/>
              <w:bottom w:val="single" w:sz="4" w:space="0" w:color="auto"/>
              <w:right w:val="single" w:sz="4" w:space="0" w:color="auto"/>
            </w:tcBorders>
            <w:shd w:val="clear" w:color="auto" w:fill="auto"/>
            <w:vAlign w:val="bottom"/>
            <w:hideMark/>
          </w:tcPr>
          <w:p w:rsidR="007C3D5D" w:rsidRPr="00A21238" w:rsidRDefault="0068403E" w:rsidP="007C3D5D">
            <w:pPr>
              <w:jc w:val="center"/>
              <w:rPr>
                <w:rFonts w:ascii="Calibri" w:hAnsi="Calibri" w:cs="Calibri"/>
                <w:sz w:val="20"/>
                <w:szCs w:val="20"/>
              </w:rPr>
            </w:pPr>
            <w:r w:rsidRPr="00A21238">
              <w:rPr>
                <w:rFonts w:ascii="Calibri" w:hAnsi="Calibri" w:cs="Calibri"/>
                <w:sz w:val="20"/>
                <w:szCs w:val="20"/>
              </w:rPr>
              <w:t>652</w:t>
            </w:r>
          </w:p>
        </w:tc>
        <w:tc>
          <w:tcPr>
            <w:tcW w:w="1350" w:type="dxa"/>
            <w:tcBorders>
              <w:top w:val="nil"/>
              <w:left w:val="nil"/>
              <w:bottom w:val="single" w:sz="4" w:space="0" w:color="auto"/>
              <w:right w:val="single" w:sz="4" w:space="0" w:color="auto"/>
            </w:tcBorders>
            <w:shd w:val="clear" w:color="auto" w:fill="auto"/>
            <w:vAlign w:val="bottom"/>
            <w:hideMark/>
          </w:tcPr>
          <w:p w:rsidR="007C3D5D" w:rsidRPr="00A21238" w:rsidRDefault="0068403E" w:rsidP="007C3D5D">
            <w:pPr>
              <w:jc w:val="center"/>
              <w:rPr>
                <w:rFonts w:ascii="Calibri" w:hAnsi="Calibri" w:cs="Calibri"/>
                <w:sz w:val="20"/>
                <w:szCs w:val="20"/>
              </w:rPr>
            </w:pPr>
            <w:r w:rsidRPr="00A21238">
              <w:rPr>
                <w:rFonts w:ascii="Calibri" w:hAnsi="Calibri" w:cs="Calibri"/>
                <w:sz w:val="20"/>
                <w:szCs w:val="20"/>
              </w:rPr>
              <w:t>3(672</w:t>
            </w:r>
            <w:r w:rsidR="007C3D5D" w:rsidRPr="00A21238">
              <w:rPr>
                <w:rFonts w:ascii="Calibri" w:hAnsi="Calibri" w:cs="Calibri"/>
                <w:sz w:val="20"/>
                <w:szCs w:val="20"/>
              </w:rPr>
              <w:t>)</w:t>
            </w:r>
          </w:p>
        </w:tc>
      </w:tr>
      <w:tr w:rsidR="00770000" w:rsidRPr="00A21238" w:rsidTr="00817982">
        <w:trPr>
          <w:trHeight w:val="270"/>
        </w:trPr>
        <w:tc>
          <w:tcPr>
            <w:tcW w:w="2985" w:type="dxa"/>
            <w:tcBorders>
              <w:top w:val="single" w:sz="4" w:space="0" w:color="auto"/>
              <w:left w:val="single" w:sz="4" w:space="0" w:color="auto"/>
              <w:bottom w:val="single" w:sz="4" w:space="0" w:color="auto"/>
              <w:right w:val="single" w:sz="4" w:space="0" w:color="auto"/>
            </w:tcBorders>
            <w:shd w:val="clear" w:color="auto" w:fill="auto"/>
            <w:hideMark/>
          </w:tcPr>
          <w:p w:rsidR="00770000" w:rsidRPr="00817982" w:rsidRDefault="00770000" w:rsidP="00770000">
            <w:pPr>
              <w:ind w:leftChars="-1" w:hangingChars="1" w:hanging="2"/>
              <w:rPr>
                <w:rFonts w:ascii="Calibri" w:hAnsi="Calibri" w:cs="Calibri"/>
                <w:b/>
                <w:sz w:val="20"/>
                <w:szCs w:val="20"/>
              </w:rPr>
            </w:pPr>
            <w:r w:rsidRPr="00817982">
              <w:rPr>
                <w:rFonts w:ascii="Calibri" w:hAnsi="Calibri" w:cs="Calibri"/>
                <w:b/>
                <w:sz w:val="20"/>
                <w:szCs w:val="20"/>
              </w:rPr>
              <w:t>Ethnicity</w:t>
            </w:r>
          </w:p>
        </w:tc>
        <w:tc>
          <w:tcPr>
            <w:tcW w:w="1710" w:type="dxa"/>
            <w:tcBorders>
              <w:top w:val="single" w:sz="4" w:space="0" w:color="auto"/>
              <w:left w:val="nil"/>
              <w:bottom w:val="single" w:sz="4" w:space="0" w:color="auto"/>
              <w:right w:val="single" w:sz="4" w:space="0" w:color="auto"/>
            </w:tcBorders>
            <w:shd w:val="clear" w:color="auto" w:fill="auto"/>
            <w:hideMark/>
          </w:tcPr>
          <w:p w:rsidR="00770000" w:rsidRPr="00A21238" w:rsidRDefault="00770000" w:rsidP="007C3D5D">
            <w:pPr>
              <w:jc w:val="center"/>
              <w:rPr>
                <w:rFonts w:ascii="Calibri" w:hAnsi="Calibri" w:cs="Calibri"/>
                <w:sz w:val="20"/>
                <w:szCs w:val="20"/>
              </w:rPr>
            </w:pP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770000" w:rsidRPr="00A21238" w:rsidRDefault="00770000" w:rsidP="007C3D5D">
            <w:pPr>
              <w:jc w:val="center"/>
              <w:rPr>
                <w:rFonts w:ascii="Calibri" w:hAnsi="Calibri" w:cs="Calibri"/>
                <w:sz w:val="20"/>
                <w:szCs w:val="20"/>
              </w:rPr>
            </w:pP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70000" w:rsidRPr="00A21238" w:rsidRDefault="00770000" w:rsidP="007C3D5D">
            <w:pPr>
              <w:jc w:val="center"/>
              <w:rPr>
                <w:rFonts w:ascii="Calibri" w:hAnsi="Calibri" w:cs="Calibri"/>
                <w:sz w:val="20"/>
                <w:szCs w:val="20"/>
              </w:rPr>
            </w:pP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770000" w:rsidRPr="00A21238" w:rsidRDefault="00770000" w:rsidP="007C3D5D">
            <w:pPr>
              <w:jc w:val="center"/>
              <w:rPr>
                <w:rFonts w:ascii="Calibri" w:hAnsi="Calibri" w:cs="Calibri"/>
                <w:sz w:val="20"/>
                <w:szCs w:val="20"/>
              </w:rPr>
            </w:pPr>
          </w:p>
        </w:tc>
      </w:tr>
      <w:tr w:rsidR="00770000" w:rsidRPr="00A21238" w:rsidTr="00A52683">
        <w:trPr>
          <w:trHeight w:val="270"/>
        </w:trPr>
        <w:tc>
          <w:tcPr>
            <w:tcW w:w="2985" w:type="dxa"/>
            <w:tcBorders>
              <w:top w:val="nil"/>
              <w:left w:val="single" w:sz="4" w:space="0" w:color="auto"/>
              <w:bottom w:val="single" w:sz="4" w:space="0" w:color="auto"/>
              <w:right w:val="single" w:sz="4" w:space="0" w:color="auto"/>
            </w:tcBorders>
            <w:shd w:val="clear" w:color="auto" w:fill="auto"/>
            <w:hideMark/>
          </w:tcPr>
          <w:p w:rsidR="00770000" w:rsidRPr="00817982" w:rsidRDefault="00770000" w:rsidP="00817982">
            <w:pPr>
              <w:ind w:firstLineChars="200" w:firstLine="402"/>
              <w:rPr>
                <w:rFonts w:ascii="Calibri" w:hAnsi="Calibri" w:cs="Calibri"/>
                <w:b/>
                <w:sz w:val="20"/>
                <w:szCs w:val="20"/>
              </w:rPr>
            </w:pPr>
            <w:r w:rsidRPr="00817982">
              <w:rPr>
                <w:rFonts w:ascii="Calibri" w:hAnsi="Calibri" w:cs="Calibri"/>
                <w:b/>
                <w:bCs/>
                <w:sz w:val="20"/>
                <w:szCs w:val="20"/>
              </w:rPr>
              <w:t>Asian/Pacific</w:t>
            </w:r>
            <w:r w:rsidR="0002496E" w:rsidRPr="00817982">
              <w:rPr>
                <w:rFonts w:ascii="Calibri" w:hAnsi="Calibri" w:cs="Calibri"/>
                <w:b/>
                <w:bCs/>
                <w:noProof/>
                <w:sz w:val="20"/>
                <w:szCs w:val="20"/>
                <w:vertAlign w:val="superscript"/>
              </w:rPr>
              <w:t>56, 59, 63</w:t>
            </w:r>
          </w:p>
        </w:tc>
        <w:tc>
          <w:tcPr>
            <w:tcW w:w="1710" w:type="dxa"/>
            <w:tcBorders>
              <w:top w:val="nil"/>
              <w:left w:val="nil"/>
              <w:bottom w:val="single" w:sz="4" w:space="0" w:color="auto"/>
              <w:right w:val="single" w:sz="4" w:space="0" w:color="auto"/>
            </w:tcBorders>
            <w:shd w:val="clear" w:color="auto" w:fill="auto"/>
            <w:hideMark/>
          </w:tcPr>
          <w:p w:rsidR="00770000" w:rsidRPr="00A21238" w:rsidRDefault="00076F89" w:rsidP="007C3D5D">
            <w:pPr>
              <w:jc w:val="center"/>
              <w:rPr>
                <w:rFonts w:ascii="Calibri" w:hAnsi="Calibri" w:cs="Calibri"/>
                <w:sz w:val="20"/>
                <w:szCs w:val="20"/>
              </w:rPr>
            </w:pPr>
            <w:r w:rsidRPr="00A21238">
              <w:rPr>
                <w:rFonts w:ascii="Calibri" w:hAnsi="Calibri" w:cs="Calibri"/>
                <w:sz w:val="20"/>
                <w:szCs w:val="20"/>
              </w:rPr>
              <w:t>5%</w:t>
            </w:r>
          </w:p>
        </w:tc>
        <w:tc>
          <w:tcPr>
            <w:tcW w:w="1620" w:type="dxa"/>
            <w:tcBorders>
              <w:top w:val="nil"/>
              <w:left w:val="nil"/>
              <w:bottom w:val="single" w:sz="4" w:space="0" w:color="auto"/>
              <w:right w:val="single" w:sz="4" w:space="0" w:color="auto"/>
            </w:tcBorders>
            <w:shd w:val="clear" w:color="auto" w:fill="auto"/>
            <w:vAlign w:val="bottom"/>
            <w:hideMark/>
          </w:tcPr>
          <w:p w:rsidR="00770000" w:rsidRPr="00A21238" w:rsidRDefault="00076F89" w:rsidP="007C3D5D">
            <w:pPr>
              <w:jc w:val="center"/>
              <w:rPr>
                <w:rFonts w:ascii="Calibri" w:hAnsi="Calibri" w:cs="Calibri"/>
                <w:sz w:val="20"/>
                <w:szCs w:val="20"/>
              </w:rPr>
            </w:pPr>
            <w:r w:rsidRPr="00A21238">
              <w:rPr>
                <w:rFonts w:ascii="Calibri" w:hAnsi="Calibri" w:cs="Calibri"/>
                <w:sz w:val="20"/>
                <w:szCs w:val="20"/>
              </w:rPr>
              <w:t>35</w:t>
            </w:r>
          </w:p>
        </w:tc>
        <w:tc>
          <w:tcPr>
            <w:tcW w:w="1530" w:type="dxa"/>
            <w:tcBorders>
              <w:top w:val="nil"/>
              <w:left w:val="nil"/>
              <w:bottom w:val="single" w:sz="4" w:space="0" w:color="auto"/>
              <w:right w:val="single" w:sz="4" w:space="0" w:color="auto"/>
            </w:tcBorders>
            <w:shd w:val="clear" w:color="auto" w:fill="auto"/>
            <w:vAlign w:val="bottom"/>
            <w:hideMark/>
          </w:tcPr>
          <w:p w:rsidR="00770000" w:rsidRPr="00A21238" w:rsidRDefault="00076F89" w:rsidP="007C3D5D">
            <w:pPr>
              <w:jc w:val="center"/>
              <w:rPr>
                <w:rFonts w:ascii="Calibri" w:hAnsi="Calibri" w:cs="Calibri"/>
                <w:sz w:val="20"/>
                <w:szCs w:val="20"/>
              </w:rPr>
            </w:pPr>
            <w:r w:rsidRPr="00A21238">
              <w:rPr>
                <w:rFonts w:ascii="Calibri" w:hAnsi="Calibri" w:cs="Calibri"/>
                <w:sz w:val="20"/>
                <w:szCs w:val="20"/>
              </w:rPr>
              <w:t>654</w:t>
            </w:r>
          </w:p>
        </w:tc>
        <w:tc>
          <w:tcPr>
            <w:tcW w:w="1350" w:type="dxa"/>
            <w:tcBorders>
              <w:top w:val="nil"/>
              <w:left w:val="nil"/>
              <w:bottom w:val="single" w:sz="4" w:space="0" w:color="auto"/>
              <w:right w:val="single" w:sz="4" w:space="0" w:color="auto"/>
            </w:tcBorders>
            <w:shd w:val="clear" w:color="auto" w:fill="auto"/>
            <w:vAlign w:val="bottom"/>
            <w:hideMark/>
          </w:tcPr>
          <w:p w:rsidR="00770000" w:rsidRPr="00A21238" w:rsidRDefault="00076F89" w:rsidP="007C3D5D">
            <w:pPr>
              <w:jc w:val="center"/>
              <w:rPr>
                <w:rFonts w:ascii="Calibri" w:hAnsi="Calibri" w:cs="Calibri"/>
                <w:sz w:val="20"/>
                <w:szCs w:val="20"/>
              </w:rPr>
            </w:pPr>
            <w:r w:rsidRPr="00A21238">
              <w:rPr>
                <w:rFonts w:ascii="Calibri" w:hAnsi="Calibri" w:cs="Calibri"/>
                <w:sz w:val="20"/>
                <w:szCs w:val="20"/>
              </w:rPr>
              <w:t>3(689)</w:t>
            </w:r>
          </w:p>
        </w:tc>
      </w:tr>
      <w:tr w:rsidR="00770000" w:rsidRPr="00A21238" w:rsidTr="00817982">
        <w:trPr>
          <w:trHeight w:val="270"/>
        </w:trPr>
        <w:tc>
          <w:tcPr>
            <w:tcW w:w="2985" w:type="dxa"/>
            <w:tcBorders>
              <w:top w:val="nil"/>
              <w:left w:val="single" w:sz="4" w:space="0" w:color="auto"/>
              <w:bottom w:val="single" w:sz="4" w:space="0" w:color="auto"/>
              <w:right w:val="single" w:sz="4" w:space="0" w:color="auto"/>
            </w:tcBorders>
            <w:shd w:val="clear" w:color="auto" w:fill="auto"/>
            <w:hideMark/>
          </w:tcPr>
          <w:p w:rsidR="00770000" w:rsidRPr="00817982" w:rsidRDefault="00770000" w:rsidP="00817982">
            <w:pPr>
              <w:ind w:firstLineChars="200" w:firstLine="402"/>
              <w:rPr>
                <w:rFonts w:ascii="Calibri" w:hAnsi="Calibri" w:cs="Calibri"/>
                <w:b/>
                <w:sz w:val="20"/>
                <w:szCs w:val="20"/>
              </w:rPr>
            </w:pPr>
            <w:r w:rsidRPr="00817982">
              <w:rPr>
                <w:rFonts w:ascii="Calibri" w:hAnsi="Calibri" w:cs="Calibri"/>
                <w:b/>
                <w:bCs/>
                <w:sz w:val="20"/>
                <w:szCs w:val="20"/>
              </w:rPr>
              <w:t>White (Caucasian)</w:t>
            </w:r>
            <w:r w:rsidR="0002496E" w:rsidRPr="00817982">
              <w:rPr>
                <w:rFonts w:ascii="Calibri" w:hAnsi="Calibri" w:cs="Calibri"/>
                <w:b/>
                <w:bCs/>
                <w:noProof/>
                <w:sz w:val="20"/>
                <w:szCs w:val="20"/>
                <w:vertAlign w:val="superscript"/>
              </w:rPr>
              <w:t>56, 57</w:t>
            </w:r>
          </w:p>
        </w:tc>
        <w:tc>
          <w:tcPr>
            <w:tcW w:w="1710" w:type="dxa"/>
            <w:tcBorders>
              <w:top w:val="nil"/>
              <w:left w:val="nil"/>
              <w:bottom w:val="single" w:sz="4" w:space="0" w:color="auto"/>
              <w:right w:val="single" w:sz="4" w:space="0" w:color="auto"/>
            </w:tcBorders>
            <w:shd w:val="clear" w:color="auto" w:fill="auto"/>
            <w:hideMark/>
          </w:tcPr>
          <w:p w:rsidR="00770000" w:rsidRPr="00A21238" w:rsidRDefault="00076F89" w:rsidP="007C3D5D">
            <w:pPr>
              <w:jc w:val="center"/>
              <w:rPr>
                <w:rFonts w:ascii="Calibri" w:hAnsi="Calibri" w:cs="Calibri"/>
                <w:sz w:val="20"/>
                <w:szCs w:val="20"/>
              </w:rPr>
            </w:pPr>
            <w:r w:rsidRPr="00A21238">
              <w:rPr>
                <w:rFonts w:ascii="Calibri" w:hAnsi="Calibri" w:cs="Calibri"/>
                <w:sz w:val="20"/>
                <w:szCs w:val="20"/>
              </w:rPr>
              <w:t>4%</w:t>
            </w:r>
          </w:p>
        </w:tc>
        <w:tc>
          <w:tcPr>
            <w:tcW w:w="1620" w:type="dxa"/>
            <w:tcBorders>
              <w:top w:val="nil"/>
              <w:left w:val="nil"/>
              <w:bottom w:val="single" w:sz="4" w:space="0" w:color="auto"/>
              <w:right w:val="single" w:sz="4" w:space="0" w:color="auto"/>
            </w:tcBorders>
            <w:shd w:val="clear" w:color="auto" w:fill="auto"/>
            <w:vAlign w:val="bottom"/>
            <w:hideMark/>
          </w:tcPr>
          <w:p w:rsidR="00770000" w:rsidRPr="00A21238" w:rsidRDefault="00076F89" w:rsidP="007C3D5D">
            <w:pPr>
              <w:jc w:val="center"/>
              <w:rPr>
                <w:rFonts w:ascii="Calibri" w:hAnsi="Calibri" w:cs="Calibri"/>
                <w:sz w:val="20"/>
                <w:szCs w:val="20"/>
              </w:rPr>
            </w:pPr>
            <w:r w:rsidRPr="00A21238">
              <w:rPr>
                <w:rFonts w:ascii="Calibri" w:hAnsi="Calibri" w:cs="Calibri"/>
                <w:sz w:val="20"/>
                <w:szCs w:val="20"/>
              </w:rPr>
              <w:t>22</w:t>
            </w:r>
          </w:p>
        </w:tc>
        <w:tc>
          <w:tcPr>
            <w:tcW w:w="1530" w:type="dxa"/>
            <w:tcBorders>
              <w:top w:val="nil"/>
              <w:left w:val="nil"/>
              <w:bottom w:val="single" w:sz="4" w:space="0" w:color="auto"/>
              <w:right w:val="single" w:sz="4" w:space="0" w:color="auto"/>
            </w:tcBorders>
            <w:shd w:val="clear" w:color="auto" w:fill="auto"/>
            <w:vAlign w:val="bottom"/>
            <w:hideMark/>
          </w:tcPr>
          <w:p w:rsidR="00770000" w:rsidRPr="00A21238" w:rsidRDefault="00076F89" w:rsidP="007C3D5D">
            <w:pPr>
              <w:jc w:val="center"/>
              <w:rPr>
                <w:rFonts w:ascii="Calibri" w:hAnsi="Calibri" w:cs="Calibri"/>
                <w:sz w:val="20"/>
                <w:szCs w:val="20"/>
              </w:rPr>
            </w:pPr>
            <w:r w:rsidRPr="00A21238">
              <w:rPr>
                <w:rFonts w:ascii="Calibri" w:hAnsi="Calibri" w:cs="Calibri"/>
                <w:sz w:val="20"/>
                <w:szCs w:val="20"/>
              </w:rPr>
              <w:t>474</w:t>
            </w:r>
          </w:p>
        </w:tc>
        <w:tc>
          <w:tcPr>
            <w:tcW w:w="1350" w:type="dxa"/>
            <w:tcBorders>
              <w:top w:val="nil"/>
              <w:left w:val="nil"/>
              <w:bottom w:val="single" w:sz="4" w:space="0" w:color="auto"/>
              <w:right w:val="single" w:sz="4" w:space="0" w:color="auto"/>
            </w:tcBorders>
            <w:shd w:val="clear" w:color="auto" w:fill="auto"/>
            <w:vAlign w:val="bottom"/>
            <w:hideMark/>
          </w:tcPr>
          <w:p w:rsidR="00770000" w:rsidRPr="00A21238" w:rsidRDefault="00076F89" w:rsidP="007C3D5D">
            <w:pPr>
              <w:jc w:val="center"/>
              <w:rPr>
                <w:rFonts w:ascii="Calibri" w:hAnsi="Calibri" w:cs="Calibri"/>
                <w:sz w:val="20"/>
                <w:szCs w:val="20"/>
              </w:rPr>
            </w:pPr>
            <w:r w:rsidRPr="00A21238">
              <w:rPr>
                <w:rFonts w:ascii="Calibri" w:hAnsi="Calibri" w:cs="Calibri"/>
                <w:sz w:val="20"/>
                <w:szCs w:val="20"/>
              </w:rPr>
              <w:t>2(496)</w:t>
            </w:r>
          </w:p>
        </w:tc>
      </w:tr>
      <w:tr w:rsidR="007C3D5D" w:rsidRPr="00A21238" w:rsidTr="00817982">
        <w:trPr>
          <w:trHeight w:val="270"/>
        </w:trPr>
        <w:tc>
          <w:tcPr>
            <w:tcW w:w="2985" w:type="dxa"/>
            <w:tcBorders>
              <w:top w:val="single" w:sz="4" w:space="0" w:color="auto"/>
              <w:left w:val="single" w:sz="4" w:space="0" w:color="auto"/>
              <w:bottom w:val="single" w:sz="4" w:space="0" w:color="auto"/>
              <w:right w:val="single" w:sz="4" w:space="0" w:color="auto"/>
            </w:tcBorders>
            <w:shd w:val="clear" w:color="000000" w:fill="auto"/>
            <w:hideMark/>
          </w:tcPr>
          <w:p w:rsidR="007C3D5D" w:rsidRPr="00817982" w:rsidRDefault="007C3D5D" w:rsidP="007C3D5D">
            <w:pPr>
              <w:rPr>
                <w:rFonts w:ascii="Calibri" w:hAnsi="Calibri" w:cs="Calibri"/>
                <w:b/>
                <w:sz w:val="20"/>
                <w:szCs w:val="20"/>
              </w:rPr>
            </w:pPr>
            <w:r w:rsidRPr="00817982">
              <w:rPr>
                <w:rFonts w:ascii="Calibri" w:hAnsi="Calibri" w:cs="Calibri"/>
                <w:b/>
                <w:sz w:val="20"/>
                <w:szCs w:val="20"/>
              </w:rPr>
              <w:t xml:space="preserve">Histology </w:t>
            </w:r>
          </w:p>
        </w:tc>
        <w:tc>
          <w:tcPr>
            <w:tcW w:w="1710" w:type="dxa"/>
            <w:tcBorders>
              <w:top w:val="single" w:sz="4" w:space="0" w:color="auto"/>
              <w:left w:val="nil"/>
              <w:bottom w:val="single" w:sz="4" w:space="0" w:color="auto"/>
              <w:right w:val="single" w:sz="4" w:space="0" w:color="auto"/>
            </w:tcBorders>
            <w:shd w:val="clear" w:color="000000" w:fill="auto"/>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 </w:t>
            </w:r>
          </w:p>
        </w:tc>
        <w:tc>
          <w:tcPr>
            <w:tcW w:w="1620" w:type="dxa"/>
            <w:tcBorders>
              <w:top w:val="single" w:sz="4" w:space="0" w:color="auto"/>
              <w:left w:val="nil"/>
              <w:bottom w:val="single" w:sz="4" w:space="0" w:color="auto"/>
              <w:right w:val="single" w:sz="4" w:space="0" w:color="auto"/>
            </w:tcBorders>
            <w:shd w:val="clear" w:color="000000"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 </w:t>
            </w:r>
          </w:p>
        </w:tc>
        <w:tc>
          <w:tcPr>
            <w:tcW w:w="1530" w:type="dxa"/>
            <w:tcBorders>
              <w:top w:val="single" w:sz="4" w:space="0" w:color="auto"/>
              <w:left w:val="nil"/>
              <w:bottom w:val="single" w:sz="4" w:space="0" w:color="auto"/>
              <w:right w:val="single" w:sz="4" w:space="0" w:color="auto"/>
            </w:tcBorders>
            <w:shd w:val="clear" w:color="000000" w:fill="auto"/>
            <w:vAlign w:val="bottom"/>
            <w:hideMark/>
          </w:tcPr>
          <w:p w:rsidR="007C3D5D" w:rsidRPr="00A21238" w:rsidRDefault="007C3D5D" w:rsidP="007C3D5D">
            <w:pPr>
              <w:rPr>
                <w:rFonts w:ascii="Calibri" w:hAnsi="Calibri" w:cs="Calibri"/>
                <w:sz w:val="20"/>
                <w:szCs w:val="20"/>
              </w:rPr>
            </w:pPr>
            <w:r w:rsidRPr="00A21238">
              <w:rPr>
                <w:rFonts w:ascii="Calibri" w:hAnsi="Calibri" w:cs="Calibri"/>
                <w:sz w:val="20"/>
                <w:szCs w:val="20"/>
              </w:rPr>
              <w:t> </w:t>
            </w:r>
          </w:p>
        </w:tc>
        <w:tc>
          <w:tcPr>
            <w:tcW w:w="1350" w:type="dxa"/>
            <w:tcBorders>
              <w:top w:val="single" w:sz="4" w:space="0" w:color="auto"/>
              <w:left w:val="nil"/>
              <w:bottom w:val="single" w:sz="4" w:space="0" w:color="auto"/>
              <w:right w:val="single" w:sz="4" w:space="0" w:color="auto"/>
            </w:tcBorders>
            <w:shd w:val="clear" w:color="000000"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 </w:t>
            </w:r>
          </w:p>
        </w:tc>
      </w:tr>
      <w:tr w:rsidR="007C3D5D" w:rsidRPr="00A21238" w:rsidTr="00A52683">
        <w:trPr>
          <w:trHeight w:val="270"/>
        </w:trPr>
        <w:tc>
          <w:tcPr>
            <w:tcW w:w="2985" w:type="dxa"/>
            <w:tcBorders>
              <w:top w:val="nil"/>
              <w:left w:val="single" w:sz="4" w:space="0" w:color="auto"/>
              <w:bottom w:val="single" w:sz="4" w:space="0" w:color="auto"/>
              <w:right w:val="single" w:sz="4" w:space="0" w:color="auto"/>
            </w:tcBorders>
            <w:shd w:val="clear" w:color="auto" w:fill="auto"/>
            <w:hideMark/>
          </w:tcPr>
          <w:p w:rsidR="007C3D5D" w:rsidRPr="00817982" w:rsidRDefault="007C3D5D" w:rsidP="00817982">
            <w:pPr>
              <w:ind w:firstLineChars="200" w:firstLine="402"/>
              <w:rPr>
                <w:rFonts w:ascii="Calibri" w:hAnsi="Calibri" w:cs="Calibri"/>
                <w:b/>
                <w:sz w:val="20"/>
                <w:szCs w:val="20"/>
              </w:rPr>
            </w:pPr>
            <w:r w:rsidRPr="00817982">
              <w:rPr>
                <w:rFonts w:ascii="Calibri" w:hAnsi="Calibri" w:cs="Calibri"/>
                <w:b/>
                <w:sz w:val="20"/>
                <w:szCs w:val="20"/>
              </w:rPr>
              <w:t>Adenocarcinoma</w:t>
            </w:r>
            <w:r w:rsidR="0002496E" w:rsidRPr="00817982">
              <w:rPr>
                <w:rFonts w:ascii="Calibri" w:hAnsi="Calibri" w:cs="Calibri"/>
                <w:b/>
                <w:noProof/>
                <w:sz w:val="20"/>
                <w:szCs w:val="20"/>
                <w:vertAlign w:val="superscript"/>
              </w:rPr>
              <w:t>56-59, 61, 64, 65</w:t>
            </w:r>
          </w:p>
        </w:tc>
        <w:tc>
          <w:tcPr>
            <w:tcW w:w="1710" w:type="dxa"/>
            <w:tcBorders>
              <w:top w:val="nil"/>
              <w:left w:val="nil"/>
              <w:bottom w:val="single" w:sz="4" w:space="0" w:color="auto"/>
              <w:right w:val="single" w:sz="4" w:space="0" w:color="auto"/>
            </w:tcBorders>
            <w:shd w:val="clear" w:color="auto" w:fill="auto"/>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5%</w:t>
            </w:r>
          </w:p>
        </w:tc>
        <w:tc>
          <w:tcPr>
            <w:tcW w:w="1620" w:type="dxa"/>
            <w:tcBorders>
              <w:top w:val="nil"/>
              <w:left w:val="nil"/>
              <w:bottom w:val="single" w:sz="4" w:space="0" w:color="auto"/>
              <w:right w:val="single" w:sz="4" w:space="0" w:color="auto"/>
            </w:tcBorders>
            <w:shd w:val="clear" w:color="auto"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67</w:t>
            </w:r>
          </w:p>
        </w:tc>
        <w:tc>
          <w:tcPr>
            <w:tcW w:w="1530" w:type="dxa"/>
            <w:tcBorders>
              <w:top w:val="nil"/>
              <w:left w:val="nil"/>
              <w:bottom w:val="single" w:sz="4" w:space="0" w:color="auto"/>
              <w:right w:val="single" w:sz="4" w:space="0" w:color="auto"/>
            </w:tcBorders>
            <w:shd w:val="clear" w:color="auto"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1319</w:t>
            </w:r>
          </w:p>
        </w:tc>
        <w:tc>
          <w:tcPr>
            <w:tcW w:w="1350" w:type="dxa"/>
            <w:tcBorders>
              <w:top w:val="nil"/>
              <w:left w:val="nil"/>
              <w:bottom w:val="single" w:sz="4" w:space="0" w:color="auto"/>
              <w:right w:val="single" w:sz="4" w:space="0" w:color="auto"/>
            </w:tcBorders>
            <w:shd w:val="clear" w:color="auto"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7(1386)</w:t>
            </w:r>
          </w:p>
        </w:tc>
      </w:tr>
      <w:tr w:rsidR="007C3D5D" w:rsidRPr="00A21238" w:rsidTr="00A52683">
        <w:trPr>
          <w:trHeight w:val="270"/>
        </w:trPr>
        <w:tc>
          <w:tcPr>
            <w:tcW w:w="2985" w:type="dxa"/>
            <w:tcBorders>
              <w:top w:val="nil"/>
              <w:left w:val="single" w:sz="4" w:space="0" w:color="auto"/>
              <w:bottom w:val="single" w:sz="4" w:space="0" w:color="auto"/>
              <w:right w:val="single" w:sz="4" w:space="0" w:color="auto"/>
            </w:tcBorders>
            <w:shd w:val="clear" w:color="auto" w:fill="auto"/>
            <w:hideMark/>
          </w:tcPr>
          <w:p w:rsidR="007C3D5D" w:rsidRPr="00817982" w:rsidRDefault="007C3D5D" w:rsidP="00817982">
            <w:pPr>
              <w:ind w:firstLineChars="200" w:firstLine="402"/>
              <w:rPr>
                <w:rFonts w:ascii="Calibri" w:hAnsi="Calibri" w:cs="Calibri"/>
                <w:b/>
                <w:sz w:val="20"/>
                <w:szCs w:val="20"/>
              </w:rPr>
            </w:pPr>
            <w:r w:rsidRPr="00817982">
              <w:rPr>
                <w:rFonts w:ascii="Calibri" w:hAnsi="Calibri" w:cs="Calibri"/>
                <w:b/>
                <w:sz w:val="20"/>
                <w:szCs w:val="20"/>
              </w:rPr>
              <w:t>Squamous</w:t>
            </w:r>
            <w:r w:rsidR="0002496E" w:rsidRPr="00817982">
              <w:rPr>
                <w:rFonts w:ascii="Calibri" w:hAnsi="Calibri" w:cs="Calibri"/>
                <w:b/>
                <w:noProof/>
                <w:sz w:val="20"/>
                <w:szCs w:val="20"/>
                <w:vertAlign w:val="superscript"/>
              </w:rPr>
              <w:t>56, 58, 59, 61, 64, 65</w:t>
            </w:r>
            <w:r w:rsidRPr="00817982">
              <w:rPr>
                <w:rFonts w:ascii="Calibri" w:hAnsi="Calibri" w:cs="Calibri"/>
                <w:b/>
                <w:sz w:val="20"/>
                <w:szCs w:val="20"/>
              </w:rPr>
              <w:t xml:space="preserve"> </w:t>
            </w:r>
          </w:p>
        </w:tc>
        <w:tc>
          <w:tcPr>
            <w:tcW w:w="1710" w:type="dxa"/>
            <w:tcBorders>
              <w:top w:val="nil"/>
              <w:left w:val="nil"/>
              <w:bottom w:val="single" w:sz="4" w:space="0" w:color="auto"/>
              <w:right w:val="single" w:sz="4" w:space="0" w:color="auto"/>
            </w:tcBorders>
            <w:shd w:val="clear" w:color="auto" w:fill="auto"/>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0.</w:t>
            </w:r>
            <w:r w:rsidR="008A35DD">
              <w:rPr>
                <w:rFonts w:ascii="Calibri" w:hAnsi="Calibri" w:cs="Calibri"/>
                <w:sz w:val="20"/>
                <w:szCs w:val="20"/>
              </w:rPr>
              <w:t>2</w:t>
            </w:r>
            <w:r w:rsidRPr="00A21238">
              <w:rPr>
                <w:rFonts w:ascii="Calibri" w:hAnsi="Calibri" w:cs="Calibri"/>
                <w:sz w:val="20"/>
                <w:szCs w:val="20"/>
              </w:rPr>
              <w:t>%</w:t>
            </w:r>
          </w:p>
        </w:tc>
        <w:tc>
          <w:tcPr>
            <w:tcW w:w="1620" w:type="dxa"/>
            <w:tcBorders>
              <w:top w:val="nil"/>
              <w:left w:val="nil"/>
              <w:bottom w:val="single" w:sz="4" w:space="0" w:color="auto"/>
              <w:right w:val="single" w:sz="4" w:space="0" w:color="auto"/>
            </w:tcBorders>
            <w:shd w:val="clear" w:color="auto"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1</w:t>
            </w:r>
          </w:p>
        </w:tc>
        <w:tc>
          <w:tcPr>
            <w:tcW w:w="1530" w:type="dxa"/>
            <w:tcBorders>
              <w:top w:val="nil"/>
              <w:left w:val="nil"/>
              <w:bottom w:val="single" w:sz="4" w:space="0" w:color="auto"/>
              <w:right w:val="single" w:sz="4" w:space="0" w:color="auto"/>
            </w:tcBorders>
            <w:shd w:val="clear" w:color="auto"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522</w:t>
            </w:r>
          </w:p>
        </w:tc>
        <w:tc>
          <w:tcPr>
            <w:tcW w:w="1350" w:type="dxa"/>
            <w:tcBorders>
              <w:top w:val="nil"/>
              <w:left w:val="nil"/>
              <w:bottom w:val="single" w:sz="4" w:space="0" w:color="auto"/>
              <w:right w:val="single" w:sz="4" w:space="0" w:color="auto"/>
            </w:tcBorders>
            <w:shd w:val="clear" w:color="auto"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6(523)</w:t>
            </w:r>
          </w:p>
        </w:tc>
      </w:tr>
      <w:tr w:rsidR="007C3D5D" w:rsidRPr="00A21238" w:rsidTr="00817982">
        <w:trPr>
          <w:trHeight w:val="270"/>
        </w:trPr>
        <w:tc>
          <w:tcPr>
            <w:tcW w:w="2985" w:type="dxa"/>
            <w:tcBorders>
              <w:top w:val="nil"/>
              <w:left w:val="single" w:sz="4" w:space="0" w:color="auto"/>
              <w:bottom w:val="single" w:sz="4" w:space="0" w:color="auto"/>
              <w:right w:val="single" w:sz="4" w:space="0" w:color="auto"/>
            </w:tcBorders>
            <w:shd w:val="clear" w:color="auto" w:fill="auto"/>
            <w:hideMark/>
          </w:tcPr>
          <w:p w:rsidR="007C3D5D" w:rsidRPr="00817982" w:rsidRDefault="007C3D5D" w:rsidP="00817982">
            <w:pPr>
              <w:ind w:firstLineChars="200" w:firstLine="402"/>
              <w:rPr>
                <w:rFonts w:ascii="Calibri" w:hAnsi="Calibri" w:cs="Calibri"/>
                <w:b/>
                <w:sz w:val="20"/>
                <w:szCs w:val="20"/>
              </w:rPr>
            </w:pPr>
            <w:r w:rsidRPr="00817982">
              <w:rPr>
                <w:rFonts w:ascii="Calibri" w:hAnsi="Calibri" w:cs="Calibri"/>
                <w:b/>
                <w:sz w:val="20"/>
                <w:szCs w:val="20"/>
              </w:rPr>
              <w:t>Adenosquamous</w:t>
            </w:r>
            <w:r w:rsidR="0002496E" w:rsidRPr="00817982">
              <w:rPr>
                <w:rFonts w:ascii="Calibri" w:hAnsi="Calibri" w:cs="Calibri"/>
                <w:b/>
                <w:noProof/>
                <w:sz w:val="20"/>
                <w:szCs w:val="20"/>
                <w:vertAlign w:val="superscript"/>
              </w:rPr>
              <w:t>56, 59, 65</w:t>
            </w:r>
          </w:p>
        </w:tc>
        <w:tc>
          <w:tcPr>
            <w:tcW w:w="1710" w:type="dxa"/>
            <w:tcBorders>
              <w:top w:val="nil"/>
              <w:left w:val="nil"/>
              <w:bottom w:val="single" w:sz="4" w:space="0" w:color="auto"/>
              <w:right w:val="single" w:sz="4" w:space="0" w:color="auto"/>
            </w:tcBorders>
            <w:shd w:val="clear" w:color="auto" w:fill="auto"/>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0%</w:t>
            </w:r>
          </w:p>
        </w:tc>
        <w:tc>
          <w:tcPr>
            <w:tcW w:w="1620" w:type="dxa"/>
            <w:tcBorders>
              <w:top w:val="nil"/>
              <w:left w:val="nil"/>
              <w:bottom w:val="single" w:sz="4" w:space="0" w:color="auto"/>
              <w:right w:val="single" w:sz="4" w:space="0" w:color="auto"/>
            </w:tcBorders>
            <w:shd w:val="clear" w:color="auto"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0</w:t>
            </w:r>
          </w:p>
        </w:tc>
        <w:tc>
          <w:tcPr>
            <w:tcW w:w="1530" w:type="dxa"/>
            <w:tcBorders>
              <w:top w:val="nil"/>
              <w:left w:val="nil"/>
              <w:bottom w:val="single" w:sz="4" w:space="0" w:color="auto"/>
              <w:right w:val="single" w:sz="4" w:space="0" w:color="auto"/>
            </w:tcBorders>
            <w:shd w:val="clear" w:color="auto"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19</w:t>
            </w:r>
          </w:p>
        </w:tc>
        <w:tc>
          <w:tcPr>
            <w:tcW w:w="1350" w:type="dxa"/>
            <w:tcBorders>
              <w:top w:val="nil"/>
              <w:left w:val="nil"/>
              <w:bottom w:val="single" w:sz="4" w:space="0" w:color="auto"/>
              <w:right w:val="single" w:sz="4" w:space="0" w:color="auto"/>
            </w:tcBorders>
            <w:shd w:val="clear" w:color="auto"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3(19)</w:t>
            </w:r>
          </w:p>
        </w:tc>
      </w:tr>
      <w:tr w:rsidR="007C3D5D" w:rsidRPr="00A21238" w:rsidTr="00817982">
        <w:trPr>
          <w:trHeight w:val="330"/>
        </w:trPr>
        <w:tc>
          <w:tcPr>
            <w:tcW w:w="2985" w:type="dxa"/>
            <w:tcBorders>
              <w:top w:val="single" w:sz="4" w:space="0" w:color="auto"/>
              <w:left w:val="single" w:sz="4" w:space="0" w:color="auto"/>
              <w:bottom w:val="single" w:sz="4" w:space="0" w:color="auto"/>
              <w:right w:val="single" w:sz="4" w:space="0" w:color="auto"/>
            </w:tcBorders>
            <w:shd w:val="clear" w:color="000000" w:fill="auto"/>
            <w:hideMark/>
          </w:tcPr>
          <w:p w:rsidR="007C3D5D" w:rsidRPr="00817982" w:rsidRDefault="007C3D5D" w:rsidP="007C3D5D">
            <w:pPr>
              <w:rPr>
                <w:rFonts w:ascii="Calibri" w:hAnsi="Calibri" w:cs="Calibri"/>
                <w:b/>
                <w:sz w:val="20"/>
                <w:szCs w:val="20"/>
              </w:rPr>
            </w:pPr>
            <w:r w:rsidRPr="00817982">
              <w:rPr>
                <w:rFonts w:ascii="Calibri" w:hAnsi="Calibri" w:cs="Calibri"/>
                <w:b/>
                <w:sz w:val="20"/>
                <w:szCs w:val="20"/>
              </w:rPr>
              <w:t>Differentiation</w:t>
            </w:r>
          </w:p>
        </w:tc>
        <w:tc>
          <w:tcPr>
            <w:tcW w:w="1710" w:type="dxa"/>
            <w:tcBorders>
              <w:top w:val="single" w:sz="4" w:space="0" w:color="auto"/>
              <w:left w:val="nil"/>
              <w:bottom w:val="single" w:sz="4" w:space="0" w:color="auto"/>
              <w:right w:val="single" w:sz="4" w:space="0" w:color="auto"/>
            </w:tcBorders>
            <w:shd w:val="clear" w:color="000000" w:fill="auto"/>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 </w:t>
            </w:r>
          </w:p>
        </w:tc>
        <w:tc>
          <w:tcPr>
            <w:tcW w:w="1620" w:type="dxa"/>
            <w:tcBorders>
              <w:top w:val="single" w:sz="4" w:space="0" w:color="auto"/>
              <w:left w:val="nil"/>
              <w:bottom w:val="single" w:sz="4" w:space="0" w:color="auto"/>
              <w:right w:val="single" w:sz="4" w:space="0" w:color="auto"/>
            </w:tcBorders>
            <w:shd w:val="clear" w:color="000000"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 </w:t>
            </w:r>
          </w:p>
        </w:tc>
        <w:tc>
          <w:tcPr>
            <w:tcW w:w="1530" w:type="dxa"/>
            <w:tcBorders>
              <w:top w:val="single" w:sz="4" w:space="0" w:color="auto"/>
              <w:left w:val="nil"/>
              <w:bottom w:val="single" w:sz="4" w:space="0" w:color="auto"/>
              <w:right w:val="single" w:sz="4" w:space="0" w:color="auto"/>
            </w:tcBorders>
            <w:shd w:val="clear" w:color="000000"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 </w:t>
            </w:r>
          </w:p>
        </w:tc>
        <w:tc>
          <w:tcPr>
            <w:tcW w:w="1350" w:type="dxa"/>
            <w:tcBorders>
              <w:top w:val="single" w:sz="4" w:space="0" w:color="auto"/>
              <w:left w:val="nil"/>
              <w:bottom w:val="single" w:sz="4" w:space="0" w:color="auto"/>
              <w:right w:val="single" w:sz="4" w:space="0" w:color="auto"/>
            </w:tcBorders>
            <w:shd w:val="clear" w:color="000000"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 </w:t>
            </w:r>
          </w:p>
        </w:tc>
      </w:tr>
      <w:tr w:rsidR="007C3D5D" w:rsidRPr="00A21238" w:rsidTr="00A52683">
        <w:trPr>
          <w:trHeight w:val="270"/>
        </w:trPr>
        <w:tc>
          <w:tcPr>
            <w:tcW w:w="2985" w:type="dxa"/>
            <w:tcBorders>
              <w:top w:val="nil"/>
              <w:left w:val="single" w:sz="4" w:space="0" w:color="auto"/>
              <w:bottom w:val="single" w:sz="4" w:space="0" w:color="auto"/>
              <w:right w:val="single" w:sz="4" w:space="0" w:color="auto"/>
            </w:tcBorders>
            <w:shd w:val="clear" w:color="auto" w:fill="auto"/>
            <w:hideMark/>
          </w:tcPr>
          <w:p w:rsidR="007C3D5D" w:rsidRPr="00817982" w:rsidRDefault="007C3D5D" w:rsidP="00817982">
            <w:pPr>
              <w:ind w:firstLineChars="200" w:firstLine="402"/>
              <w:rPr>
                <w:rFonts w:ascii="Calibri" w:hAnsi="Calibri" w:cs="Calibri"/>
                <w:b/>
                <w:sz w:val="20"/>
                <w:szCs w:val="20"/>
              </w:rPr>
            </w:pPr>
            <w:r w:rsidRPr="00817982">
              <w:rPr>
                <w:rFonts w:ascii="Calibri" w:hAnsi="Calibri" w:cs="Calibri"/>
                <w:b/>
                <w:sz w:val="20"/>
                <w:szCs w:val="20"/>
              </w:rPr>
              <w:t>Well</w:t>
            </w:r>
            <w:r w:rsidR="0002496E" w:rsidRPr="00817982">
              <w:rPr>
                <w:rFonts w:ascii="Calibri" w:hAnsi="Calibri" w:cs="Calibri"/>
                <w:b/>
                <w:noProof/>
                <w:sz w:val="20"/>
                <w:szCs w:val="20"/>
                <w:vertAlign w:val="superscript"/>
              </w:rPr>
              <w:t>59</w:t>
            </w:r>
          </w:p>
        </w:tc>
        <w:tc>
          <w:tcPr>
            <w:tcW w:w="1710" w:type="dxa"/>
            <w:tcBorders>
              <w:top w:val="nil"/>
              <w:left w:val="nil"/>
              <w:bottom w:val="single" w:sz="4" w:space="0" w:color="auto"/>
              <w:right w:val="single" w:sz="4" w:space="0" w:color="auto"/>
            </w:tcBorders>
            <w:shd w:val="clear" w:color="auto" w:fill="auto"/>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1%</w:t>
            </w:r>
          </w:p>
        </w:tc>
        <w:tc>
          <w:tcPr>
            <w:tcW w:w="1620" w:type="dxa"/>
            <w:tcBorders>
              <w:top w:val="nil"/>
              <w:left w:val="nil"/>
              <w:bottom w:val="single" w:sz="4" w:space="0" w:color="auto"/>
              <w:right w:val="single" w:sz="4" w:space="0" w:color="auto"/>
            </w:tcBorders>
            <w:shd w:val="clear" w:color="auto"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1</w:t>
            </w:r>
          </w:p>
        </w:tc>
        <w:tc>
          <w:tcPr>
            <w:tcW w:w="1530" w:type="dxa"/>
            <w:tcBorders>
              <w:top w:val="nil"/>
              <w:left w:val="nil"/>
              <w:bottom w:val="single" w:sz="4" w:space="0" w:color="auto"/>
              <w:right w:val="single" w:sz="4" w:space="0" w:color="auto"/>
            </w:tcBorders>
            <w:shd w:val="clear" w:color="auto"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97</w:t>
            </w:r>
          </w:p>
        </w:tc>
        <w:tc>
          <w:tcPr>
            <w:tcW w:w="1350" w:type="dxa"/>
            <w:tcBorders>
              <w:top w:val="nil"/>
              <w:left w:val="nil"/>
              <w:bottom w:val="single" w:sz="4" w:space="0" w:color="auto"/>
              <w:right w:val="single" w:sz="4" w:space="0" w:color="auto"/>
            </w:tcBorders>
            <w:shd w:val="clear" w:color="auto"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1(98)</w:t>
            </w:r>
          </w:p>
        </w:tc>
      </w:tr>
      <w:tr w:rsidR="007C3D5D" w:rsidRPr="00A21238" w:rsidTr="00A52683">
        <w:trPr>
          <w:trHeight w:val="270"/>
        </w:trPr>
        <w:tc>
          <w:tcPr>
            <w:tcW w:w="2985" w:type="dxa"/>
            <w:tcBorders>
              <w:top w:val="nil"/>
              <w:left w:val="single" w:sz="4" w:space="0" w:color="auto"/>
              <w:bottom w:val="single" w:sz="4" w:space="0" w:color="auto"/>
              <w:right w:val="single" w:sz="4" w:space="0" w:color="auto"/>
            </w:tcBorders>
            <w:shd w:val="clear" w:color="auto" w:fill="auto"/>
            <w:hideMark/>
          </w:tcPr>
          <w:p w:rsidR="007C3D5D" w:rsidRPr="00817982" w:rsidRDefault="007C3D5D" w:rsidP="00817982">
            <w:pPr>
              <w:ind w:firstLineChars="200" w:firstLine="402"/>
              <w:rPr>
                <w:rFonts w:ascii="Calibri" w:hAnsi="Calibri" w:cs="Calibri"/>
                <w:b/>
                <w:sz w:val="20"/>
                <w:szCs w:val="20"/>
              </w:rPr>
            </w:pPr>
            <w:r w:rsidRPr="00817982">
              <w:rPr>
                <w:rFonts w:ascii="Calibri" w:hAnsi="Calibri" w:cs="Calibri"/>
                <w:b/>
                <w:sz w:val="20"/>
                <w:szCs w:val="20"/>
              </w:rPr>
              <w:t>Not well</w:t>
            </w:r>
            <w:r w:rsidR="0002496E" w:rsidRPr="00817982">
              <w:rPr>
                <w:rFonts w:ascii="Calibri" w:hAnsi="Calibri" w:cs="Calibri"/>
                <w:b/>
                <w:noProof/>
                <w:sz w:val="20"/>
                <w:szCs w:val="20"/>
                <w:vertAlign w:val="superscript"/>
              </w:rPr>
              <w:t>59</w:t>
            </w:r>
            <w:r w:rsidRPr="00817982">
              <w:rPr>
                <w:rFonts w:ascii="Calibri" w:hAnsi="Calibri" w:cs="Calibri"/>
                <w:b/>
                <w:sz w:val="20"/>
                <w:szCs w:val="20"/>
              </w:rPr>
              <w:t xml:space="preserve"> </w:t>
            </w:r>
          </w:p>
        </w:tc>
        <w:tc>
          <w:tcPr>
            <w:tcW w:w="1710" w:type="dxa"/>
            <w:tcBorders>
              <w:top w:val="nil"/>
              <w:left w:val="nil"/>
              <w:bottom w:val="single" w:sz="4" w:space="0" w:color="auto"/>
              <w:right w:val="single" w:sz="4" w:space="0" w:color="auto"/>
            </w:tcBorders>
            <w:shd w:val="clear" w:color="auto" w:fill="auto"/>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6%</w:t>
            </w:r>
          </w:p>
        </w:tc>
        <w:tc>
          <w:tcPr>
            <w:tcW w:w="1620" w:type="dxa"/>
            <w:tcBorders>
              <w:top w:val="nil"/>
              <w:left w:val="nil"/>
              <w:bottom w:val="single" w:sz="4" w:space="0" w:color="auto"/>
              <w:right w:val="single" w:sz="4" w:space="0" w:color="auto"/>
            </w:tcBorders>
            <w:shd w:val="clear" w:color="auto"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10</w:t>
            </w:r>
          </w:p>
        </w:tc>
        <w:tc>
          <w:tcPr>
            <w:tcW w:w="1530" w:type="dxa"/>
            <w:tcBorders>
              <w:top w:val="nil"/>
              <w:left w:val="nil"/>
              <w:bottom w:val="single" w:sz="4" w:space="0" w:color="auto"/>
              <w:right w:val="single" w:sz="4" w:space="0" w:color="auto"/>
            </w:tcBorders>
            <w:shd w:val="clear" w:color="auto"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145</w:t>
            </w:r>
          </w:p>
        </w:tc>
        <w:tc>
          <w:tcPr>
            <w:tcW w:w="1350" w:type="dxa"/>
            <w:tcBorders>
              <w:top w:val="nil"/>
              <w:left w:val="nil"/>
              <w:bottom w:val="single" w:sz="4" w:space="0" w:color="auto"/>
              <w:right w:val="single" w:sz="4" w:space="0" w:color="auto"/>
            </w:tcBorders>
            <w:shd w:val="clear" w:color="auto" w:fill="auto"/>
            <w:vAlign w:val="bottom"/>
            <w:hideMark/>
          </w:tcPr>
          <w:p w:rsidR="007C3D5D" w:rsidRPr="00A21238" w:rsidRDefault="007C3D5D" w:rsidP="007C3D5D">
            <w:pPr>
              <w:jc w:val="center"/>
              <w:rPr>
                <w:rFonts w:ascii="Calibri" w:hAnsi="Calibri" w:cs="Calibri"/>
                <w:sz w:val="20"/>
                <w:szCs w:val="20"/>
              </w:rPr>
            </w:pPr>
            <w:r w:rsidRPr="00A21238">
              <w:rPr>
                <w:rFonts w:ascii="Calibri" w:hAnsi="Calibri" w:cs="Calibri"/>
                <w:sz w:val="20"/>
                <w:szCs w:val="20"/>
              </w:rPr>
              <w:t>1(155)</w:t>
            </w:r>
          </w:p>
        </w:tc>
      </w:tr>
    </w:tbl>
    <w:p w:rsidR="00565546" w:rsidRPr="00A52683" w:rsidRDefault="0001790B" w:rsidP="00A26FF8">
      <w:pPr>
        <w:ind w:hanging="90"/>
        <w:rPr>
          <w:rFonts w:ascii="Calibri" w:hAnsi="Calibri" w:cs="Calibri"/>
          <w:bCs/>
          <w:sz w:val="18"/>
          <w:szCs w:val="18"/>
        </w:rPr>
      </w:pPr>
      <w:r>
        <w:rPr>
          <w:rFonts w:asciiTheme="minorHAnsi" w:hAnsiTheme="minorHAnsi"/>
          <w:sz w:val="18"/>
          <w:szCs w:val="18"/>
        </w:rPr>
        <w:t>Abbreviatio</w:t>
      </w:r>
      <w:r w:rsidR="00437895">
        <w:rPr>
          <w:rFonts w:asciiTheme="minorHAnsi" w:hAnsiTheme="minorHAnsi"/>
          <w:sz w:val="18"/>
          <w:szCs w:val="18"/>
        </w:rPr>
        <w:t>n</w:t>
      </w:r>
      <w:r>
        <w:rPr>
          <w:rFonts w:asciiTheme="minorHAnsi" w:hAnsiTheme="minorHAnsi"/>
          <w:sz w:val="18"/>
          <w:szCs w:val="18"/>
        </w:rPr>
        <w:t xml:space="preserve">s: </w:t>
      </w:r>
      <w:r w:rsidR="00470CE4">
        <w:rPr>
          <w:rFonts w:asciiTheme="minorHAnsi" w:hAnsiTheme="minorHAnsi"/>
          <w:sz w:val="18"/>
          <w:szCs w:val="18"/>
        </w:rPr>
        <w:t>n</w:t>
      </w:r>
      <w:r w:rsidR="00E36EA3">
        <w:rPr>
          <w:rFonts w:asciiTheme="minorHAnsi" w:hAnsiTheme="minorHAnsi"/>
          <w:sz w:val="18"/>
          <w:szCs w:val="18"/>
        </w:rPr>
        <w:t>,</w:t>
      </w:r>
      <w:r w:rsidR="00565546" w:rsidRPr="00A52683">
        <w:rPr>
          <w:rFonts w:asciiTheme="minorHAnsi" w:hAnsiTheme="minorHAnsi"/>
          <w:sz w:val="18"/>
          <w:szCs w:val="18"/>
        </w:rPr>
        <w:t xml:space="preserve"> Number of studies; N</w:t>
      </w:r>
      <w:r w:rsidR="00E36EA3">
        <w:rPr>
          <w:rFonts w:asciiTheme="minorHAnsi" w:hAnsiTheme="minorHAnsi"/>
          <w:sz w:val="18"/>
          <w:szCs w:val="18"/>
        </w:rPr>
        <w:t>,</w:t>
      </w:r>
      <w:r w:rsidR="00565546" w:rsidRPr="00A52683">
        <w:rPr>
          <w:rFonts w:asciiTheme="minorHAnsi" w:hAnsiTheme="minorHAnsi"/>
          <w:sz w:val="18"/>
          <w:szCs w:val="18"/>
        </w:rPr>
        <w:t xml:space="preserve"> Number of patients</w:t>
      </w:r>
      <w:r w:rsidR="00565546" w:rsidRPr="00A52683">
        <w:rPr>
          <w:rFonts w:ascii="Calibri" w:hAnsi="Calibri" w:cs="Calibri"/>
          <w:bCs/>
          <w:sz w:val="18"/>
          <w:szCs w:val="18"/>
        </w:rPr>
        <w:t xml:space="preserve"> </w:t>
      </w:r>
    </w:p>
    <w:p w:rsidR="00245238" w:rsidRPr="00A52683" w:rsidRDefault="00665CB4" w:rsidP="00A26FF8">
      <w:pPr>
        <w:ind w:hanging="90"/>
        <w:rPr>
          <w:rFonts w:asciiTheme="minorHAnsi" w:hAnsiTheme="minorHAnsi" w:cstheme="minorHAnsi"/>
          <w:sz w:val="18"/>
          <w:szCs w:val="18"/>
        </w:rPr>
      </w:pPr>
      <w:proofErr w:type="gramStart"/>
      <w:r w:rsidRPr="00AC081E">
        <w:rPr>
          <w:rFonts w:ascii="Calibri" w:hAnsi="Calibri" w:cs="Calibri"/>
          <w:bCs/>
          <w:sz w:val="18"/>
          <w:szCs w:val="18"/>
          <w:vertAlign w:val="superscript"/>
        </w:rPr>
        <w:t>a</w:t>
      </w:r>
      <w:proofErr w:type="gramEnd"/>
      <w:r>
        <w:rPr>
          <w:rFonts w:ascii="Calibri" w:hAnsi="Calibri" w:cs="Calibri"/>
          <w:bCs/>
          <w:sz w:val="18"/>
          <w:szCs w:val="18"/>
          <w:vertAlign w:val="superscript"/>
        </w:rPr>
        <w:t xml:space="preserve"> </w:t>
      </w:r>
      <w:r w:rsidRPr="00A52683">
        <w:rPr>
          <w:rFonts w:ascii="Calibri" w:hAnsi="Calibri" w:cs="Calibri"/>
          <w:bCs/>
          <w:sz w:val="18"/>
          <w:szCs w:val="18"/>
        </w:rPr>
        <w:t>Most</w:t>
      </w:r>
      <w:r w:rsidR="000809E3" w:rsidRPr="00A52683">
        <w:rPr>
          <w:rFonts w:ascii="Calibri" w:hAnsi="Calibri" w:cs="Calibri"/>
          <w:bCs/>
          <w:sz w:val="18"/>
          <w:szCs w:val="18"/>
        </w:rPr>
        <w:t xml:space="preserve"> studies contained primarily adenocarcinoma patients</w:t>
      </w:r>
    </w:p>
    <w:tbl>
      <w:tblPr>
        <w:tblpPr w:leftFromText="180" w:rightFromText="180" w:vertAnchor="text" w:tblpY="1"/>
        <w:tblOverlap w:val="never"/>
        <w:tblW w:w="7840" w:type="dxa"/>
        <w:tblInd w:w="93" w:type="dxa"/>
        <w:tblLook w:val="04A0"/>
      </w:tblPr>
      <w:tblGrid>
        <w:gridCol w:w="2920"/>
        <w:gridCol w:w="960"/>
        <w:gridCol w:w="2000"/>
        <w:gridCol w:w="1960"/>
      </w:tblGrid>
      <w:tr w:rsidR="00245238" w:rsidRPr="00A21238" w:rsidTr="00350536">
        <w:trPr>
          <w:trHeight w:val="270"/>
        </w:trPr>
        <w:tc>
          <w:tcPr>
            <w:tcW w:w="7840" w:type="dxa"/>
            <w:gridSpan w:val="4"/>
            <w:tcBorders>
              <w:top w:val="nil"/>
              <w:left w:val="nil"/>
              <w:bottom w:val="nil"/>
              <w:right w:val="nil"/>
            </w:tcBorders>
            <w:shd w:val="clear" w:color="auto" w:fill="auto"/>
            <w:noWrap/>
            <w:vAlign w:val="bottom"/>
            <w:hideMark/>
          </w:tcPr>
          <w:p w:rsidR="00147866" w:rsidRPr="00A21238" w:rsidRDefault="00147866" w:rsidP="00350536">
            <w:pPr>
              <w:rPr>
                <w:rFonts w:ascii="Century Gothic" w:hAnsi="Century Gothic"/>
                <w:b/>
                <w:bCs/>
                <w:sz w:val="20"/>
                <w:szCs w:val="20"/>
              </w:rPr>
            </w:pPr>
          </w:p>
          <w:p w:rsidR="00147866" w:rsidRPr="00A21238" w:rsidRDefault="00147866" w:rsidP="00350536">
            <w:pPr>
              <w:rPr>
                <w:rFonts w:ascii="Century Gothic" w:hAnsi="Century Gothic"/>
                <w:b/>
                <w:bCs/>
                <w:sz w:val="20"/>
                <w:szCs w:val="20"/>
              </w:rPr>
            </w:pPr>
          </w:p>
          <w:p w:rsidR="00147866" w:rsidRPr="00A21238" w:rsidRDefault="00147866" w:rsidP="00350536">
            <w:pPr>
              <w:rPr>
                <w:rFonts w:ascii="Century Gothic" w:hAnsi="Century Gothic"/>
                <w:b/>
                <w:bCs/>
                <w:sz w:val="20"/>
                <w:szCs w:val="20"/>
              </w:rPr>
            </w:pPr>
          </w:p>
          <w:p w:rsidR="00147866" w:rsidRPr="00A21238" w:rsidRDefault="00147866" w:rsidP="00350536">
            <w:pPr>
              <w:rPr>
                <w:rFonts w:ascii="Century Gothic" w:hAnsi="Century Gothic"/>
                <w:b/>
                <w:bCs/>
                <w:sz w:val="20"/>
                <w:szCs w:val="20"/>
              </w:rPr>
            </w:pPr>
          </w:p>
          <w:p w:rsidR="00147866" w:rsidRPr="00A21238" w:rsidRDefault="00147866" w:rsidP="00350536">
            <w:pPr>
              <w:rPr>
                <w:rFonts w:ascii="Century Gothic" w:hAnsi="Century Gothic"/>
                <w:b/>
                <w:bCs/>
                <w:sz w:val="20"/>
                <w:szCs w:val="20"/>
              </w:rPr>
            </w:pPr>
          </w:p>
          <w:p w:rsidR="00147866" w:rsidRPr="00A21238" w:rsidRDefault="00147866" w:rsidP="00350536">
            <w:pPr>
              <w:rPr>
                <w:rFonts w:ascii="Century Gothic" w:hAnsi="Century Gothic"/>
                <w:b/>
                <w:bCs/>
                <w:sz w:val="20"/>
                <w:szCs w:val="20"/>
              </w:rPr>
            </w:pPr>
          </w:p>
          <w:p w:rsidR="00147866" w:rsidRPr="00A21238" w:rsidRDefault="00147866" w:rsidP="00350536">
            <w:pPr>
              <w:rPr>
                <w:rFonts w:ascii="Century Gothic" w:hAnsi="Century Gothic"/>
                <w:b/>
                <w:bCs/>
                <w:sz w:val="20"/>
                <w:szCs w:val="20"/>
              </w:rPr>
            </w:pPr>
          </w:p>
          <w:p w:rsidR="00147866" w:rsidRPr="00A21238" w:rsidRDefault="00147866" w:rsidP="00350536">
            <w:pPr>
              <w:rPr>
                <w:rFonts w:ascii="Century Gothic" w:hAnsi="Century Gothic"/>
                <w:b/>
                <w:bCs/>
                <w:sz w:val="20"/>
                <w:szCs w:val="20"/>
              </w:rPr>
            </w:pPr>
          </w:p>
          <w:p w:rsidR="00147866" w:rsidRPr="00A21238" w:rsidRDefault="00147866" w:rsidP="00350536">
            <w:pPr>
              <w:rPr>
                <w:rFonts w:ascii="Century Gothic" w:hAnsi="Century Gothic"/>
                <w:b/>
                <w:bCs/>
                <w:sz w:val="20"/>
                <w:szCs w:val="20"/>
              </w:rPr>
            </w:pPr>
          </w:p>
          <w:p w:rsidR="00147866" w:rsidRPr="00A21238" w:rsidRDefault="00147866" w:rsidP="00350536">
            <w:pPr>
              <w:rPr>
                <w:rFonts w:ascii="Century Gothic" w:hAnsi="Century Gothic"/>
                <w:b/>
                <w:bCs/>
                <w:sz w:val="20"/>
                <w:szCs w:val="20"/>
              </w:rPr>
            </w:pPr>
          </w:p>
          <w:p w:rsidR="00147866" w:rsidRPr="00A21238" w:rsidRDefault="00147866" w:rsidP="00350536">
            <w:pPr>
              <w:rPr>
                <w:rFonts w:ascii="Century Gothic" w:hAnsi="Century Gothic"/>
                <w:b/>
                <w:bCs/>
                <w:sz w:val="20"/>
                <w:szCs w:val="20"/>
              </w:rPr>
            </w:pPr>
          </w:p>
          <w:p w:rsidR="00147866" w:rsidRDefault="00147866" w:rsidP="00350536">
            <w:pPr>
              <w:rPr>
                <w:rFonts w:ascii="Century Gothic" w:hAnsi="Century Gothic"/>
                <w:b/>
                <w:bCs/>
                <w:sz w:val="20"/>
                <w:szCs w:val="20"/>
              </w:rPr>
            </w:pPr>
          </w:p>
          <w:p w:rsidR="009739E3" w:rsidRDefault="009739E3" w:rsidP="00350536">
            <w:pPr>
              <w:rPr>
                <w:rFonts w:ascii="Century Gothic" w:hAnsi="Century Gothic"/>
                <w:b/>
                <w:bCs/>
                <w:sz w:val="20"/>
                <w:szCs w:val="20"/>
              </w:rPr>
            </w:pPr>
          </w:p>
          <w:p w:rsidR="009739E3" w:rsidRPr="00A21238" w:rsidRDefault="009739E3" w:rsidP="00350536">
            <w:pPr>
              <w:rPr>
                <w:rFonts w:ascii="Century Gothic" w:hAnsi="Century Gothic"/>
                <w:b/>
                <w:bCs/>
                <w:sz w:val="20"/>
                <w:szCs w:val="20"/>
              </w:rPr>
            </w:pPr>
          </w:p>
          <w:p w:rsidR="00245238" w:rsidRPr="00A52683" w:rsidRDefault="00245238" w:rsidP="00350536">
            <w:pPr>
              <w:rPr>
                <w:b/>
                <w:bCs/>
                <w:sz w:val="22"/>
                <w:szCs w:val="22"/>
              </w:rPr>
            </w:pPr>
            <w:r w:rsidRPr="00A52683">
              <w:rPr>
                <w:b/>
                <w:bCs/>
                <w:sz w:val="22"/>
                <w:szCs w:val="22"/>
              </w:rPr>
              <w:lastRenderedPageBreak/>
              <w:t>Table 1</w:t>
            </w:r>
            <w:r w:rsidR="00A566D8" w:rsidRPr="00A52683">
              <w:rPr>
                <w:b/>
                <w:bCs/>
                <w:sz w:val="22"/>
                <w:szCs w:val="22"/>
              </w:rPr>
              <w:t>3</w:t>
            </w:r>
            <w:r w:rsidRPr="00A52683">
              <w:rPr>
                <w:b/>
                <w:bCs/>
                <w:sz w:val="22"/>
                <w:szCs w:val="22"/>
              </w:rPr>
              <w:t xml:space="preserve">:  Pooled analyses of factors associated with </w:t>
            </w:r>
            <w:r w:rsidRPr="00A52683">
              <w:rPr>
                <w:b/>
                <w:bCs/>
                <w:i/>
                <w:sz w:val="22"/>
                <w:szCs w:val="22"/>
              </w:rPr>
              <w:t>ALK</w:t>
            </w:r>
            <w:r w:rsidRPr="00A52683">
              <w:rPr>
                <w:b/>
                <w:bCs/>
                <w:sz w:val="22"/>
                <w:szCs w:val="22"/>
              </w:rPr>
              <w:t xml:space="preserve"> rearrangement status in NSCLC patients</w:t>
            </w:r>
          </w:p>
        </w:tc>
      </w:tr>
      <w:tr w:rsidR="00245238" w:rsidRPr="00A21238" w:rsidTr="00350536">
        <w:trPr>
          <w:trHeight w:val="855"/>
        </w:trPr>
        <w:tc>
          <w:tcPr>
            <w:tcW w:w="2920" w:type="dxa"/>
            <w:tcBorders>
              <w:top w:val="nil"/>
              <w:left w:val="nil"/>
              <w:bottom w:val="nil"/>
              <w:right w:val="nil"/>
            </w:tcBorders>
            <w:shd w:val="clear" w:color="auto" w:fill="auto"/>
            <w:hideMark/>
          </w:tcPr>
          <w:p w:rsidR="00245238" w:rsidRPr="00A21238" w:rsidRDefault="00245238" w:rsidP="00350536">
            <w:pPr>
              <w:rPr>
                <w:rFonts w:ascii="Calibri" w:hAnsi="Calibri" w:cs="Calibri"/>
                <w:b/>
                <w:bCs/>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5238" w:rsidRPr="00A21238" w:rsidRDefault="00245238" w:rsidP="00350536">
            <w:pPr>
              <w:jc w:val="center"/>
              <w:rPr>
                <w:rFonts w:ascii="Calibri" w:hAnsi="Calibri" w:cs="Calibri"/>
                <w:b/>
                <w:bCs/>
                <w:sz w:val="20"/>
                <w:szCs w:val="20"/>
              </w:rPr>
            </w:pPr>
            <w:r w:rsidRPr="00A21238">
              <w:rPr>
                <w:rFonts w:ascii="Calibri" w:hAnsi="Calibri" w:cs="Calibri"/>
                <w:b/>
                <w:bCs/>
                <w:sz w:val="20"/>
                <w:szCs w:val="20"/>
              </w:rPr>
              <w:t>n (N)</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245238" w:rsidRPr="00A21238" w:rsidRDefault="00245238" w:rsidP="00350536">
            <w:pPr>
              <w:jc w:val="center"/>
              <w:rPr>
                <w:rFonts w:ascii="Calibri" w:hAnsi="Calibri" w:cs="Calibri"/>
                <w:b/>
                <w:bCs/>
                <w:sz w:val="20"/>
                <w:szCs w:val="20"/>
              </w:rPr>
            </w:pPr>
            <w:r w:rsidRPr="00A21238">
              <w:rPr>
                <w:rFonts w:ascii="Calibri" w:hAnsi="Calibri" w:cs="Calibri"/>
                <w:b/>
                <w:bCs/>
                <w:i/>
                <w:iCs/>
                <w:sz w:val="20"/>
                <w:szCs w:val="20"/>
              </w:rPr>
              <w:t xml:space="preserve">ALK </w:t>
            </w:r>
            <w:r w:rsidRPr="00A21238">
              <w:rPr>
                <w:rFonts w:ascii="Calibri" w:hAnsi="Calibri" w:cs="Calibri"/>
                <w:b/>
                <w:bCs/>
                <w:sz w:val="20"/>
                <w:szCs w:val="20"/>
              </w:rPr>
              <w:t>rearrangement R</w:t>
            </w:r>
            <w:r w:rsidR="008258B0">
              <w:rPr>
                <w:rFonts w:ascii="Calibri" w:hAnsi="Calibri" w:cs="Calibri"/>
                <w:b/>
                <w:bCs/>
                <w:sz w:val="20"/>
                <w:szCs w:val="20"/>
              </w:rPr>
              <w:t>R</w:t>
            </w:r>
            <w:r w:rsidRPr="00A21238">
              <w:rPr>
                <w:rFonts w:ascii="Calibri" w:hAnsi="Calibri" w:cs="Calibri"/>
                <w:b/>
                <w:bCs/>
                <w:sz w:val="20"/>
                <w:szCs w:val="20"/>
              </w:rPr>
              <w:t xml:space="preserve"> </w:t>
            </w:r>
            <w:r w:rsidR="008258B0">
              <w:rPr>
                <w:rFonts w:ascii="Calibri" w:hAnsi="Calibri" w:cs="Calibri"/>
                <w:b/>
                <w:bCs/>
                <w:sz w:val="20"/>
                <w:szCs w:val="20"/>
              </w:rPr>
              <w:t>[</w:t>
            </w:r>
            <w:r w:rsidRPr="00A21238">
              <w:rPr>
                <w:rFonts w:ascii="Calibri" w:hAnsi="Calibri" w:cs="Calibri"/>
                <w:b/>
                <w:bCs/>
                <w:sz w:val="20"/>
                <w:szCs w:val="20"/>
              </w:rPr>
              <w:t>95%CI</w:t>
            </w:r>
            <w:r w:rsidR="008258B0">
              <w:rPr>
                <w:rFonts w:ascii="Calibri" w:hAnsi="Calibri" w:cs="Calibri"/>
                <w:b/>
                <w:bCs/>
                <w:sz w:val="20"/>
                <w:szCs w:val="20"/>
              </w:rPr>
              <w:t>]</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245238" w:rsidRPr="00A21238" w:rsidRDefault="00F60EE8" w:rsidP="00350536">
            <w:pPr>
              <w:jc w:val="center"/>
              <w:rPr>
                <w:rFonts w:ascii="Calibri" w:hAnsi="Calibri" w:cs="Calibri"/>
                <w:b/>
                <w:bCs/>
                <w:sz w:val="20"/>
                <w:szCs w:val="20"/>
              </w:rPr>
            </w:pPr>
            <w:r w:rsidRPr="00A21238">
              <w:rPr>
                <w:rFonts w:ascii="Calibri" w:hAnsi="Calibri" w:cs="Calibri"/>
                <w:b/>
                <w:bCs/>
                <w:i/>
                <w:sz w:val="20"/>
                <w:szCs w:val="20"/>
              </w:rPr>
              <w:t>P</w:t>
            </w:r>
            <w:r w:rsidR="00245238" w:rsidRPr="00A21238">
              <w:rPr>
                <w:rFonts w:ascii="Calibri" w:hAnsi="Calibri" w:cs="Calibri"/>
                <w:b/>
                <w:bCs/>
                <w:sz w:val="20"/>
                <w:szCs w:val="20"/>
              </w:rPr>
              <w:t>-value</w:t>
            </w:r>
          </w:p>
        </w:tc>
      </w:tr>
      <w:tr w:rsidR="00245238" w:rsidRPr="00A21238" w:rsidTr="00350536">
        <w:trPr>
          <w:trHeight w:val="270"/>
        </w:trPr>
        <w:tc>
          <w:tcPr>
            <w:tcW w:w="2920" w:type="dxa"/>
            <w:tcBorders>
              <w:top w:val="single" w:sz="4" w:space="0" w:color="auto"/>
              <w:left w:val="single" w:sz="4" w:space="0" w:color="auto"/>
              <w:bottom w:val="single" w:sz="4" w:space="0" w:color="auto"/>
              <w:right w:val="single" w:sz="4" w:space="0" w:color="auto"/>
            </w:tcBorders>
            <w:shd w:val="clear" w:color="auto" w:fill="auto"/>
            <w:hideMark/>
          </w:tcPr>
          <w:p w:rsidR="00245238" w:rsidRPr="005A5595" w:rsidRDefault="00245238" w:rsidP="00350536">
            <w:pPr>
              <w:rPr>
                <w:rFonts w:ascii="Calibri" w:hAnsi="Calibri" w:cs="Calibri"/>
                <w:b/>
                <w:sz w:val="20"/>
                <w:szCs w:val="20"/>
              </w:rPr>
            </w:pPr>
            <w:r w:rsidRPr="005A5595">
              <w:rPr>
                <w:rFonts w:ascii="Calibri" w:hAnsi="Calibri" w:cs="Calibri"/>
                <w:b/>
                <w:sz w:val="20"/>
                <w:szCs w:val="20"/>
              </w:rPr>
              <w:t>Smoking</w:t>
            </w:r>
          </w:p>
        </w:tc>
        <w:tc>
          <w:tcPr>
            <w:tcW w:w="960" w:type="dxa"/>
            <w:tcBorders>
              <w:top w:val="nil"/>
              <w:left w:val="nil"/>
              <w:bottom w:val="single" w:sz="4" w:space="0" w:color="auto"/>
              <w:right w:val="single" w:sz="4" w:space="0" w:color="auto"/>
            </w:tcBorders>
            <w:shd w:val="clear" w:color="auto" w:fill="auto"/>
            <w:vAlign w:val="bottom"/>
            <w:hideMark/>
          </w:tcPr>
          <w:p w:rsidR="00245238" w:rsidRPr="00A21238" w:rsidRDefault="00245238" w:rsidP="00350536">
            <w:pPr>
              <w:jc w:val="center"/>
              <w:rPr>
                <w:rFonts w:ascii="Calibri" w:hAnsi="Calibri" w:cs="Calibri"/>
                <w:sz w:val="20"/>
                <w:szCs w:val="20"/>
              </w:rPr>
            </w:pPr>
          </w:p>
        </w:tc>
        <w:tc>
          <w:tcPr>
            <w:tcW w:w="2000" w:type="dxa"/>
            <w:tcBorders>
              <w:top w:val="nil"/>
              <w:left w:val="nil"/>
              <w:bottom w:val="single" w:sz="4" w:space="0" w:color="auto"/>
              <w:right w:val="single" w:sz="4" w:space="0" w:color="auto"/>
            </w:tcBorders>
            <w:shd w:val="clear" w:color="auto" w:fill="auto"/>
            <w:noWrap/>
            <w:vAlign w:val="bottom"/>
            <w:hideMark/>
          </w:tcPr>
          <w:p w:rsidR="00245238" w:rsidRPr="00A21238" w:rsidRDefault="00245238" w:rsidP="00350536">
            <w:pPr>
              <w:jc w:val="center"/>
              <w:rPr>
                <w:rFonts w:ascii="Century Gothic" w:hAnsi="Century Gothic"/>
                <w:sz w:val="20"/>
                <w:szCs w:val="20"/>
              </w:rPr>
            </w:pPr>
          </w:p>
        </w:tc>
        <w:tc>
          <w:tcPr>
            <w:tcW w:w="1960" w:type="dxa"/>
            <w:tcBorders>
              <w:top w:val="nil"/>
              <w:left w:val="nil"/>
              <w:bottom w:val="single" w:sz="4" w:space="0" w:color="auto"/>
              <w:right w:val="single" w:sz="4" w:space="0" w:color="auto"/>
            </w:tcBorders>
            <w:shd w:val="clear" w:color="auto" w:fill="auto"/>
            <w:noWrap/>
            <w:vAlign w:val="bottom"/>
            <w:hideMark/>
          </w:tcPr>
          <w:p w:rsidR="00245238" w:rsidRPr="00A21238" w:rsidRDefault="00245238" w:rsidP="00350536">
            <w:pPr>
              <w:jc w:val="center"/>
              <w:rPr>
                <w:rFonts w:ascii="Century Gothic" w:hAnsi="Century Gothic"/>
                <w:sz w:val="20"/>
                <w:szCs w:val="20"/>
              </w:rPr>
            </w:pPr>
          </w:p>
        </w:tc>
      </w:tr>
      <w:tr w:rsidR="00245238" w:rsidRPr="00A21238" w:rsidTr="00350536">
        <w:trPr>
          <w:trHeight w:val="270"/>
        </w:trPr>
        <w:tc>
          <w:tcPr>
            <w:tcW w:w="2920" w:type="dxa"/>
            <w:tcBorders>
              <w:top w:val="nil"/>
              <w:left w:val="single" w:sz="4" w:space="0" w:color="auto"/>
              <w:bottom w:val="single" w:sz="4" w:space="0" w:color="auto"/>
              <w:right w:val="single" w:sz="4" w:space="0" w:color="auto"/>
            </w:tcBorders>
            <w:shd w:val="clear" w:color="auto" w:fill="auto"/>
            <w:hideMark/>
          </w:tcPr>
          <w:p w:rsidR="00245238" w:rsidRPr="005A5595" w:rsidRDefault="00245238" w:rsidP="005A5595">
            <w:pPr>
              <w:ind w:firstLineChars="200" w:firstLine="402"/>
              <w:rPr>
                <w:rFonts w:ascii="Symbol" w:hAnsi="Symbol"/>
                <w:b/>
                <w:sz w:val="20"/>
                <w:szCs w:val="20"/>
              </w:rPr>
            </w:pPr>
            <w:r w:rsidRPr="005A5595">
              <w:rPr>
                <w:rFonts w:ascii="Calibri" w:hAnsi="Calibri" w:cs="Calibri"/>
                <w:b/>
                <w:sz w:val="20"/>
                <w:szCs w:val="20"/>
              </w:rPr>
              <w:t>Never</w:t>
            </w:r>
            <w:r w:rsidR="0002496E" w:rsidRPr="005A5595">
              <w:rPr>
                <w:rFonts w:ascii="Calibri" w:hAnsi="Calibri" w:cs="Calibri"/>
                <w:b/>
                <w:noProof/>
                <w:sz w:val="20"/>
                <w:szCs w:val="20"/>
                <w:vertAlign w:val="superscript"/>
              </w:rPr>
              <w:t>57, 59, 61</w:t>
            </w:r>
            <w:r w:rsidRPr="005A5595">
              <w:rPr>
                <w:rFonts w:ascii="Calibri" w:hAnsi="Calibri" w:cs="Calibri"/>
                <w:b/>
                <w:sz w:val="20"/>
                <w:szCs w:val="20"/>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245238" w:rsidRPr="00A21238" w:rsidRDefault="00245238" w:rsidP="00350536">
            <w:pPr>
              <w:jc w:val="center"/>
              <w:rPr>
                <w:rFonts w:ascii="Calibri" w:hAnsi="Calibri" w:cs="Calibri"/>
                <w:sz w:val="20"/>
                <w:szCs w:val="20"/>
              </w:rPr>
            </w:pPr>
            <w:r w:rsidRPr="00A21238">
              <w:rPr>
                <w:rFonts w:ascii="Calibri" w:hAnsi="Calibri" w:cs="Calibri"/>
                <w:sz w:val="20"/>
                <w:szCs w:val="20"/>
              </w:rPr>
              <w:t>3(361)</w:t>
            </w:r>
          </w:p>
        </w:tc>
        <w:tc>
          <w:tcPr>
            <w:tcW w:w="2000" w:type="dxa"/>
            <w:tcBorders>
              <w:top w:val="nil"/>
              <w:left w:val="nil"/>
              <w:bottom w:val="single" w:sz="4" w:space="0" w:color="auto"/>
              <w:right w:val="single" w:sz="4" w:space="0" w:color="auto"/>
            </w:tcBorders>
            <w:shd w:val="clear" w:color="auto" w:fill="auto"/>
            <w:noWrap/>
            <w:vAlign w:val="bottom"/>
            <w:hideMark/>
          </w:tcPr>
          <w:p w:rsidR="00245238" w:rsidRPr="00A21238" w:rsidRDefault="00FA0738" w:rsidP="00350536">
            <w:pPr>
              <w:jc w:val="center"/>
              <w:rPr>
                <w:rFonts w:ascii="Calibri" w:hAnsi="Calibri" w:cs="Calibri"/>
                <w:sz w:val="20"/>
                <w:szCs w:val="20"/>
              </w:rPr>
            </w:pPr>
            <w:r w:rsidRPr="00A21238">
              <w:rPr>
                <w:rFonts w:ascii="Calibri" w:hAnsi="Calibri" w:cs="Calibri"/>
                <w:sz w:val="20"/>
                <w:szCs w:val="20"/>
              </w:rPr>
              <w:t>2.81 [1.14, 6.89]</w:t>
            </w:r>
          </w:p>
        </w:tc>
        <w:tc>
          <w:tcPr>
            <w:tcW w:w="1960" w:type="dxa"/>
            <w:tcBorders>
              <w:top w:val="nil"/>
              <w:left w:val="nil"/>
              <w:bottom w:val="single" w:sz="4" w:space="0" w:color="auto"/>
              <w:right w:val="single" w:sz="4" w:space="0" w:color="auto"/>
            </w:tcBorders>
            <w:shd w:val="clear" w:color="auto" w:fill="auto"/>
            <w:noWrap/>
            <w:vAlign w:val="bottom"/>
            <w:hideMark/>
          </w:tcPr>
          <w:p w:rsidR="00245238" w:rsidRPr="00A21238" w:rsidRDefault="00F60EE8" w:rsidP="00350536">
            <w:pPr>
              <w:jc w:val="center"/>
              <w:rPr>
                <w:rFonts w:ascii="Calibri" w:hAnsi="Calibri" w:cs="Calibri"/>
                <w:sz w:val="20"/>
                <w:szCs w:val="20"/>
              </w:rPr>
            </w:pPr>
            <w:r w:rsidRPr="00A21238">
              <w:rPr>
                <w:rFonts w:ascii="Calibri" w:hAnsi="Calibri" w:cs="Calibri"/>
                <w:i/>
                <w:sz w:val="20"/>
                <w:szCs w:val="20"/>
              </w:rPr>
              <w:t>P</w:t>
            </w:r>
            <w:r w:rsidR="00FA0738" w:rsidRPr="00A21238">
              <w:rPr>
                <w:rFonts w:ascii="Calibri" w:hAnsi="Calibri" w:cs="Calibri"/>
                <w:sz w:val="20"/>
                <w:szCs w:val="20"/>
              </w:rPr>
              <w:t>=.02</w:t>
            </w:r>
          </w:p>
        </w:tc>
      </w:tr>
      <w:tr w:rsidR="00245238" w:rsidRPr="00A21238" w:rsidTr="00350536">
        <w:trPr>
          <w:trHeight w:val="270"/>
        </w:trPr>
        <w:tc>
          <w:tcPr>
            <w:tcW w:w="2920" w:type="dxa"/>
            <w:tcBorders>
              <w:top w:val="nil"/>
              <w:left w:val="single" w:sz="4" w:space="0" w:color="auto"/>
              <w:bottom w:val="single" w:sz="4" w:space="0" w:color="auto"/>
              <w:right w:val="single" w:sz="4" w:space="0" w:color="auto"/>
            </w:tcBorders>
            <w:shd w:val="clear" w:color="auto" w:fill="auto"/>
            <w:hideMark/>
          </w:tcPr>
          <w:p w:rsidR="00245238" w:rsidRPr="005A5595" w:rsidRDefault="00245238" w:rsidP="005A5595">
            <w:pPr>
              <w:ind w:firstLineChars="200" w:firstLine="402"/>
              <w:rPr>
                <w:rFonts w:ascii="Symbol" w:hAnsi="Symbol"/>
                <w:b/>
                <w:sz w:val="20"/>
                <w:szCs w:val="20"/>
              </w:rPr>
            </w:pPr>
            <w:r w:rsidRPr="005A5595">
              <w:rPr>
                <w:rFonts w:ascii="Calibri" w:hAnsi="Calibri" w:cs="Calibri"/>
                <w:b/>
                <w:sz w:val="20"/>
                <w:szCs w:val="20"/>
              </w:rPr>
              <w:t>Ever</w:t>
            </w:r>
            <w:r w:rsidR="0002496E" w:rsidRPr="005A5595">
              <w:rPr>
                <w:rFonts w:ascii="Calibri" w:hAnsi="Calibri" w:cs="Calibri"/>
                <w:b/>
                <w:noProof/>
                <w:sz w:val="20"/>
                <w:szCs w:val="20"/>
                <w:vertAlign w:val="superscript"/>
              </w:rPr>
              <w:t>57, 59, 61</w:t>
            </w:r>
            <w:r w:rsidRPr="005A5595">
              <w:rPr>
                <w:rFonts w:ascii="Calibri" w:hAnsi="Calibri" w:cs="Calibri"/>
                <w:b/>
                <w:sz w:val="20"/>
                <w:szCs w:val="20"/>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245238" w:rsidRPr="00A21238" w:rsidRDefault="00245238" w:rsidP="00350536">
            <w:pPr>
              <w:jc w:val="center"/>
              <w:rPr>
                <w:rFonts w:ascii="Calibri" w:hAnsi="Calibri" w:cs="Calibri"/>
                <w:sz w:val="20"/>
                <w:szCs w:val="20"/>
              </w:rPr>
            </w:pPr>
            <w:r w:rsidRPr="00A21238">
              <w:rPr>
                <w:rFonts w:ascii="Calibri" w:hAnsi="Calibri" w:cs="Calibri"/>
                <w:sz w:val="20"/>
                <w:szCs w:val="20"/>
              </w:rPr>
              <w:t>3(672)</w:t>
            </w:r>
          </w:p>
        </w:tc>
        <w:tc>
          <w:tcPr>
            <w:tcW w:w="2000" w:type="dxa"/>
            <w:tcBorders>
              <w:top w:val="nil"/>
              <w:left w:val="nil"/>
              <w:bottom w:val="single" w:sz="4" w:space="0" w:color="auto"/>
              <w:right w:val="single" w:sz="4" w:space="0" w:color="auto"/>
            </w:tcBorders>
            <w:shd w:val="clear" w:color="auto" w:fill="auto"/>
            <w:noWrap/>
            <w:vAlign w:val="bottom"/>
            <w:hideMark/>
          </w:tcPr>
          <w:p w:rsidR="00245238" w:rsidRPr="00A21238" w:rsidRDefault="00245238" w:rsidP="00350536">
            <w:pPr>
              <w:jc w:val="center"/>
              <w:rPr>
                <w:rFonts w:ascii="Calibri" w:hAnsi="Calibri" w:cs="Calibri"/>
                <w:sz w:val="20"/>
                <w:szCs w:val="20"/>
              </w:rPr>
            </w:pPr>
          </w:p>
        </w:tc>
        <w:tc>
          <w:tcPr>
            <w:tcW w:w="1960" w:type="dxa"/>
            <w:tcBorders>
              <w:top w:val="nil"/>
              <w:left w:val="nil"/>
              <w:bottom w:val="single" w:sz="4" w:space="0" w:color="auto"/>
              <w:right w:val="single" w:sz="4" w:space="0" w:color="auto"/>
            </w:tcBorders>
            <w:shd w:val="clear" w:color="auto" w:fill="auto"/>
            <w:noWrap/>
            <w:vAlign w:val="bottom"/>
            <w:hideMark/>
          </w:tcPr>
          <w:p w:rsidR="00245238" w:rsidRPr="00A21238" w:rsidRDefault="00245238" w:rsidP="00350536">
            <w:pPr>
              <w:jc w:val="center"/>
              <w:rPr>
                <w:rFonts w:ascii="Calibri" w:hAnsi="Calibri" w:cs="Calibri"/>
                <w:sz w:val="20"/>
                <w:szCs w:val="20"/>
              </w:rPr>
            </w:pPr>
          </w:p>
        </w:tc>
      </w:tr>
      <w:tr w:rsidR="00245238" w:rsidRPr="00A21238" w:rsidTr="00350536">
        <w:trPr>
          <w:trHeight w:val="270"/>
        </w:trPr>
        <w:tc>
          <w:tcPr>
            <w:tcW w:w="2920" w:type="dxa"/>
            <w:tcBorders>
              <w:top w:val="nil"/>
              <w:left w:val="single" w:sz="4" w:space="0" w:color="auto"/>
              <w:bottom w:val="single" w:sz="4" w:space="0" w:color="auto"/>
              <w:right w:val="single" w:sz="4" w:space="0" w:color="auto"/>
            </w:tcBorders>
            <w:shd w:val="clear" w:color="auto" w:fill="auto"/>
            <w:hideMark/>
          </w:tcPr>
          <w:p w:rsidR="00245238" w:rsidRPr="005A5595" w:rsidRDefault="00245238" w:rsidP="00350536">
            <w:pPr>
              <w:rPr>
                <w:rFonts w:ascii="Calibri" w:hAnsi="Calibri" w:cs="Calibri"/>
                <w:b/>
                <w:sz w:val="20"/>
                <w:szCs w:val="20"/>
              </w:rPr>
            </w:pPr>
            <w:r w:rsidRPr="005A5595">
              <w:rPr>
                <w:rFonts w:ascii="Calibri" w:hAnsi="Calibri" w:cs="Calibri"/>
                <w:b/>
                <w:sz w:val="20"/>
                <w:szCs w:val="20"/>
              </w:rPr>
              <w:t xml:space="preserve">Histology </w:t>
            </w:r>
          </w:p>
        </w:tc>
        <w:tc>
          <w:tcPr>
            <w:tcW w:w="960" w:type="dxa"/>
            <w:tcBorders>
              <w:top w:val="nil"/>
              <w:left w:val="nil"/>
              <w:bottom w:val="single" w:sz="4" w:space="0" w:color="auto"/>
              <w:right w:val="single" w:sz="4" w:space="0" w:color="auto"/>
            </w:tcBorders>
            <w:shd w:val="clear" w:color="auto" w:fill="auto"/>
            <w:vAlign w:val="bottom"/>
            <w:hideMark/>
          </w:tcPr>
          <w:p w:rsidR="00245238" w:rsidRPr="00A21238" w:rsidRDefault="00245238" w:rsidP="00350536">
            <w:pPr>
              <w:jc w:val="center"/>
              <w:rPr>
                <w:rFonts w:ascii="Calibri" w:hAnsi="Calibri" w:cs="Calibri"/>
                <w:sz w:val="20"/>
                <w:szCs w:val="20"/>
              </w:rPr>
            </w:pP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245238" w:rsidRPr="00A21238" w:rsidRDefault="00245238" w:rsidP="00350536">
            <w:pPr>
              <w:jc w:val="center"/>
              <w:rPr>
                <w:rFonts w:ascii="Calibri" w:hAnsi="Calibri" w:cs="Calibri"/>
                <w:sz w:val="20"/>
                <w:szCs w:val="2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245238" w:rsidRPr="00A21238" w:rsidRDefault="00245238" w:rsidP="00350536">
            <w:pPr>
              <w:jc w:val="center"/>
              <w:rPr>
                <w:rFonts w:ascii="Calibri" w:hAnsi="Calibri" w:cs="Calibri"/>
                <w:sz w:val="20"/>
                <w:szCs w:val="20"/>
              </w:rPr>
            </w:pPr>
          </w:p>
        </w:tc>
      </w:tr>
      <w:tr w:rsidR="00245238" w:rsidRPr="00A21238" w:rsidTr="00350536">
        <w:trPr>
          <w:trHeight w:val="270"/>
        </w:trPr>
        <w:tc>
          <w:tcPr>
            <w:tcW w:w="2920" w:type="dxa"/>
            <w:tcBorders>
              <w:top w:val="nil"/>
              <w:left w:val="single" w:sz="4" w:space="0" w:color="auto"/>
              <w:bottom w:val="single" w:sz="4" w:space="0" w:color="auto"/>
              <w:right w:val="single" w:sz="4" w:space="0" w:color="auto"/>
            </w:tcBorders>
            <w:shd w:val="clear" w:color="auto" w:fill="auto"/>
            <w:hideMark/>
          </w:tcPr>
          <w:p w:rsidR="00245238" w:rsidRPr="005A5595" w:rsidRDefault="00245238" w:rsidP="005A5595">
            <w:pPr>
              <w:ind w:firstLineChars="200" w:firstLine="402"/>
              <w:rPr>
                <w:rFonts w:ascii="Symbol" w:hAnsi="Symbol"/>
                <w:b/>
                <w:sz w:val="20"/>
                <w:szCs w:val="20"/>
              </w:rPr>
            </w:pPr>
            <w:r w:rsidRPr="005A5595">
              <w:rPr>
                <w:rFonts w:ascii="Calibri" w:hAnsi="Calibri" w:cs="Calibri"/>
                <w:b/>
                <w:sz w:val="20"/>
                <w:szCs w:val="20"/>
              </w:rPr>
              <w:t>Adenocarcinoma</w:t>
            </w:r>
            <w:r w:rsidR="0002496E" w:rsidRPr="005A5595">
              <w:rPr>
                <w:rFonts w:ascii="Calibri" w:hAnsi="Calibri" w:cs="Calibri"/>
                <w:b/>
                <w:noProof/>
                <w:sz w:val="20"/>
                <w:szCs w:val="20"/>
                <w:vertAlign w:val="superscript"/>
              </w:rPr>
              <w:t>56, 58, 59, 61, 64, 65</w:t>
            </w:r>
          </w:p>
        </w:tc>
        <w:tc>
          <w:tcPr>
            <w:tcW w:w="960" w:type="dxa"/>
            <w:tcBorders>
              <w:top w:val="nil"/>
              <w:left w:val="nil"/>
              <w:bottom w:val="single" w:sz="4" w:space="0" w:color="auto"/>
              <w:right w:val="single" w:sz="4" w:space="0" w:color="auto"/>
            </w:tcBorders>
            <w:shd w:val="clear" w:color="auto" w:fill="auto"/>
            <w:vAlign w:val="bottom"/>
            <w:hideMark/>
          </w:tcPr>
          <w:p w:rsidR="00245238" w:rsidRPr="00A21238" w:rsidRDefault="008727CD" w:rsidP="00350536">
            <w:pPr>
              <w:jc w:val="center"/>
              <w:rPr>
                <w:rFonts w:ascii="Calibri" w:hAnsi="Calibri" w:cs="Calibri"/>
                <w:sz w:val="20"/>
                <w:szCs w:val="20"/>
              </w:rPr>
            </w:pPr>
            <w:r w:rsidRPr="00A21238">
              <w:rPr>
                <w:rFonts w:ascii="Calibri" w:hAnsi="Calibri" w:cs="Calibri"/>
                <w:sz w:val="20"/>
                <w:szCs w:val="20"/>
              </w:rPr>
              <w:t>6(1028</w:t>
            </w:r>
            <w:r w:rsidR="00245238" w:rsidRPr="00A21238">
              <w:rPr>
                <w:rFonts w:ascii="Calibri" w:hAnsi="Calibri" w:cs="Calibri"/>
                <w:sz w:val="20"/>
                <w:szCs w:val="20"/>
              </w:rPr>
              <w:t>)</w:t>
            </w:r>
          </w:p>
        </w:tc>
        <w:tc>
          <w:tcPr>
            <w:tcW w:w="2000" w:type="dxa"/>
            <w:tcBorders>
              <w:top w:val="nil"/>
              <w:left w:val="nil"/>
              <w:bottom w:val="single" w:sz="4" w:space="0" w:color="auto"/>
              <w:right w:val="single" w:sz="4" w:space="0" w:color="auto"/>
            </w:tcBorders>
            <w:shd w:val="clear" w:color="auto" w:fill="auto"/>
            <w:noWrap/>
            <w:vAlign w:val="bottom"/>
            <w:hideMark/>
          </w:tcPr>
          <w:p w:rsidR="00245238" w:rsidRPr="00A21238" w:rsidRDefault="00FA0738" w:rsidP="00350536">
            <w:pPr>
              <w:jc w:val="center"/>
              <w:rPr>
                <w:rFonts w:ascii="Calibri" w:hAnsi="Calibri" w:cs="Calibri"/>
                <w:sz w:val="20"/>
                <w:szCs w:val="20"/>
              </w:rPr>
            </w:pPr>
            <w:r w:rsidRPr="00A21238">
              <w:rPr>
                <w:rFonts w:ascii="Calibri" w:hAnsi="Calibri" w:cs="Calibri"/>
                <w:sz w:val="20"/>
                <w:szCs w:val="20"/>
              </w:rPr>
              <w:t>5.47 [1.82, 16.47]</w:t>
            </w:r>
          </w:p>
        </w:tc>
        <w:tc>
          <w:tcPr>
            <w:tcW w:w="1960" w:type="dxa"/>
            <w:tcBorders>
              <w:top w:val="nil"/>
              <w:left w:val="nil"/>
              <w:bottom w:val="single" w:sz="4" w:space="0" w:color="auto"/>
              <w:right w:val="single" w:sz="4" w:space="0" w:color="auto"/>
            </w:tcBorders>
            <w:shd w:val="clear" w:color="auto" w:fill="auto"/>
            <w:noWrap/>
            <w:vAlign w:val="bottom"/>
            <w:hideMark/>
          </w:tcPr>
          <w:p w:rsidR="00245238" w:rsidRPr="00A21238" w:rsidRDefault="00F60EE8" w:rsidP="00350536">
            <w:pPr>
              <w:jc w:val="center"/>
              <w:rPr>
                <w:rFonts w:ascii="Calibri" w:hAnsi="Calibri" w:cs="Calibri"/>
                <w:sz w:val="20"/>
                <w:szCs w:val="20"/>
              </w:rPr>
            </w:pPr>
            <w:r w:rsidRPr="00A21238">
              <w:rPr>
                <w:rFonts w:ascii="Calibri" w:hAnsi="Calibri" w:cs="Calibri"/>
                <w:i/>
                <w:sz w:val="20"/>
                <w:szCs w:val="20"/>
              </w:rPr>
              <w:t>P</w:t>
            </w:r>
            <w:r w:rsidR="00FA0738" w:rsidRPr="00A21238">
              <w:rPr>
                <w:rFonts w:ascii="Calibri" w:hAnsi="Calibri" w:cs="Calibri"/>
                <w:sz w:val="20"/>
                <w:szCs w:val="20"/>
              </w:rPr>
              <w:t>=.002</w:t>
            </w:r>
          </w:p>
        </w:tc>
      </w:tr>
      <w:tr w:rsidR="00245238" w:rsidRPr="00A21238" w:rsidTr="00350536">
        <w:trPr>
          <w:trHeight w:val="270"/>
        </w:trPr>
        <w:tc>
          <w:tcPr>
            <w:tcW w:w="2920" w:type="dxa"/>
            <w:tcBorders>
              <w:top w:val="nil"/>
              <w:left w:val="single" w:sz="4" w:space="0" w:color="auto"/>
              <w:bottom w:val="single" w:sz="4" w:space="0" w:color="auto"/>
              <w:right w:val="single" w:sz="4" w:space="0" w:color="auto"/>
            </w:tcBorders>
            <w:shd w:val="clear" w:color="auto" w:fill="auto"/>
            <w:hideMark/>
          </w:tcPr>
          <w:p w:rsidR="00245238" w:rsidRPr="005A5595" w:rsidRDefault="00245238" w:rsidP="005A5595">
            <w:pPr>
              <w:ind w:firstLineChars="200" w:firstLine="402"/>
              <w:rPr>
                <w:rFonts w:ascii="Symbol" w:hAnsi="Symbol"/>
                <w:b/>
                <w:sz w:val="20"/>
                <w:szCs w:val="20"/>
              </w:rPr>
            </w:pPr>
            <w:r w:rsidRPr="005A5595">
              <w:rPr>
                <w:rFonts w:ascii="Calibri" w:hAnsi="Calibri" w:cs="Calibri"/>
                <w:b/>
                <w:sz w:val="20"/>
                <w:szCs w:val="20"/>
              </w:rPr>
              <w:t>Squamous</w:t>
            </w:r>
            <w:r w:rsidR="0002496E" w:rsidRPr="005A5595">
              <w:rPr>
                <w:rFonts w:ascii="Calibri" w:hAnsi="Calibri" w:cs="Calibri"/>
                <w:b/>
                <w:noProof/>
                <w:sz w:val="20"/>
                <w:szCs w:val="20"/>
                <w:vertAlign w:val="superscript"/>
              </w:rPr>
              <w:t>56, 58, 59, 61, 64, 65</w:t>
            </w:r>
            <w:r w:rsidRPr="005A5595">
              <w:rPr>
                <w:rFonts w:ascii="Calibri" w:hAnsi="Calibri" w:cs="Calibri"/>
                <w:b/>
                <w:sz w:val="20"/>
                <w:szCs w:val="20"/>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245238" w:rsidRPr="00A21238" w:rsidRDefault="00245238" w:rsidP="00350536">
            <w:pPr>
              <w:jc w:val="center"/>
              <w:rPr>
                <w:rFonts w:ascii="Calibri" w:hAnsi="Calibri" w:cs="Calibri"/>
                <w:sz w:val="20"/>
                <w:szCs w:val="20"/>
              </w:rPr>
            </w:pPr>
            <w:r w:rsidRPr="00A21238">
              <w:rPr>
                <w:rFonts w:ascii="Calibri" w:hAnsi="Calibri" w:cs="Calibri"/>
                <w:sz w:val="20"/>
                <w:szCs w:val="20"/>
              </w:rPr>
              <w:t>6(523)</w:t>
            </w:r>
          </w:p>
        </w:tc>
        <w:tc>
          <w:tcPr>
            <w:tcW w:w="2000" w:type="dxa"/>
            <w:tcBorders>
              <w:top w:val="nil"/>
              <w:left w:val="nil"/>
              <w:bottom w:val="single" w:sz="4" w:space="0" w:color="auto"/>
              <w:right w:val="single" w:sz="4" w:space="0" w:color="auto"/>
            </w:tcBorders>
            <w:shd w:val="clear" w:color="auto" w:fill="auto"/>
            <w:noWrap/>
            <w:vAlign w:val="bottom"/>
            <w:hideMark/>
          </w:tcPr>
          <w:p w:rsidR="00245238" w:rsidRPr="00A21238" w:rsidRDefault="00245238" w:rsidP="00350536">
            <w:pPr>
              <w:jc w:val="center"/>
              <w:rPr>
                <w:rFonts w:ascii="Century Gothic" w:hAnsi="Century Gothic"/>
                <w:sz w:val="20"/>
                <w:szCs w:val="20"/>
              </w:rPr>
            </w:pPr>
          </w:p>
        </w:tc>
        <w:tc>
          <w:tcPr>
            <w:tcW w:w="1960" w:type="dxa"/>
            <w:tcBorders>
              <w:top w:val="nil"/>
              <w:left w:val="nil"/>
              <w:bottom w:val="single" w:sz="4" w:space="0" w:color="auto"/>
              <w:right w:val="single" w:sz="4" w:space="0" w:color="auto"/>
            </w:tcBorders>
            <w:shd w:val="clear" w:color="auto" w:fill="auto"/>
            <w:noWrap/>
            <w:vAlign w:val="bottom"/>
            <w:hideMark/>
          </w:tcPr>
          <w:p w:rsidR="00245238" w:rsidRPr="00A21238" w:rsidRDefault="00245238" w:rsidP="00350536">
            <w:pPr>
              <w:jc w:val="center"/>
              <w:rPr>
                <w:rFonts w:ascii="Century Gothic" w:hAnsi="Century Gothic"/>
                <w:sz w:val="20"/>
                <w:szCs w:val="20"/>
              </w:rPr>
            </w:pPr>
          </w:p>
        </w:tc>
      </w:tr>
    </w:tbl>
    <w:p w:rsidR="008258B0" w:rsidRPr="00A52683" w:rsidRDefault="00350536" w:rsidP="008258B0">
      <w:pPr>
        <w:rPr>
          <w:rFonts w:asciiTheme="minorHAnsi" w:hAnsiTheme="minorHAnsi" w:cstheme="minorHAnsi"/>
          <w:sz w:val="18"/>
          <w:szCs w:val="18"/>
        </w:rPr>
      </w:pPr>
      <w:r>
        <w:rPr>
          <w:rFonts w:asciiTheme="minorHAnsi" w:hAnsiTheme="minorHAnsi"/>
          <w:sz w:val="18"/>
          <w:szCs w:val="18"/>
        </w:rPr>
        <w:br w:type="textWrapping" w:clear="all"/>
      </w:r>
      <w:r w:rsidR="00437895">
        <w:rPr>
          <w:rFonts w:asciiTheme="minorHAnsi" w:hAnsiTheme="minorHAnsi"/>
          <w:sz w:val="18"/>
          <w:szCs w:val="18"/>
        </w:rPr>
        <w:t xml:space="preserve">Abbreviations: </w:t>
      </w:r>
      <w:r w:rsidR="00565546" w:rsidRPr="00A52683">
        <w:rPr>
          <w:rFonts w:asciiTheme="minorHAnsi" w:hAnsiTheme="minorHAnsi"/>
          <w:sz w:val="18"/>
          <w:szCs w:val="18"/>
        </w:rPr>
        <w:t>n</w:t>
      </w:r>
      <w:r w:rsidR="00470CE4">
        <w:rPr>
          <w:rFonts w:asciiTheme="minorHAnsi" w:hAnsiTheme="minorHAnsi"/>
          <w:sz w:val="18"/>
          <w:szCs w:val="18"/>
        </w:rPr>
        <w:t>,</w:t>
      </w:r>
      <w:r w:rsidR="00565546" w:rsidRPr="00A52683">
        <w:rPr>
          <w:rFonts w:asciiTheme="minorHAnsi" w:hAnsiTheme="minorHAnsi"/>
          <w:sz w:val="18"/>
          <w:szCs w:val="18"/>
        </w:rPr>
        <w:t xml:space="preserve"> Number of studies; N</w:t>
      </w:r>
      <w:r w:rsidR="00470CE4">
        <w:rPr>
          <w:rFonts w:asciiTheme="minorHAnsi" w:hAnsiTheme="minorHAnsi"/>
          <w:sz w:val="18"/>
          <w:szCs w:val="18"/>
        </w:rPr>
        <w:t>,</w:t>
      </w:r>
      <w:r w:rsidR="00565546" w:rsidRPr="00A52683">
        <w:rPr>
          <w:rFonts w:asciiTheme="minorHAnsi" w:hAnsiTheme="minorHAnsi"/>
          <w:sz w:val="18"/>
          <w:szCs w:val="18"/>
        </w:rPr>
        <w:t xml:space="preserve"> Number of patients</w:t>
      </w:r>
      <w:r w:rsidR="00FA6D42" w:rsidRPr="00A52683">
        <w:rPr>
          <w:rFonts w:asciiTheme="minorHAnsi" w:hAnsiTheme="minorHAnsi"/>
          <w:sz w:val="18"/>
          <w:szCs w:val="18"/>
        </w:rPr>
        <w:t>; CI</w:t>
      </w:r>
      <w:r w:rsidR="00470CE4">
        <w:rPr>
          <w:rFonts w:asciiTheme="minorHAnsi" w:hAnsiTheme="minorHAnsi"/>
          <w:sz w:val="18"/>
          <w:szCs w:val="18"/>
        </w:rPr>
        <w:t>,</w:t>
      </w:r>
      <w:r w:rsidR="00FA6D42" w:rsidRPr="00A52683">
        <w:rPr>
          <w:rFonts w:asciiTheme="minorHAnsi" w:hAnsiTheme="minorHAnsi"/>
          <w:sz w:val="18"/>
          <w:szCs w:val="18"/>
        </w:rPr>
        <w:t xml:space="preserve"> Confidence interval;</w:t>
      </w:r>
      <w:r w:rsidR="008258B0" w:rsidRPr="00A52683">
        <w:rPr>
          <w:rFonts w:asciiTheme="minorHAnsi" w:hAnsiTheme="minorHAnsi"/>
          <w:sz w:val="18"/>
          <w:szCs w:val="18"/>
        </w:rPr>
        <w:t xml:space="preserve"> RR</w:t>
      </w:r>
      <w:r w:rsidR="00470CE4">
        <w:rPr>
          <w:rFonts w:asciiTheme="minorHAnsi" w:hAnsiTheme="minorHAnsi"/>
          <w:sz w:val="18"/>
          <w:szCs w:val="18"/>
        </w:rPr>
        <w:t>,</w:t>
      </w:r>
      <w:r w:rsidR="008258B0" w:rsidRPr="00A52683">
        <w:rPr>
          <w:rFonts w:asciiTheme="minorHAnsi" w:hAnsiTheme="minorHAnsi" w:cstheme="minorHAnsi"/>
          <w:b/>
          <w:sz w:val="18"/>
          <w:szCs w:val="18"/>
        </w:rPr>
        <w:t xml:space="preserve"> </w:t>
      </w:r>
      <w:r w:rsidR="008258B0" w:rsidRPr="00A52683">
        <w:rPr>
          <w:rFonts w:asciiTheme="minorHAnsi" w:hAnsiTheme="minorHAnsi" w:cstheme="minorHAnsi"/>
          <w:sz w:val="18"/>
          <w:szCs w:val="18"/>
        </w:rPr>
        <w:t xml:space="preserve">Relative Risk, Mantel-Haenszel, </w:t>
      </w:r>
    </w:p>
    <w:p w:rsidR="008258B0" w:rsidRPr="00A52683" w:rsidRDefault="008258B0" w:rsidP="008258B0">
      <w:pPr>
        <w:rPr>
          <w:rFonts w:ascii="Calibri" w:hAnsi="Calibri" w:cs="Calibri"/>
          <w:bCs/>
          <w:sz w:val="18"/>
          <w:szCs w:val="18"/>
        </w:rPr>
      </w:pPr>
      <w:r w:rsidRPr="00A52683">
        <w:rPr>
          <w:rFonts w:asciiTheme="minorHAnsi" w:hAnsiTheme="minorHAnsi" w:cstheme="minorHAnsi"/>
          <w:sz w:val="18"/>
          <w:szCs w:val="18"/>
        </w:rPr>
        <w:t>Random Effects model, [95% CI]</w:t>
      </w:r>
    </w:p>
    <w:p w:rsidR="004F0577" w:rsidRPr="00A21238" w:rsidRDefault="004F0577" w:rsidP="003D11EB">
      <w:pPr>
        <w:rPr>
          <w:rFonts w:asciiTheme="minorHAnsi" w:hAnsiTheme="minorHAnsi" w:cstheme="minorHAnsi"/>
          <w:sz w:val="18"/>
          <w:szCs w:val="18"/>
        </w:rPr>
      </w:pPr>
    </w:p>
    <w:p w:rsidR="004F0577" w:rsidRPr="00A21238" w:rsidRDefault="004F0577" w:rsidP="003D11EB">
      <w:pPr>
        <w:rPr>
          <w:rFonts w:asciiTheme="minorHAnsi" w:hAnsiTheme="minorHAnsi" w:cs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D5CF0" w:rsidRPr="00A52683" w:rsidTr="00327473">
        <w:tc>
          <w:tcPr>
            <w:tcW w:w="5000" w:type="pct"/>
            <w:vAlign w:val="center"/>
          </w:tcPr>
          <w:p w:rsidR="00EC7A10" w:rsidRPr="00A52683" w:rsidRDefault="004D5CF0" w:rsidP="00EC7A10">
            <w:pPr>
              <w:rPr>
                <w:b/>
                <w:sz w:val="22"/>
                <w:szCs w:val="22"/>
              </w:rPr>
            </w:pPr>
            <w:r w:rsidRPr="00A52683">
              <w:rPr>
                <w:b/>
                <w:sz w:val="22"/>
                <w:szCs w:val="22"/>
              </w:rPr>
              <w:t>1.2</w:t>
            </w:r>
            <w:r w:rsidR="00791C7B" w:rsidRPr="00A52683">
              <w:rPr>
                <w:b/>
                <w:sz w:val="22"/>
                <w:szCs w:val="22"/>
              </w:rPr>
              <w:t xml:space="preserve">: </w:t>
            </w:r>
            <w:r w:rsidRPr="00A52683">
              <w:rPr>
                <w:b/>
                <w:sz w:val="22"/>
                <w:szCs w:val="22"/>
              </w:rPr>
              <w:t xml:space="preserve"> Recommendation:  </w:t>
            </w:r>
            <w:r w:rsidR="00EC7A10" w:rsidRPr="00A52683">
              <w:rPr>
                <w:b/>
                <w:sz w:val="22"/>
                <w:szCs w:val="22"/>
              </w:rPr>
              <w:t xml:space="preserve">In the setting of </w:t>
            </w:r>
            <w:proofErr w:type="gramStart"/>
            <w:r w:rsidR="00EC7A10" w:rsidRPr="00A52683">
              <w:rPr>
                <w:b/>
                <w:sz w:val="22"/>
                <w:szCs w:val="22"/>
              </w:rPr>
              <w:t>lung cancer resection specimens</w:t>
            </w:r>
            <w:proofErr w:type="gramEnd"/>
            <w:r w:rsidR="00EC7A10" w:rsidRPr="00A52683">
              <w:rPr>
                <w:b/>
                <w:sz w:val="22"/>
                <w:szCs w:val="22"/>
              </w:rPr>
              <w:t xml:space="preserve">, </w:t>
            </w:r>
            <w:r w:rsidR="00EC7A10" w:rsidRPr="00A52683">
              <w:rPr>
                <w:b/>
                <w:i/>
                <w:sz w:val="22"/>
                <w:szCs w:val="22"/>
              </w:rPr>
              <w:t>EGFR</w:t>
            </w:r>
            <w:r w:rsidR="00EC7A10" w:rsidRPr="00A52683">
              <w:rPr>
                <w:b/>
                <w:sz w:val="22"/>
                <w:szCs w:val="22"/>
              </w:rPr>
              <w:t xml:space="preserve"> and </w:t>
            </w:r>
            <w:r w:rsidR="00EC7A10" w:rsidRPr="00A52683">
              <w:rPr>
                <w:b/>
                <w:i/>
                <w:sz w:val="22"/>
                <w:szCs w:val="22"/>
              </w:rPr>
              <w:t>ALK</w:t>
            </w:r>
            <w:r w:rsidR="00EC7A10" w:rsidRPr="00A52683">
              <w:rPr>
                <w:b/>
                <w:sz w:val="22"/>
                <w:szCs w:val="22"/>
              </w:rPr>
              <w:t xml:space="preserve"> testing is recommended for adenocarcinomas and mixed lung cancers with an adenocarcinoma component, regardless of histologic grade. In the </w:t>
            </w:r>
            <w:r w:rsidR="00C353FE">
              <w:rPr>
                <w:b/>
                <w:sz w:val="22"/>
                <w:szCs w:val="22"/>
              </w:rPr>
              <w:t xml:space="preserve">setting of fully excised lung cancer </w:t>
            </w:r>
            <w:r w:rsidR="00EC7A10" w:rsidRPr="00A52683">
              <w:rPr>
                <w:b/>
                <w:sz w:val="22"/>
                <w:szCs w:val="22"/>
              </w:rPr>
              <w:t xml:space="preserve">specimens, </w:t>
            </w:r>
            <w:r w:rsidR="00EC7A10" w:rsidRPr="00A52683">
              <w:rPr>
                <w:b/>
                <w:i/>
                <w:sz w:val="22"/>
                <w:szCs w:val="22"/>
              </w:rPr>
              <w:t>EGFR</w:t>
            </w:r>
            <w:r w:rsidR="00EC7A10" w:rsidRPr="00A52683">
              <w:rPr>
                <w:b/>
                <w:sz w:val="22"/>
                <w:szCs w:val="22"/>
              </w:rPr>
              <w:t xml:space="preserve"> and </w:t>
            </w:r>
            <w:r w:rsidR="00EC7A10" w:rsidRPr="00A52683">
              <w:rPr>
                <w:b/>
                <w:i/>
                <w:sz w:val="22"/>
                <w:szCs w:val="22"/>
              </w:rPr>
              <w:t>ALK</w:t>
            </w:r>
            <w:r w:rsidR="00EC7A10" w:rsidRPr="00A52683">
              <w:rPr>
                <w:b/>
                <w:sz w:val="22"/>
                <w:szCs w:val="22"/>
              </w:rPr>
              <w:t xml:space="preserve"> testing </w:t>
            </w:r>
            <w:proofErr w:type="gramStart"/>
            <w:r w:rsidR="00EC7A10" w:rsidRPr="00A52683">
              <w:rPr>
                <w:b/>
                <w:sz w:val="22"/>
                <w:szCs w:val="22"/>
              </w:rPr>
              <w:t>is not recommended</w:t>
            </w:r>
            <w:proofErr w:type="gramEnd"/>
            <w:r w:rsidR="00EC7A10" w:rsidRPr="00A52683">
              <w:rPr>
                <w:b/>
                <w:sz w:val="22"/>
                <w:szCs w:val="22"/>
              </w:rPr>
              <w:t xml:space="preserve"> in lung cancers that lack any adenocarcinoma component, such as </w:t>
            </w:r>
            <w:r w:rsidR="002E6042" w:rsidRPr="00A52683">
              <w:rPr>
                <w:b/>
                <w:sz w:val="22"/>
                <w:szCs w:val="22"/>
              </w:rPr>
              <w:t>“</w:t>
            </w:r>
            <w:r w:rsidR="00EC7A10" w:rsidRPr="00A52683">
              <w:rPr>
                <w:b/>
                <w:sz w:val="22"/>
                <w:szCs w:val="22"/>
              </w:rPr>
              <w:t>pure</w:t>
            </w:r>
            <w:r w:rsidR="002E6042" w:rsidRPr="00A52683">
              <w:rPr>
                <w:b/>
                <w:sz w:val="22"/>
                <w:szCs w:val="22"/>
              </w:rPr>
              <w:t>”</w:t>
            </w:r>
            <w:r w:rsidR="009739E3">
              <w:rPr>
                <w:b/>
                <w:sz w:val="22"/>
                <w:szCs w:val="22"/>
              </w:rPr>
              <w:t xml:space="preserve"> squamous cell carcinomas, </w:t>
            </w:r>
            <w:r w:rsidR="002E6042" w:rsidRPr="00A52683">
              <w:rPr>
                <w:b/>
                <w:sz w:val="22"/>
                <w:szCs w:val="22"/>
              </w:rPr>
              <w:t>“</w:t>
            </w:r>
            <w:r w:rsidR="00EC7A10" w:rsidRPr="00A52683">
              <w:rPr>
                <w:b/>
                <w:sz w:val="22"/>
                <w:szCs w:val="22"/>
              </w:rPr>
              <w:t>pure</w:t>
            </w:r>
            <w:r w:rsidR="002E6042" w:rsidRPr="00A52683">
              <w:rPr>
                <w:b/>
                <w:sz w:val="22"/>
                <w:szCs w:val="22"/>
              </w:rPr>
              <w:t>”</w:t>
            </w:r>
            <w:r w:rsidR="00EC7A10" w:rsidRPr="00A52683">
              <w:rPr>
                <w:b/>
                <w:sz w:val="22"/>
                <w:szCs w:val="22"/>
              </w:rPr>
              <w:t xml:space="preserve"> small cell carcinomas</w:t>
            </w:r>
            <w:r w:rsidR="00373B5C">
              <w:rPr>
                <w:b/>
                <w:sz w:val="22"/>
                <w:szCs w:val="22"/>
              </w:rPr>
              <w:t>, or large cell carcinomas lacking any immunohistochemistry (IHC) evidence of adenocarcinoma differentiation</w:t>
            </w:r>
            <w:r w:rsidR="00EC7A10" w:rsidRPr="00A52683">
              <w:rPr>
                <w:b/>
                <w:sz w:val="22"/>
                <w:szCs w:val="22"/>
              </w:rPr>
              <w:t xml:space="preserve">. </w:t>
            </w:r>
          </w:p>
        </w:tc>
      </w:tr>
      <w:tr w:rsidR="004D5CF0" w:rsidRPr="00A52683" w:rsidTr="00327473">
        <w:tc>
          <w:tcPr>
            <w:tcW w:w="5000" w:type="pct"/>
            <w:vAlign w:val="center"/>
          </w:tcPr>
          <w:p w:rsidR="004D5CF0" w:rsidRPr="00A52683" w:rsidRDefault="004D5CF0" w:rsidP="004D5CF0">
            <w:pPr>
              <w:rPr>
                <w:sz w:val="22"/>
                <w:szCs w:val="22"/>
              </w:rPr>
            </w:pPr>
            <w:r w:rsidRPr="00A52683">
              <w:rPr>
                <w:b/>
                <w:bCs/>
                <w:sz w:val="22"/>
                <w:szCs w:val="22"/>
              </w:rPr>
              <w:t xml:space="preserve">Evidence base: </w:t>
            </w:r>
            <w:r w:rsidR="00822363" w:rsidRPr="00A52683">
              <w:rPr>
                <w:b/>
                <w:bCs/>
                <w:sz w:val="22"/>
                <w:szCs w:val="22"/>
              </w:rPr>
              <w:t>A</w:t>
            </w:r>
          </w:p>
        </w:tc>
      </w:tr>
      <w:tr w:rsidR="004D5CF0" w:rsidRPr="00A52683" w:rsidTr="00327473">
        <w:tc>
          <w:tcPr>
            <w:tcW w:w="5000" w:type="pct"/>
            <w:vAlign w:val="center"/>
          </w:tcPr>
          <w:p w:rsidR="004D5CF0" w:rsidRPr="00A52683" w:rsidRDefault="004D5CF0" w:rsidP="004D5CF0">
            <w:pPr>
              <w:rPr>
                <w:sz w:val="22"/>
                <w:szCs w:val="22"/>
              </w:rPr>
            </w:pPr>
            <w:r w:rsidRPr="00A52683">
              <w:rPr>
                <w:b/>
                <w:bCs/>
                <w:sz w:val="22"/>
                <w:szCs w:val="22"/>
              </w:rPr>
              <w:t xml:space="preserve">Consistency: </w:t>
            </w:r>
            <w:r w:rsidR="00822363" w:rsidRPr="00A52683">
              <w:rPr>
                <w:b/>
                <w:bCs/>
                <w:sz w:val="22"/>
                <w:szCs w:val="22"/>
              </w:rPr>
              <w:t>A</w:t>
            </w:r>
          </w:p>
        </w:tc>
      </w:tr>
      <w:tr w:rsidR="004D5CF0" w:rsidRPr="00A52683" w:rsidTr="00327473">
        <w:tc>
          <w:tcPr>
            <w:tcW w:w="5000" w:type="pct"/>
            <w:vAlign w:val="center"/>
          </w:tcPr>
          <w:p w:rsidR="004D5CF0" w:rsidRPr="00A52683" w:rsidRDefault="004D5CF0" w:rsidP="004D5CF0">
            <w:pPr>
              <w:rPr>
                <w:b/>
                <w:bCs/>
                <w:sz w:val="22"/>
                <w:szCs w:val="22"/>
              </w:rPr>
            </w:pPr>
            <w:r w:rsidRPr="00A52683">
              <w:rPr>
                <w:b/>
                <w:bCs/>
                <w:sz w:val="22"/>
                <w:szCs w:val="22"/>
              </w:rPr>
              <w:t xml:space="preserve">Clinical impact: </w:t>
            </w:r>
            <w:r w:rsidR="009620DB" w:rsidRPr="00A52683">
              <w:rPr>
                <w:b/>
                <w:bCs/>
                <w:sz w:val="22"/>
                <w:szCs w:val="22"/>
              </w:rPr>
              <w:t>A</w:t>
            </w:r>
          </w:p>
        </w:tc>
      </w:tr>
      <w:tr w:rsidR="004D5CF0" w:rsidRPr="00A52683" w:rsidTr="00327473">
        <w:tc>
          <w:tcPr>
            <w:tcW w:w="5000" w:type="pct"/>
            <w:vAlign w:val="center"/>
          </w:tcPr>
          <w:p w:rsidR="004D5CF0" w:rsidRPr="00A52683" w:rsidRDefault="004D5CF0" w:rsidP="004D5CF0">
            <w:pPr>
              <w:rPr>
                <w:b/>
                <w:bCs/>
                <w:sz w:val="22"/>
                <w:szCs w:val="22"/>
              </w:rPr>
            </w:pPr>
            <w:proofErr w:type="spellStart"/>
            <w:r w:rsidRPr="00A52683">
              <w:rPr>
                <w:b/>
                <w:bCs/>
                <w:sz w:val="22"/>
                <w:szCs w:val="22"/>
              </w:rPr>
              <w:t>Generalizability</w:t>
            </w:r>
            <w:proofErr w:type="spellEnd"/>
            <w:r w:rsidRPr="00A52683">
              <w:rPr>
                <w:b/>
                <w:bCs/>
                <w:sz w:val="22"/>
                <w:szCs w:val="22"/>
              </w:rPr>
              <w:t xml:space="preserve">: </w:t>
            </w:r>
            <w:r w:rsidR="009620DB" w:rsidRPr="00A52683">
              <w:rPr>
                <w:b/>
                <w:bCs/>
                <w:sz w:val="22"/>
                <w:szCs w:val="22"/>
              </w:rPr>
              <w:t>A</w:t>
            </w:r>
          </w:p>
        </w:tc>
      </w:tr>
      <w:tr w:rsidR="004D5CF0" w:rsidRPr="00A52683" w:rsidTr="00327473">
        <w:tc>
          <w:tcPr>
            <w:tcW w:w="5000" w:type="pct"/>
            <w:vAlign w:val="center"/>
          </w:tcPr>
          <w:p w:rsidR="004D5CF0" w:rsidRPr="00A52683" w:rsidRDefault="004D5CF0" w:rsidP="004D5CF0">
            <w:pPr>
              <w:rPr>
                <w:b/>
                <w:bCs/>
                <w:sz w:val="22"/>
                <w:szCs w:val="22"/>
              </w:rPr>
            </w:pPr>
            <w:r w:rsidRPr="00A52683">
              <w:rPr>
                <w:b/>
                <w:bCs/>
                <w:sz w:val="22"/>
                <w:szCs w:val="22"/>
              </w:rPr>
              <w:t xml:space="preserve">Applicability: </w:t>
            </w:r>
            <w:r w:rsidR="009620DB" w:rsidRPr="00A52683">
              <w:rPr>
                <w:b/>
                <w:bCs/>
                <w:sz w:val="22"/>
                <w:szCs w:val="22"/>
              </w:rPr>
              <w:t>A</w:t>
            </w:r>
          </w:p>
        </w:tc>
      </w:tr>
      <w:tr w:rsidR="004D5CF0" w:rsidRPr="00A52683" w:rsidTr="00327473">
        <w:tc>
          <w:tcPr>
            <w:tcW w:w="5000" w:type="pct"/>
            <w:vAlign w:val="center"/>
          </w:tcPr>
          <w:p w:rsidR="004D5CF0" w:rsidRPr="00A52683" w:rsidRDefault="004D5CF0" w:rsidP="004D5CF0">
            <w:pPr>
              <w:rPr>
                <w:b/>
                <w:bCs/>
                <w:sz w:val="22"/>
                <w:szCs w:val="22"/>
              </w:rPr>
            </w:pPr>
            <w:r w:rsidRPr="00A52683">
              <w:rPr>
                <w:b/>
                <w:sz w:val="22"/>
                <w:szCs w:val="22"/>
              </w:rPr>
              <w:t xml:space="preserve">Overall Grade: </w:t>
            </w:r>
            <w:r w:rsidR="00E428CE" w:rsidRPr="00A52683">
              <w:rPr>
                <w:b/>
                <w:sz w:val="22"/>
                <w:szCs w:val="22"/>
              </w:rPr>
              <w:t>A</w:t>
            </w:r>
          </w:p>
        </w:tc>
      </w:tr>
    </w:tbl>
    <w:p w:rsidR="004D5CF0" w:rsidRPr="00A52683" w:rsidRDefault="004D5CF0" w:rsidP="004D5CF0">
      <w:pPr>
        <w:ind w:left="36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C746C" w:rsidRPr="00A52683" w:rsidTr="00C85F1B">
        <w:tc>
          <w:tcPr>
            <w:tcW w:w="5000" w:type="pct"/>
            <w:vAlign w:val="center"/>
          </w:tcPr>
          <w:p w:rsidR="00AC746C" w:rsidRPr="00A52683" w:rsidRDefault="00AC746C" w:rsidP="00C85F1B">
            <w:pPr>
              <w:rPr>
                <w:b/>
                <w:sz w:val="22"/>
                <w:szCs w:val="22"/>
              </w:rPr>
            </w:pPr>
            <w:r w:rsidRPr="00A52683">
              <w:rPr>
                <w:sz w:val="22"/>
                <w:szCs w:val="22"/>
              </w:rPr>
              <w:br w:type="page"/>
            </w:r>
            <w:r w:rsidRPr="00A52683">
              <w:rPr>
                <w:sz w:val="22"/>
                <w:szCs w:val="22"/>
              </w:rPr>
              <w:br w:type="page"/>
            </w:r>
            <w:r w:rsidRPr="00A52683">
              <w:rPr>
                <w:b/>
                <w:sz w:val="22"/>
                <w:szCs w:val="22"/>
              </w:rPr>
              <w:t xml:space="preserve">1.3 :  Recommendation: In the setting of more limited lung cancer specimens (biopsies, cytology) where an adenocarcinoma component cannot be completely excluded, </w:t>
            </w:r>
            <w:r w:rsidRPr="00A52683">
              <w:rPr>
                <w:b/>
                <w:i/>
                <w:sz w:val="22"/>
                <w:szCs w:val="22"/>
              </w:rPr>
              <w:t>EGFR</w:t>
            </w:r>
            <w:r w:rsidRPr="00A52683">
              <w:rPr>
                <w:b/>
                <w:sz w:val="22"/>
                <w:szCs w:val="22"/>
              </w:rPr>
              <w:t xml:space="preserve"> and </w:t>
            </w:r>
            <w:r w:rsidRPr="00A52683">
              <w:rPr>
                <w:b/>
                <w:i/>
                <w:sz w:val="22"/>
                <w:szCs w:val="22"/>
              </w:rPr>
              <w:t>ALK</w:t>
            </w:r>
            <w:r w:rsidRPr="00A52683">
              <w:rPr>
                <w:b/>
                <w:sz w:val="22"/>
                <w:szCs w:val="22"/>
              </w:rPr>
              <w:t xml:space="preserve"> testing may be performed in cases showing squamous or small cell histology but clinical criteria (eg, young age, lack of smoking history) may be useful in selecting a subset of these samples for testing.</w:t>
            </w:r>
          </w:p>
        </w:tc>
      </w:tr>
      <w:tr w:rsidR="00AC746C" w:rsidRPr="00A52683" w:rsidTr="00C85F1B">
        <w:tc>
          <w:tcPr>
            <w:tcW w:w="5000" w:type="pct"/>
            <w:vAlign w:val="center"/>
          </w:tcPr>
          <w:p w:rsidR="00AC746C" w:rsidRPr="00A52683" w:rsidRDefault="00AC746C" w:rsidP="00C85F1B">
            <w:pPr>
              <w:rPr>
                <w:sz w:val="22"/>
                <w:szCs w:val="22"/>
              </w:rPr>
            </w:pPr>
            <w:r w:rsidRPr="00A52683">
              <w:rPr>
                <w:b/>
                <w:bCs/>
                <w:sz w:val="22"/>
                <w:szCs w:val="22"/>
              </w:rPr>
              <w:t>Evidence base: A</w:t>
            </w:r>
          </w:p>
        </w:tc>
      </w:tr>
      <w:tr w:rsidR="00AC746C" w:rsidRPr="00A52683" w:rsidTr="00C85F1B">
        <w:tc>
          <w:tcPr>
            <w:tcW w:w="5000" w:type="pct"/>
            <w:vAlign w:val="center"/>
          </w:tcPr>
          <w:p w:rsidR="00AC746C" w:rsidRPr="00A52683" w:rsidRDefault="00AC746C" w:rsidP="00C85F1B">
            <w:pPr>
              <w:rPr>
                <w:sz w:val="22"/>
                <w:szCs w:val="22"/>
              </w:rPr>
            </w:pPr>
            <w:r w:rsidRPr="00A52683">
              <w:rPr>
                <w:b/>
                <w:bCs/>
                <w:sz w:val="22"/>
                <w:szCs w:val="22"/>
              </w:rPr>
              <w:t>Consistency: A</w:t>
            </w:r>
          </w:p>
        </w:tc>
      </w:tr>
      <w:tr w:rsidR="00AC746C" w:rsidRPr="00A52683" w:rsidTr="00C85F1B">
        <w:tc>
          <w:tcPr>
            <w:tcW w:w="5000" w:type="pct"/>
            <w:vAlign w:val="center"/>
          </w:tcPr>
          <w:p w:rsidR="00AC746C" w:rsidRPr="00A52683" w:rsidRDefault="00AC746C" w:rsidP="00C85F1B">
            <w:pPr>
              <w:rPr>
                <w:b/>
                <w:bCs/>
                <w:sz w:val="22"/>
                <w:szCs w:val="22"/>
              </w:rPr>
            </w:pPr>
            <w:r w:rsidRPr="00A52683">
              <w:rPr>
                <w:b/>
                <w:bCs/>
                <w:sz w:val="22"/>
                <w:szCs w:val="22"/>
              </w:rPr>
              <w:t>Clinical impact: A</w:t>
            </w:r>
          </w:p>
        </w:tc>
      </w:tr>
      <w:tr w:rsidR="00AC746C" w:rsidRPr="00A52683" w:rsidTr="00C85F1B">
        <w:tc>
          <w:tcPr>
            <w:tcW w:w="5000" w:type="pct"/>
            <w:vAlign w:val="center"/>
          </w:tcPr>
          <w:p w:rsidR="00AC746C" w:rsidRPr="00A52683" w:rsidRDefault="00AC746C" w:rsidP="00C85F1B">
            <w:pPr>
              <w:rPr>
                <w:b/>
                <w:bCs/>
                <w:sz w:val="22"/>
                <w:szCs w:val="22"/>
              </w:rPr>
            </w:pPr>
            <w:proofErr w:type="spellStart"/>
            <w:r w:rsidRPr="00A52683">
              <w:rPr>
                <w:b/>
                <w:bCs/>
                <w:sz w:val="22"/>
                <w:szCs w:val="22"/>
              </w:rPr>
              <w:t>Generalizability</w:t>
            </w:r>
            <w:proofErr w:type="spellEnd"/>
            <w:r w:rsidRPr="00A52683">
              <w:rPr>
                <w:b/>
                <w:bCs/>
                <w:sz w:val="22"/>
                <w:szCs w:val="22"/>
              </w:rPr>
              <w:t>: A</w:t>
            </w:r>
          </w:p>
        </w:tc>
      </w:tr>
      <w:tr w:rsidR="00AC746C" w:rsidRPr="00A52683" w:rsidTr="00C85F1B">
        <w:tc>
          <w:tcPr>
            <w:tcW w:w="5000" w:type="pct"/>
            <w:vAlign w:val="center"/>
          </w:tcPr>
          <w:p w:rsidR="00AC746C" w:rsidRPr="00A52683" w:rsidRDefault="00AC746C" w:rsidP="00C85F1B">
            <w:pPr>
              <w:rPr>
                <w:b/>
                <w:bCs/>
                <w:sz w:val="22"/>
                <w:szCs w:val="22"/>
              </w:rPr>
            </w:pPr>
            <w:r w:rsidRPr="00A52683">
              <w:rPr>
                <w:b/>
                <w:bCs/>
                <w:sz w:val="22"/>
                <w:szCs w:val="22"/>
              </w:rPr>
              <w:t>Applicability: A</w:t>
            </w:r>
          </w:p>
        </w:tc>
      </w:tr>
      <w:tr w:rsidR="00AC746C" w:rsidRPr="00A52683" w:rsidTr="00C85F1B">
        <w:tc>
          <w:tcPr>
            <w:tcW w:w="5000" w:type="pct"/>
            <w:vAlign w:val="center"/>
          </w:tcPr>
          <w:p w:rsidR="00AC746C" w:rsidRPr="00A52683" w:rsidRDefault="00AC746C" w:rsidP="00C85F1B">
            <w:pPr>
              <w:rPr>
                <w:b/>
                <w:bCs/>
                <w:sz w:val="22"/>
                <w:szCs w:val="22"/>
              </w:rPr>
            </w:pPr>
            <w:r w:rsidRPr="00A52683">
              <w:rPr>
                <w:b/>
                <w:sz w:val="22"/>
                <w:szCs w:val="22"/>
              </w:rPr>
              <w:t>Overall Grade: A</w:t>
            </w:r>
          </w:p>
        </w:tc>
      </w:tr>
    </w:tbl>
    <w:p w:rsidR="008727CD" w:rsidRPr="00A21238" w:rsidRDefault="008727CD" w:rsidP="00D966E7">
      <w:pPr>
        <w:rPr>
          <w:rFonts w:asciiTheme="minorHAnsi" w:hAnsiTheme="minorHAnsi" w:cs="Arial"/>
          <w:b/>
        </w:rPr>
      </w:pPr>
    </w:p>
    <w:p w:rsidR="00AB2A10" w:rsidRPr="00A21238" w:rsidRDefault="008727CD" w:rsidP="00D966E7">
      <w:pPr>
        <w:rPr>
          <w:rFonts w:asciiTheme="minorHAnsi" w:hAnsiTheme="minorHAnsi" w:cs="Arial"/>
          <w:b/>
        </w:rPr>
      </w:pPr>
      <w:r w:rsidRPr="00A21238">
        <w:rPr>
          <w:rFonts w:asciiTheme="minorHAnsi" w:hAnsiTheme="minorHAnsi" w:cs="Arial"/>
          <w:b/>
        </w:rPr>
        <w:br w:type="page"/>
      </w:r>
    </w:p>
    <w:p w:rsidR="00D966E7" w:rsidRPr="00A52683" w:rsidRDefault="000E2454" w:rsidP="001353E3">
      <w:pPr>
        <w:rPr>
          <w:b/>
          <w:bCs/>
          <w:sz w:val="22"/>
          <w:szCs w:val="22"/>
        </w:rPr>
      </w:pPr>
      <w:r w:rsidRPr="00A52683">
        <w:rPr>
          <w:b/>
          <w:sz w:val="22"/>
          <w:szCs w:val="22"/>
        </w:rPr>
        <w:lastRenderedPageBreak/>
        <w:t xml:space="preserve">Table </w:t>
      </w:r>
      <w:r w:rsidR="00245238" w:rsidRPr="00A52683">
        <w:rPr>
          <w:b/>
          <w:sz w:val="22"/>
          <w:szCs w:val="22"/>
        </w:rPr>
        <w:t>1</w:t>
      </w:r>
      <w:r w:rsidR="00A566D8" w:rsidRPr="00A52683">
        <w:rPr>
          <w:b/>
          <w:sz w:val="22"/>
          <w:szCs w:val="22"/>
        </w:rPr>
        <w:t>4</w:t>
      </w:r>
      <w:r w:rsidR="00D966E7" w:rsidRPr="00A52683">
        <w:rPr>
          <w:b/>
          <w:sz w:val="22"/>
          <w:szCs w:val="22"/>
        </w:rPr>
        <w:t xml:space="preserve">: </w:t>
      </w:r>
      <w:r w:rsidR="001353E3" w:rsidRPr="00A52683">
        <w:rPr>
          <w:b/>
          <w:bCs/>
          <w:sz w:val="22"/>
          <w:szCs w:val="22"/>
        </w:rPr>
        <w:t xml:space="preserve">Histology in relation to </w:t>
      </w:r>
      <w:r w:rsidR="001353E3" w:rsidRPr="00A52683">
        <w:rPr>
          <w:b/>
          <w:bCs/>
          <w:i/>
          <w:iCs/>
          <w:sz w:val="22"/>
          <w:szCs w:val="22"/>
        </w:rPr>
        <w:t>EGFR</w:t>
      </w:r>
      <w:r w:rsidR="001353E3" w:rsidRPr="00A52683">
        <w:rPr>
          <w:b/>
          <w:bCs/>
          <w:sz w:val="22"/>
          <w:szCs w:val="22"/>
        </w:rPr>
        <w:t xml:space="preserve"> mutation and </w:t>
      </w:r>
      <w:r w:rsidR="001353E3" w:rsidRPr="00A52683">
        <w:rPr>
          <w:b/>
          <w:bCs/>
          <w:i/>
          <w:sz w:val="22"/>
          <w:szCs w:val="22"/>
        </w:rPr>
        <w:t>ALK</w:t>
      </w:r>
      <w:r w:rsidR="001353E3" w:rsidRPr="00A52683">
        <w:rPr>
          <w:b/>
          <w:bCs/>
          <w:sz w:val="22"/>
          <w:szCs w:val="22"/>
        </w:rPr>
        <w:t xml:space="preserve"> rearrangement status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0"/>
        <w:gridCol w:w="2477"/>
        <w:gridCol w:w="1220"/>
        <w:gridCol w:w="1303"/>
        <w:gridCol w:w="946"/>
      </w:tblGrid>
      <w:tr w:rsidR="001353E3" w:rsidRPr="00A21238" w:rsidTr="00314FD6">
        <w:trPr>
          <w:trHeight w:val="341"/>
        </w:trPr>
        <w:tc>
          <w:tcPr>
            <w:tcW w:w="0" w:type="auto"/>
          </w:tcPr>
          <w:p w:rsidR="001353E3" w:rsidRPr="00A21238" w:rsidRDefault="001353E3" w:rsidP="007633D9">
            <w:pPr>
              <w:rPr>
                <w:rFonts w:asciiTheme="minorHAnsi" w:hAnsiTheme="minorHAnsi" w:cs="Arial"/>
                <w:b/>
                <w:sz w:val="20"/>
                <w:szCs w:val="20"/>
              </w:rPr>
            </w:pPr>
          </w:p>
        </w:tc>
        <w:tc>
          <w:tcPr>
            <w:tcW w:w="0" w:type="auto"/>
            <w:vMerge w:val="restart"/>
            <w:vAlign w:val="bottom"/>
          </w:tcPr>
          <w:p w:rsidR="001353E3" w:rsidRPr="00A21238" w:rsidRDefault="001353E3" w:rsidP="00525241">
            <w:pPr>
              <w:jc w:val="center"/>
              <w:rPr>
                <w:rFonts w:asciiTheme="minorHAnsi" w:hAnsiTheme="minorHAnsi" w:cs="Arial"/>
                <w:b/>
                <w:sz w:val="20"/>
                <w:szCs w:val="20"/>
              </w:rPr>
            </w:pPr>
          </w:p>
          <w:p w:rsidR="001353E3" w:rsidRPr="00A21238" w:rsidRDefault="001353E3" w:rsidP="00525241">
            <w:pPr>
              <w:jc w:val="center"/>
              <w:rPr>
                <w:rFonts w:asciiTheme="minorHAnsi" w:hAnsiTheme="minorHAnsi" w:cs="Arial"/>
                <w:b/>
                <w:sz w:val="20"/>
                <w:szCs w:val="20"/>
              </w:rPr>
            </w:pPr>
            <w:r w:rsidRPr="00A21238">
              <w:rPr>
                <w:rFonts w:asciiTheme="minorHAnsi" w:hAnsiTheme="minorHAnsi" w:cs="Arial"/>
                <w:b/>
                <w:i/>
                <w:sz w:val="20"/>
                <w:szCs w:val="20"/>
              </w:rPr>
              <w:t>EGFR</w:t>
            </w:r>
            <w:r w:rsidRPr="00A21238">
              <w:rPr>
                <w:rFonts w:asciiTheme="minorHAnsi" w:hAnsiTheme="minorHAnsi" w:cs="Arial"/>
                <w:b/>
                <w:sz w:val="20"/>
                <w:szCs w:val="20"/>
              </w:rPr>
              <w:t xml:space="preserve"> Mutation Prevalence</w:t>
            </w:r>
          </w:p>
        </w:tc>
        <w:tc>
          <w:tcPr>
            <w:tcW w:w="0" w:type="auto"/>
            <w:vMerge w:val="restart"/>
            <w:vAlign w:val="bottom"/>
          </w:tcPr>
          <w:p w:rsidR="001353E3" w:rsidRPr="00A21238" w:rsidRDefault="001353E3" w:rsidP="00525241">
            <w:pPr>
              <w:jc w:val="center"/>
              <w:rPr>
                <w:rFonts w:asciiTheme="minorHAnsi" w:hAnsiTheme="minorHAnsi" w:cs="Arial"/>
                <w:b/>
                <w:sz w:val="20"/>
                <w:szCs w:val="20"/>
              </w:rPr>
            </w:pPr>
            <w:r w:rsidRPr="00A21238">
              <w:rPr>
                <w:rFonts w:asciiTheme="minorHAnsi" w:hAnsiTheme="minorHAnsi" w:cs="Arial"/>
                <w:b/>
                <w:i/>
                <w:sz w:val="20"/>
                <w:szCs w:val="20"/>
              </w:rPr>
              <w:t>EGFR</w:t>
            </w:r>
            <w:r w:rsidRPr="00A21238">
              <w:rPr>
                <w:rFonts w:asciiTheme="minorHAnsi" w:hAnsiTheme="minorHAnsi" w:cs="Arial"/>
                <w:b/>
                <w:sz w:val="20"/>
                <w:szCs w:val="20"/>
              </w:rPr>
              <w:t xml:space="preserve"> Positive</w:t>
            </w:r>
          </w:p>
        </w:tc>
        <w:tc>
          <w:tcPr>
            <w:tcW w:w="0" w:type="auto"/>
            <w:vMerge w:val="restart"/>
            <w:vAlign w:val="bottom"/>
          </w:tcPr>
          <w:p w:rsidR="001353E3" w:rsidRPr="00A21238" w:rsidRDefault="001353E3" w:rsidP="00525241">
            <w:pPr>
              <w:jc w:val="center"/>
              <w:rPr>
                <w:rFonts w:asciiTheme="minorHAnsi" w:hAnsiTheme="minorHAnsi" w:cs="Arial"/>
                <w:b/>
                <w:sz w:val="20"/>
                <w:szCs w:val="20"/>
              </w:rPr>
            </w:pPr>
            <w:r w:rsidRPr="00A21238">
              <w:rPr>
                <w:rFonts w:asciiTheme="minorHAnsi" w:hAnsiTheme="minorHAnsi" w:cs="Arial"/>
                <w:b/>
                <w:i/>
                <w:sz w:val="20"/>
                <w:szCs w:val="20"/>
              </w:rPr>
              <w:t xml:space="preserve">EGFR </w:t>
            </w:r>
            <w:r w:rsidRPr="00A21238">
              <w:rPr>
                <w:rFonts w:asciiTheme="minorHAnsi" w:hAnsiTheme="minorHAnsi" w:cs="Arial"/>
                <w:b/>
                <w:sz w:val="20"/>
                <w:szCs w:val="20"/>
              </w:rPr>
              <w:t>Negative</w:t>
            </w:r>
          </w:p>
        </w:tc>
        <w:tc>
          <w:tcPr>
            <w:tcW w:w="0" w:type="auto"/>
            <w:vMerge w:val="restart"/>
            <w:vAlign w:val="bottom"/>
          </w:tcPr>
          <w:p w:rsidR="001353E3" w:rsidRPr="00A21238" w:rsidRDefault="001353E3" w:rsidP="00525241">
            <w:pPr>
              <w:jc w:val="center"/>
              <w:rPr>
                <w:rFonts w:asciiTheme="minorHAnsi" w:hAnsiTheme="minorHAnsi" w:cs="Arial"/>
                <w:b/>
                <w:sz w:val="20"/>
                <w:szCs w:val="20"/>
              </w:rPr>
            </w:pPr>
            <w:r w:rsidRPr="00A21238">
              <w:rPr>
                <w:rFonts w:asciiTheme="minorHAnsi" w:hAnsiTheme="minorHAnsi" w:cs="Arial"/>
                <w:b/>
                <w:sz w:val="20"/>
                <w:szCs w:val="20"/>
              </w:rPr>
              <w:t>n (N)</w:t>
            </w:r>
          </w:p>
        </w:tc>
      </w:tr>
      <w:tr w:rsidR="001353E3" w:rsidRPr="00A21238" w:rsidTr="00314FD6">
        <w:trPr>
          <w:trHeight w:val="341"/>
        </w:trPr>
        <w:tc>
          <w:tcPr>
            <w:tcW w:w="0" w:type="auto"/>
          </w:tcPr>
          <w:p w:rsidR="001353E3" w:rsidRPr="00A21238" w:rsidRDefault="001353E3" w:rsidP="007633D9">
            <w:pPr>
              <w:rPr>
                <w:rFonts w:asciiTheme="minorHAnsi" w:hAnsiTheme="minorHAnsi" w:cs="Arial"/>
                <w:b/>
                <w:sz w:val="20"/>
                <w:szCs w:val="20"/>
                <w:u w:val="single"/>
              </w:rPr>
            </w:pPr>
            <w:r w:rsidRPr="00A21238">
              <w:rPr>
                <w:rFonts w:asciiTheme="minorHAnsi" w:hAnsiTheme="minorHAnsi" w:cs="Arial"/>
                <w:b/>
                <w:i/>
                <w:sz w:val="20"/>
                <w:szCs w:val="20"/>
              </w:rPr>
              <w:t>EGFR</w:t>
            </w:r>
            <w:r w:rsidRPr="00A21238">
              <w:rPr>
                <w:rFonts w:asciiTheme="minorHAnsi" w:hAnsiTheme="minorHAnsi" w:cs="Arial"/>
                <w:b/>
                <w:sz w:val="20"/>
                <w:szCs w:val="20"/>
              </w:rPr>
              <w:t xml:space="preserve"> mutations </w:t>
            </w:r>
          </w:p>
        </w:tc>
        <w:tc>
          <w:tcPr>
            <w:tcW w:w="0" w:type="auto"/>
            <w:vMerge/>
          </w:tcPr>
          <w:p w:rsidR="001353E3" w:rsidRPr="00A21238" w:rsidRDefault="001353E3" w:rsidP="00154D68">
            <w:pPr>
              <w:jc w:val="center"/>
              <w:rPr>
                <w:rFonts w:asciiTheme="minorHAnsi" w:hAnsiTheme="minorHAnsi" w:cs="Arial"/>
                <w:b/>
                <w:sz w:val="20"/>
                <w:szCs w:val="20"/>
              </w:rPr>
            </w:pPr>
          </w:p>
        </w:tc>
        <w:tc>
          <w:tcPr>
            <w:tcW w:w="0" w:type="auto"/>
            <w:vMerge/>
          </w:tcPr>
          <w:p w:rsidR="001353E3" w:rsidRPr="00A21238" w:rsidRDefault="001353E3" w:rsidP="00154D68">
            <w:pPr>
              <w:jc w:val="center"/>
              <w:rPr>
                <w:rFonts w:asciiTheme="minorHAnsi" w:hAnsiTheme="minorHAnsi" w:cs="Arial"/>
                <w:b/>
                <w:sz w:val="20"/>
                <w:szCs w:val="20"/>
              </w:rPr>
            </w:pPr>
          </w:p>
        </w:tc>
        <w:tc>
          <w:tcPr>
            <w:tcW w:w="0" w:type="auto"/>
            <w:vMerge/>
          </w:tcPr>
          <w:p w:rsidR="001353E3" w:rsidRPr="00A21238" w:rsidRDefault="001353E3" w:rsidP="00154D68">
            <w:pPr>
              <w:jc w:val="center"/>
              <w:rPr>
                <w:rFonts w:asciiTheme="minorHAnsi" w:hAnsiTheme="minorHAnsi" w:cs="Arial"/>
                <w:b/>
                <w:sz w:val="20"/>
                <w:szCs w:val="20"/>
              </w:rPr>
            </w:pPr>
          </w:p>
        </w:tc>
        <w:tc>
          <w:tcPr>
            <w:tcW w:w="0" w:type="auto"/>
            <w:vMerge/>
          </w:tcPr>
          <w:p w:rsidR="001353E3" w:rsidRPr="00A21238" w:rsidRDefault="001353E3" w:rsidP="007633D9">
            <w:pPr>
              <w:rPr>
                <w:rFonts w:asciiTheme="minorHAnsi" w:hAnsiTheme="minorHAnsi" w:cs="Arial"/>
                <w:sz w:val="20"/>
                <w:szCs w:val="20"/>
              </w:rPr>
            </w:pPr>
          </w:p>
        </w:tc>
      </w:tr>
      <w:tr w:rsidR="00F62B92" w:rsidRPr="00A21238" w:rsidTr="00314FD6">
        <w:trPr>
          <w:trHeight w:val="341"/>
        </w:trPr>
        <w:tc>
          <w:tcPr>
            <w:tcW w:w="0" w:type="auto"/>
            <w:vAlign w:val="center"/>
          </w:tcPr>
          <w:p w:rsidR="00F62B92" w:rsidRPr="00A21238" w:rsidRDefault="001353E3" w:rsidP="004C17FC">
            <w:pPr>
              <w:rPr>
                <w:rFonts w:asciiTheme="minorHAnsi" w:hAnsiTheme="minorHAnsi" w:cs="Arial"/>
                <w:sz w:val="20"/>
                <w:szCs w:val="20"/>
              </w:rPr>
            </w:pPr>
            <w:r w:rsidRPr="00A21238">
              <w:rPr>
                <w:rFonts w:asciiTheme="minorHAnsi" w:hAnsiTheme="minorHAnsi" w:cs="Arial"/>
                <w:sz w:val="20"/>
                <w:szCs w:val="20"/>
              </w:rPr>
              <w:t>P</w:t>
            </w:r>
            <w:r w:rsidR="00027452" w:rsidRPr="00A21238">
              <w:rPr>
                <w:rFonts w:asciiTheme="minorHAnsi" w:hAnsiTheme="minorHAnsi" w:cs="Arial"/>
                <w:sz w:val="20"/>
                <w:szCs w:val="20"/>
              </w:rPr>
              <w:t>rimarily Asian patients</w:t>
            </w:r>
          </w:p>
          <w:p w:rsidR="00F62B92" w:rsidRPr="00A21238" w:rsidRDefault="00F62B92" w:rsidP="001353E3">
            <w:pPr>
              <w:pStyle w:val="ListParagraph"/>
              <w:ind w:left="360"/>
              <w:contextualSpacing/>
              <w:rPr>
                <w:rFonts w:asciiTheme="minorHAnsi" w:hAnsiTheme="minorHAnsi" w:cs="Arial"/>
                <w:sz w:val="20"/>
                <w:szCs w:val="20"/>
              </w:rPr>
            </w:pPr>
            <w:r w:rsidRPr="00A21238">
              <w:rPr>
                <w:rFonts w:asciiTheme="minorHAnsi" w:hAnsiTheme="minorHAnsi" w:cs="Arial"/>
                <w:sz w:val="20"/>
                <w:szCs w:val="20"/>
              </w:rPr>
              <w:t>Adenocarcinoma</w:t>
            </w:r>
            <w:r w:rsidR="003E7A4F" w:rsidRPr="00A21238">
              <w:rPr>
                <w:rFonts w:cs="Calibri"/>
                <w:b/>
                <w:bCs/>
                <w:noProof/>
                <w:sz w:val="20"/>
                <w:szCs w:val="20"/>
                <w:vertAlign w:val="superscript"/>
              </w:rPr>
              <w:t>8-14, 16-19, 23, 24, 26-31, 34-38, 50</w:t>
            </w:r>
          </w:p>
          <w:p w:rsidR="00F62B92" w:rsidRPr="00A21238" w:rsidRDefault="00F62B92" w:rsidP="001353E3">
            <w:pPr>
              <w:pStyle w:val="ListParagraph"/>
              <w:ind w:left="360"/>
              <w:contextualSpacing/>
              <w:rPr>
                <w:rFonts w:asciiTheme="minorHAnsi" w:hAnsiTheme="minorHAnsi" w:cs="Arial"/>
                <w:sz w:val="20"/>
                <w:szCs w:val="20"/>
              </w:rPr>
            </w:pPr>
            <w:r w:rsidRPr="00A21238">
              <w:rPr>
                <w:rFonts w:asciiTheme="minorHAnsi" w:hAnsiTheme="minorHAnsi" w:cs="Arial"/>
                <w:sz w:val="20"/>
                <w:szCs w:val="20"/>
              </w:rPr>
              <w:t>Squamous</w:t>
            </w:r>
            <w:r w:rsidR="0002496E" w:rsidRPr="0002496E">
              <w:rPr>
                <w:rFonts w:cs="Calibri"/>
                <w:b/>
                <w:bCs/>
                <w:noProof/>
                <w:sz w:val="20"/>
                <w:szCs w:val="20"/>
                <w:vertAlign w:val="superscript"/>
              </w:rPr>
              <w:t>12, 17, 28, 31, 34-36, 50</w:t>
            </w:r>
            <w:r w:rsidRPr="00A21238">
              <w:rPr>
                <w:rFonts w:asciiTheme="minorHAnsi" w:hAnsiTheme="minorHAnsi" w:cs="Arial"/>
                <w:sz w:val="20"/>
                <w:szCs w:val="20"/>
              </w:rPr>
              <w:t xml:space="preserve"> </w:t>
            </w:r>
          </w:p>
          <w:p w:rsidR="00F62B92" w:rsidRPr="00A21238" w:rsidRDefault="00F62B92" w:rsidP="001353E3">
            <w:pPr>
              <w:pStyle w:val="ListParagraph"/>
              <w:ind w:left="360"/>
              <w:contextualSpacing/>
              <w:rPr>
                <w:rFonts w:asciiTheme="minorHAnsi" w:hAnsiTheme="minorHAnsi" w:cs="Arial"/>
                <w:sz w:val="20"/>
                <w:szCs w:val="20"/>
              </w:rPr>
            </w:pPr>
            <w:r w:rsidRPr="00A21238">
              <w:rPr>
                <w:rFonts w:asciiTheme="minorHAnsi" w:hAnsiTheme="minorHAnsi" w:cs="Arial"/>
                <w:sz w:val="20"/>
                <w:szCs w:val="20"/>
              </w:rPr>
              <w:t>Adenosquamous</w:t>
            </w:r>
            <w:r w:rsidR="003E7A4F" w:rsidRPr="00A21238">
              <w:rPr>
                <w:rFonts w:cs="Calibri"/>
                <w:b/>
                <w:bCs/>
                <w:noProof/>
                <w:sz w:val="20"/>
                <w:szCs w:val="20"/>
                <w:vertAlign w:val="superscript"/>
              </w:rPr>
              <w:t>28, 31</w:t>
            </w:r>
          </w:p>
          <w:p w:rsidR="00F62B92" w:rsidRPr="00A21238" w:rsidRDefault="00F62B92" w:rsidP="001353E3">
            <w:pPr>
              <w:pStyle w:val="ListParagraph"/>
              <w:ind w:left="360"/>
              <w:contextualSpacing/>
              <w:rPr>
                <w:rFonts w:asciiTheme="minorHAnsi" w:hAnsiTheme="minorHAnsi" w:cs="Arial"/>
                <w:sz w:val="20"/>
                <w:szCs w:val="20"/>
              </w:rPr>
            </w:pPr>
            <w:r w:rsidRPr="00A21238">
              <w:rPr>
                <w:rFonts w:asciiTheme="minorHAnsi" w:hAnsiTheme="minorHAnsi" w:cs="Arial"/>
                <w:sz w:val="20"/>
                <w:szCs w:val="20"/>
              </w:rPr>
              <w:t>Large cell carcinoma</w:t>
            </w:r>
            <w:r w:rsidR="003E7A4F" w:rsidRPr="00A21238">
              <w:rPr>
                <w:rFonts w:cs="Calibri"/>
                <w:b/>
                <w:bCs/>
                <w:noProof/>
                <w:sz w:val="20"/>
                <w:szCs w:val="20"/>
                <w:vertAlign w:val="superscript"/>
              </w:rPr>
              <w:t>13, 28, 31, 35</w:t>
            </w:r>
          </w:p>
          <w:p w:rsidR="00027452" w:rsidRPr="00A21238" w:rsidRDefault="001353E3" w:rsidP="00027452">
            <w:pPr>
              <w:rPr>
                <w:rFonts w:asciiTheme="minorHAnsi" w:hAnsiTheme="minorHAnsi" w:cs="Arial"/>
                <w:sz w:val="20"/>
                <w:szCs w:val="20"/>
              </w:rPr>
            </w:pPr>
            <w:r w:rsidRPr="00A21238">
              <w:rPr>
                <w:rFonts w:asciiTheme="minorHAnsi" w:hAnsiTheme="minorHAnsi" w:cs="Arial"/>
                <w:sz w:val="20"/>
                <w:szCs w:val="20"/>
              </w:rPr>
              <w:t>Primarily N</w:t>
            </w:r>
            <w:r w:rsidR="00027452" w:rsidRPr="00A21238">
              <w:rPr>
                <w:rFonts w:asciiTheme="minorHAnsi" w:hAnsiTheme="minorHAnsi" w:cs="Arial"/>
                <w:sz w:val="20"/>
                <w:szCs w:val="20"/>
              </w:rPr>
              <w:t>on-Asian</w:t>
            </w:r>
            <w:r w:rsidRPr="00A21238">
              <w:rPr>
                <w:rFonts w:asciiTheme="minorHAnsi" w:hAnsiTheme="minorHAnsi" w:cs="Arial"/>
                <w:sz w:val="20"/>
                <w:szCs w:val="20"/>
              </w:rPr>
              <w:t xml:space="preserve"> patients</w:t>
            </w:r>
          </w:p>
          <w:p w:rsidR="00027452" w:rsidRPr="00A21238" w:rsidRDefault="00027452" w:rsidP="001353E3">
            <w:pPr>
              <w:pStyle w:val="ListParagraph"/>
              <w:ind w:left="360"/>
              <w:contextualSpacing/>
              <w:rPr>
                <w:rFonts w:asciiTheme="minorHAnsi" w:hAnsiTheme="minorHAnsi" w:cs="Arial"/>
                <w:sz w:val="20"/>
                <w:szCs w:val="20"/>
              </w:rPr>
            </w:pPr>
            <w:r w:rsidRPr="00A21238">
              <w:rPr>
                <w:rFonts w:asciiTheme="minorHAnsi" w:hAnsiTheme="minorHAnsi" w:cs="Arial"/>
                <w:sz w:val="20"/>
                <w:szCs w:val="20"/>
              </w:rPr>
              <w:t>Adenocarcinoma</w:t>
            </w:r>
            <w:r w:rsidR="0002496E" w:rsidRPr="0002496E">
              <w:rPr>
                <w:rFonts w:cs="Calibri"/>
                <w:b/>
                <w:bCs/>
                <w:noProof/>
                <w:sz w:val="20"/>
                <w:szCs w:val="20"/>
                <w:vertAlign w:val="superscript"/>
              </w:rPr>
              <w:t>10, 20, 22, 25, 32, 33, 39-46, 48, 49, 53-55</w:t>
            </w:r>
          </w:p>
          <w:p w:rsidR="00027452" w:rsidRPr="00A21238" w:rsidRDefault="00027452" w:rsidP="001353E3">
            <w:pPr>
              <w:pStyle w:val="ListParagraph"/>
              <w:ind w:left="360"/>
              <w:contextualSpacing/>
              <w:rPr>
                <w:rFonts w:asciiTheme="minorHAnsi" w:hAnsiTheme="minorHAnsi" w:cs="Arial"/>
                <w:sz w:val="20"/>
                <w:szCs w:val="20"/>
              </w:rPr>
            </w:pPr>
            <w:r w:rsidRPr="00A21238">
              <w:rPr>
                <w:rFonts w:asciiTheme="minorHAnsi" w:hAnsiTheme="minorHAnsi" w:cs="Arial"/>
                <w:sz w:val="20"/>
                <w:szCs w:val="20"/>
              </w:rPr>
              <w:t>Squamous</w:t>
            </w:r>
            <w:r w:rsidR="0002496E" w:rsidRPr="0002496E">
              <w:rPr>
                <w:rFonts w:cs="Calibri"/>
                <w:b/>
                <w:bCs/>
                <w:noProof/>
                <w:sz w:val="20"/>
                <w:szCs w:val="20"/>
                <w:vertAlign w:val="superscript"/>
              </w:rPr>
              <w:t>20, 22, 25, 33, 43, 44, 46, 48, 54</w:t>
            </w:r>
            <w:r w:rsidRPr="00A21238">
              <w:rPr>
                <w:rFonts w:asciiTheme="minorHAnsi" w:hAnsiTheme="minorHAnsi" w:cs="Arial"/>
                <w:sz w:val="20"/>
                <w:szCs w:val="20"/>
              </w:rPr>
              <w:t xml:space="preserve"> </w:t>
            </w:r>
          </w:p>
          <w:p w:rsidR="00027452" w:rsidRPr="00A21238" w:rsidRDefault="00027452" w:rsidP="001353E3">
            <w:pPr>
              <w:pStyle w:val="ListParagraph"/>
              <w:ind w:left="360"/>
              <w:contextualSpacing/>
              <w:rPr>
                <w:rFonts w:asciiTheme="minorHAnsi" w:hAnsiTheme="minorHAnsi" w:cs="Arial"/>
                <w:sz w:val="20"/>
                <w:szCs w:val="20"/>
              </w:rPr>
            </w:pPr>
            <w:r w:rsidRPr="00A21238">
              <w:rPr>
                <w:rFonts w:asciiTheme="minorHAnsi" w:hAnsiTheme="minorHAnsi" w:cs="Arial"/>
                <w:sz w:val="20"/>
                <w:szCs w:val="20"/>
              </w:rPr>
              <w:t>Adenosquamous</w:t>
            </w:r>
            <w:r w:rsidR="002539B5" w:rsidRPr="00A21238">
              <w:rPr>
                <w:rFonts w:cs="Calibri"/>
                <w:b/>
                <w:bCs/>
                <w:noProof/>
                <w:sz w:val="20"/>
                <w:szCs w:val="20"/>
                <w:vertAlign w:val="superscript"/>
              </w:rPr>
              <w:t>22, 25</w:t>
            </w:r>
          </w:p>
          <w:p w:rsidR="00027452" w:rsidRPr="00A21238" w:rsidRDefault="00027452" w:rsidP="001353E3">
            <w:pPr>
              <w:pStyle w:val="ListParagraph"/>
              <w:ind w:left="360"/>
              <w:contextualSpacing/>
              <w:rPr>
                <w:rFonts w:asciiTheme="minorHAnsi" w:hAnsiTheme="minorHAnsi" w:cs="Arial"/>
                <w:sz w:val="20"/>
                <w:szCs w:val="20"/>
              </w:rPr>
            </w:pPr>
            <w:r w:rsidRPr="00A21238">
              <w:rPr>
                <w:rFonts w:asciiTheme="minorHAnsi" w:hAnsiTheme="minorHAnsi" w:cs="Arial"/>
                <w:sz w:val="20"/>
                <w:szCs w:val="20"/>
              </w:rPr>
              <w:t>Large cell carcinoma</w:t>
            </w:r>
            <w:r w:rsidR="002539B5" w:rsidRPr="00A21238">
              <w:rPr>
                <w:rFonts w:cs="Calibri"/>
                <w:b/>
                <w:bCs/>
                <w:noProof/>
                <w:sz w:val="20"/>
                <w:szCs w:val="20"/>
                <w:vertAlign w:val="superscript"/>
              </w:rPr>
              <w:t>25, 33, 44, 46, 48, 55</w:t>
            </w:r>
          </w:p>
          <w:p w:rsidR="00027452" w:rsidRPr="00A21238" w:rsidRDefault="00027452" w:rsidP="00525241">
            <w:pPr>
              <w:contextualSpacing/>
              <w:rPr>
                <w:rFonts w:asciiTheme="minorHAnsi" w:hAnsiTheme="minorHAnsi" w:cs="Arial"/>
                <w:sz w:val="20"/>
                <w:szCs w:val="20"/>
              </w:rPr>
            </w:pPr>
          </w:p>
        </w:tc>
        <w:tc>
          <w:tcPr>
            <w:tcW w:w="0" w:type="auto"/>
            <w:vAlign w:val="center"/>
          </w:tcPr>
          <w:p w:rsidR="00F62B92" w:rsidRPr="00A21238" w:rsidRDefault="001353E3" w:rsidP="00AC4F43">
            <w:pPr>
              <w:jc w:val="center"/>
              <w:rPr>
                <w:rFonts w:asciiTheme="minorHAnsi" w:hAnsiTheme="minorHAnsi" w:cs="Arial"/>
                <w:sz w:val="20"/>
                <w:szCs w:val="20"/>
              </w:rPr>
            </w:pPr>
            <w:r w:rsidRPr="00A21238">
              <w:rPr>
                <w:rFonts w:asciiTheme="minorHAnsi" w:hAnsiTheme="minorHAnsi" w:cs="Arial"/>
                <w:sz w:val="20"/>
                <w:szCs w:val="20"/>
              </w:rPr>
              <w:t>50%</w:t>
            </w:r>
          </w:p>
          <w:p w:rsidR="001353E3" w:rsidRPr="00A21238" w:rsidRDefault="001353E3" w:rsidP="00AC4F43">
            <w:pPr>
              <w:jc w:val="center"/>
              <w:rPr>
                <w:rFonts w:asciiTheme="minorHAnsi" w:hAnsiTheme="minorHAnsi" w:cs="Arial"/>
                <w:sz w:val="20"/>
                <w:szCs w:val="20"/>
              </w:rPr>
            </w:pPr>
            <w:r w:rsidRPr="00A21238">
              <w:rPr>
                <w:rFonts w:asciiTheme="minorHAnsi" w:hAnsiTheme="minorHAnsi" w:cs="Arial"/>
                <w:sz w:val="20"/>
                <w:szCs w:val="20"/>
              </w:rPr>
              <w:t>5%</w:t>
            </w:r>
          </w:p>
          <w:p w:rsidR="001353E3" w:rsidRPr="00A21238" w:rsidRDefault="001353E3" w:rsidP="00AC4F43">
            <w:pPr>
              <w:jc w:val="center"/>
              <w:rPr>
                <w:rFonts w:asciiTheme="minorHAnsi" w:hAnsiTheme="minorHAnsi" w:cs="Arial"/>
                <w:sz w:val="20"/>
                <w:szCs w:val="20"/>
              </w:rPr>
            </w:pPr>
            <w:r w:rsidRPr="00A21238">
              <w:rPr>
                <w:rFonts w:asciiTheme="minorHAnsi" w:hAnsiTheme="minorHAnsi" w:cs="Arial"/>
                <w:sz w:val="20"/>
                <w:szCs w:val="20"/>
              </w:rPr>
              <w:t>67%</w:t>
            </w:r>
          </w:p>
          <w:p w:rsidR="001353E3" w:rsidRPr="00A21238" w:rsidRDefault="001353E3" w:rsidP="00AC4F43">
            <w:pPr>
              <w:jc w:val="center"/>
              <w:rPr>
                <w:rFonts w:asciiTheme="minorHAnsi" w:hAnsiTheme="minorHAnsi" w:cs="Arial"/>
                <w:sz w:val="20"/>
                <w:szCs w:val="20"/>
              </w:rPr>
            </w:pPr>
            <w:r w:rsidRPr="00A21238">
              <w:rPr>
                <w:rFonts w:asciiTheme="minorHAnsi" w:hAnsiTheme="minorHAnsi" w:cs="Arial"/>
                <w:sz w:val="20"/>
                <w:szCs w:val="20"/>
              </w:rPr>
              <w:t>7%</w:t>
            </w:r>
          </w:p>
          <w:p w:rsidR="001353E3" w:rsidRPr="00A21238" w:rsidRDefault="001353E3" w:rsidP="00AC4F43">
            <w:pPr>
              <w:jc w:val="center"/>
              <w:rPr>
                <w:rFonts w:asciiTheme="minorHAnsi" w:hAnsiTheme="minorHAnsi" w:cs="Arial"/>
                <w:sz w:val="20"/>
                <w:szCs w:val="20"/>
              </w:rPr>
            </w:pPr>
          </w:p>
          <w:p w:rsidR="00323F29" w:rsidRPr="00A21238" w:rsidRDefault="00323F29" w:rsidP="00AC4F43">
            <w:pPr>
              <w:jc w:val="center"/>
              <w:rPr>
                <w:rFonts w:asciiTheme="minorHAnsi" w:hAnsiTheme="minorHAnsi" w:cs="Arial"/>
                <w:sz w:val="20"/>
                <w:szCs w:val="20"/>
              </w:rPr>
            </w:pPr>
          </w:p>
          <w:p w:rsidR="00F62B92" w:rsidRPr="00A21238" w:rsidRDefault="001353E3" w:rsidP="00AC4F43">
            <w:pPr>
              <w:jc w:val="center"/>
              <w:rPr>
                <w:rFonts w:asciiTheme="minorHAnsi" w:hAnsiTheme="minorHAnsi" w:cs="Arial"/>
                <w:sz w:val="20"/>
                <w:szCs w:val="20"/>
              </w:rPr>
            </w:pPr>
            <w:r w:rsidRPr="00A21238">
              <w:rPr>
                <w:rFonts w:asciiTheme="minorHAnsi" w:hAnsiTheme="minorHAnsi" w:cs="Arial"/>
                <w:sz w:val="20"/>
                <w:szCs w:val="20"/>
              </w:rPr>
              <w:t>24%</w:t>
            </w:r>
          </w:p>
          <w:p w:rsidR="001353E3" w:rsidRPr="00A21238" w:rsidRDefault="001353E3" w:rsidP="00AC4F43">
            <w:pPr>
              <w:jc w:val="center"/>
              <w:rPr>
                <w:rFonts w:asciiTheme="minorHAnsi" w:hAnsiTheme="minorHAnsi" w:cs="Arial"/>
                <w:sz w:val="20"/>
                <w:szCs w:val="20"/>
              </w:rPr>
            </w:pPr>
            <w:r w:rsidRPr="00A21238">
              <w:rPr>
                <w:rFonts w:asciiTheme="minorHAnsi" w:hAnsiTheme="minorHAnsi" w:cs="Arial"/>
                <w:sz w:val="20"/>
                <w:szCs w:val="20"/>
              </w:rPr>
              <w:t>5%</w:t>
            </w:r>
          </w:p>
          <w:p w:rsidR="001353E3" w:rsidRPr="00A21238" w:rsidRDefault="001353E3" w:rsidP="00AC4F43">
            <w:pPr>
              <w:jc w:val="center"/>
              <w:rPr>
                <w:rFonts w:asciiTheme="minorHAnsi" w:hAnsiTheme="minorHAnsi" w:cs="Arial"/>
                <w:sz w:val="20"/>
                <w:szCs w:val="20"/>
              </w:rPr>
            </w:pPr>
            <w:r w:rsidRPr="00A21238">
              <w:rPr>
                <w:rFonts w:asciiTheme="minorHAnsi" w:hAnsiTheme="minorHAnsi" w:cs="Arial"/>
                <w:sz w:val="20"/>
                <w:szCs w:val="20"/>
              </w:rPr>
              <w:t>13%</w:t>
            </w:r>
          </w:p>
          <w:p w:rsidR="001353E3" w:rsidRPr="00A21238" w:rsidRDefault="001353E3" w:rsidP="001353E3">
            <w:pPr>
              <w:jc w:val="center"/>
              <w:rPr>
                <w:rFonts w:asciiTheme="minorHAnsi" w:hAnsiTheme="minorHAnsi" w:cs="Arial"/>
                <w:sz w:val="20"/>
                <w:szCs w:val="20"/>
              </w:rPr>
            </w:pPr>
            <w:r w:rsidRPr="00A21238">
              <w:rPr>
                <w:rFonts w:asciiTheme="minorHAnsi" w:hAnsiTheme="minorHAnsi" w:cs="Arial"/>
                <w:sz w:val="20"/>
                <w:szCs w:val="20"/>
              </w:rPr>
              <w:t>5%</w:t>
            </w:r>
          </w:p>
        </w:tc>
        <w:tc>
          <w:tcPr>
            <w:tcW w:w="0" w:type="auto"/>
            <w:vAlign w:val="center"/>
          </w:tcPr>
          <w:p w:rsidR="00F62B92" w:rsidRPr="00A21238" w:rsidRDefault="001353E3" w:rsidP="00AC4F43">
            <w:pPr>
              <w:jc w:val="center"/>
              <w:rPr>
                <w:rFonts w:asciiTheme="minorHAnsi" w:hAnsiTheme="minorHAnsi" w:cs="Arial"/>
                <w:sz w:val="20"/>
                <w:szCs w:val="20"/>
              </w:rPr>
            </w:pPr>
            <w:r w:rsidRPr="00A21238">
              <w:rPr>
                <w:rFonts w:asciiTheme="minorHAnsi" w:hAnsiTheme="minorHAnsi" w:cs="Arial"/>
                <w:sz w:val="20"/>
                <w:szCs w:val="20"/>
              </w:rPr>
              <w:t>1278</w:t>
            </w:r>
          </w:p>
          <w:p w:rsidR="001353E3" w:rsidRPr="00A21238" w:rsidRDefault="001353E3" w:rsidP="00AC4F43">
            <w:pPr>
              <w:jc w:val="center"/>
              <w:rPr>
                <w:rFonts w:asciiTheme="minorHAnsi" w:hAnsiTheme="minorHAnsi" w:cs="Arial"/>
                <w:sz w:val="20"/>
                <w:szCs w:val="20"/>
              </w:rPr>
            </w:pPr>
            <w:r w:rsidRPr="00A21238">
              <w:rPr>
                <w:rFonts w:asciiTheme="minorHAnsi" w:hAnsiTheme="minorHAnsi" w:cs="Arial"/>
                <w:sz w:val="20"/>
                <w:szCs w:val="20"/>
              </w:rPr>
              <w:t>8</w:t>
            </w:r>
          </w:p>
          <w:p w:rsidR="001353E3" w:rsidRPr="00A21238" w:rsidRDefault="001353E3" w:rsidP="00AC4F43">
            <w:pPr>
              <w:jc w:val="center"/>
              <w:rPr>
                <w:rFonts w:asciiTheme="minorHAnsi" w:hAnsiTheme="minorHAnsi" w:cs="Arial"/>
                <w:sz w:val="20"/>
                <w:szCs w:val="20"/>
              </w:rPr>
            </w:pPr>
            <w:r w:rsidRPr="00A21238">
              <w:rPr>
                <w:rFonts w:asciiTheme="minorHAnsi" w:hAnsiTheme="minorHAnsi" w:cs="Arial"/>
                <w:sz w:val="20"/>
                <w:szCs w:val="20"/>
              </w:rPr>
              <w:t>4</w:t>
            </w:r>
          </w:p>
          <w:p w:rsidR="001353E3" w:rsidRPr="00A21238" w:rsidRDefault="001353E3" w:rsidP="00AC4F43">
            <w:pPr>
              <w:jc w:val="center"/>
              <w:rPr>
                <w:rFonts w:asciiTheme="minorHAnsi" w:hAnsiTheme="minorHAnsi" w:cs="Arial"/>
                <w:sz w:val="20"/>
                <w:szCs w:val="20"/>
              </w:rPr>
            </w:pPr>
            <w:r w:rsidRPr="00A21238">
              <w:rPr>
                <w:rFonts w:asciiTheme="minorHAnsi" w:hAnsiTheme="minorHAnsi" w:cs="Arial"/>
                <w:sz w:val="20"/>
                <w:szCs w:val="20"/>
              </w:rPr>
              <w:t>1</w:t>
            </w:r>
          </w:p>
          <w:p w:rsidR="001353E3" w:rsidRPr="00A21238" w:rsidRDefault="001353E3" w:rsidP="00AC4F43">
            <w:pPr>
              <w:jc w:val="center"/>
              <w:rPr>
                <w:rFonts w:asciiTheme="minorHAnsi" w:hAnsiTheme="minorHAnsi" w:cs="Arial"/>
                <w:sz w:val="20"/>
                <w:szCs w:val="20"/>
              </w:rPr>
            </w:pPr>
          </w:p>
          <w:p w:rsidR="00323F29" w:rsidRPr="00A21238" w:rsidRDefault="00323F29" w:rsidP="00AC4F43">
            <w:pPr>
              <w:jc w:val="center"/>
              <w:rPr>
                <w:rFonts w:asciiTheme="minorHAnsi" w:hAnsiTheme="minorHAnsi" w:cs="Arial"/>
                <w:sz w:val="20"/>
                <w:szCs w:val="20"/>
              </w:rPr>
            </w:pPr>
          </w:p>
          <w:p w:rsidR="001353E3" w:rsidRPr="00A21238" w:rsidRDefault="001353E3" w:rsidP="00AC4F43">
            <w:pPr>
              <w:jc w:val="center"/>
              <w:rPr>
                <w:rFonts w:asciiTheme="minorHAnsi" w:hAnsiTheme="minorHAnsi" w:cs="Arial"/>
                <w:sz w:val="20"/>
                <w:szCs w:val="20"/>
              </w:rPr>
            </w:pPr>
            <w:r w:rsidRPr="00A21238">
              <w:rPr>
                <w:rFonts w:asciiTheme="minorHAnsi" w:hAnsiTheme="minorHAnsi" w:cs="Arial"/>
                <w:sz w:val="20"/>
                <w:szCs w:val="20"/>
              </w:rPr>
              <w:t>1266</w:t>
            </w:r>
          </w:p>
          <w:p w:rsidR="001353E3" w:rsidRPr="00A21238" w:rsidRDefault="001353E3" w:rsidP="00AC4F43">
            <w:pPr>
              <w:jc w:val="center"/>
              <w:rPr>
                <w:rFonts w:asciiTheme="minorHAnsi" w:hAnsiTheme="minorHAnsi" w:cs="Arial"/>
                <w:sz w:val="20"/>
                <w:szCs w:val="20"/>
              </w:rPr>
            </w:pPr>
            <w:r w:rsidRPr="00A21238">
              <w:rPr>
                <w:rFonts w:asciiTheme="minorHAnsi" w:hAnsiTheme="minorHAnsi" w:cs="Arial"/>
                <w:sz w:val="20"/>
                <w:szCs w:val="20"/>
              </w:rPr>
              <w:t>6</w:t>
            </w:r>
          </w:p>
          <w:p w:rsidR="001353E3" w:rsidRPr="00A21238" w:rsidRDefault="001353E3" w:rsidP="00AC4F43">
            <w:pPr>
              <w:jc w:val="center"/>
              <w:rPr>
                <w:rFonts w:asciiTheme="minorHAnsi" w:hAnsiTheme="minorHAnsi" w:cs="Arial"/>
                <w:sz w:val="20"/>
                <w:szCs w:val="20"/>
              </w:rPr>
            </w:pPr>
            <w:r w:rsidRPr="00A21238">
              <w:rPr>
                <w:rFonts w:asciiTheme="minorHAnsi" w:hAnsiTheme="minorHAnsi" w:cs="Arial"/>
                <w:sz w:val="20"/>
                <w:szCs w:val="20"/>
              </w:rPr>
              <w:t>1</w:t>
            </w:r>
          </w:p>
          <w:p w:rsidR="001353E3" w:rsidRPr="00A21238" w:rsidRDefault="001353E3" w:rsidP="001353E3">
            <w:pPr>
              <w:jc w:val="center"/>
              <w:rPr>
                <w:rFonts w:asciiTheme="minorHAnsi" w:hAnsiTheme="minorHAnsi" w:cs="Arial"/>
                <w:sz w:val="20"/>
                <w:szCs w:val="20"/>
              </w:rPr>
            </w:pPr>
            <w:r w:rsidRPr="00A21238">
              <w:rPr>
                <w:rFonts w:asciiTheme="minorHAnsi" w:hAnsiTheme="minorHAnsi" w:cs="Arial"/>
                <w:sz w:val="20"/>
                <w:szCs w:val="20"/>
              </w:rPr>
              <w:t>2</w:t>
            </w:r>
          </w:p>
        </w:tc>
        <w:tc>
          <w:tcPr>
            <w:tcW w:w="0" w:type="auto"/>
            <w:vAlign w:val="center"/>
          </w:tcPr>
          <w:p w:rsidR="00F62B92" w:rsidRPr="00A21238" w:rsidRDefault="001353E3" w:rsidP="00AC4F43">
            <w:pPr>
              <w:jc w:val="center"/>
              <w:rPr>
                <w:rFonts w:asciiTheme="minorHAnsi" w:hAnsiTheme="minorHAnsi" w:cs="Arial"/>
                <w:sz w:val="20"/>
                <w:szCs w:val="20"/>
              </w:rPr>
            </w:pPr>
            <w:r w:rsidRPr="00A21238">
              <w:rPr>
                <w:rFonts w:asciiTheme="minorHAnsi" w:hAnsiTheme="minorHAnsi" w:cs="Arial"/>
                <w:sz w:val="20"/>
                <w:szCs w:val="20"/>
              </w:rPr>
              <w:t>1256</w:t>
            </w:r>
          </w:p>
          <w:p w:rsidR="001353E3" w:rsidRPr="00A21238" w:rsidRDefault="001353E3" w:rsidP="00AC4F43">
            <w:pPr>
              <w:jc w:val="center"/>
              <w:rPr>
                <w:rFonts w:asciiTheme="minorHAnsi" w:hAnsiTheme="minorHAnsi" w:cs="Arial"/>
                <w:sz w:val="20"/>
                <w:szCs w:val="20"/>
              </w:rPr>
            </w:pPr>
            <w:r w:rsidRPr="00A21238">
              <w:rPr>
                <w:rFonts w:asciiTheme="minorHAnsi" w:hAnsiTheme="minorHAnsi" w:cs="Arial"/>
                <w:sz w:val="20"/>
                <w:szCs w:val="20"/>
              </w:rPr>
              <w:t>160</w:t>
            </w:r>
          </w:p>
          <w:p w:rsidR="001353E3" w:rsidRPr="00A21238" w:rsidRDefault="001353E3" w:rsidP="00AC4F43">
            <w:pPr>
              <w:jc w:val="center"/>
              <w:rPr>
                <w:rFonts w:asciiTheme="minorHAnsi" w:hAnsiTheme="minorHAnsi" w:cs="Arial"/>
                <w:sz w:val="20"/>
                <w:szCs w:val="20"/>
              </w:rPr>
            </w:pPr>
            <w:r w:rsidRPr="00A21238">
              <w:rPr>
                <w:rFonts w:asciiTheme="minorHAnsi" w:hAnsiTheme="minorHAnsi" w:cs="Arial"/>
                <w:sz w:val="20"/>
                <w:szCs w:val="20"/>
              </w:rPr>
              <w:t>2</w:t>
            </w:r>
          </w:p>
          <w:p w:rsidR="001353E3" w:rsidRPr="00A21238" w:rsidRDefault="001353E3" w:rsidP="00AC4F43">
            <w:pPr>
              <w:jc w:val="center"/>
              <w:rPr>
                <w:rFonts w:asciiTheme="minorHAnsi" w:hAnsiTheme="minorHAnsi" w:cs="Arial"/>
                <w:sz w:val="20"/>
                <w:szCs w:val="20"/>
              </w:rPr>
            </w:pPr>
            <w:r w:rsidRPr="00A21238">
              <w:rPr>
                <w:rFonts w:asciiTheme="minorHAnsi" w:hAnsiTheme="minorHAnsi" w:cs="Arial"/>
                <w:sz w:val="20"/>
                <w:szCs w:val="20"/>
              </w:rPr>
              <w:t>14</w:t>
            </w:r>
          </w:p>
          <w:p w:rsidR="001353E3" w:rsidRPr="00A21238" w:rsidRDefault="001353E3" w:rsidP="00AC4F43">
            <w:pPr>
              <w:jc w:val="center"/>
              <w:rPr>
                <w:rFonts w:asciiTheme="minorHAnsi" w:hAnsiTheme="minorHAnsi" w:cs="Arial"/>
                <w:sz w:val="20"/>
                <w:szCs w:val="20"/>
              </w:rPr>
            </w:pPr>
          </w:p>
          <w:p w:rsidR="00323F29" w:rsidRPr="00A21238" w:rsidRDefault="00323F29" w:rsidP="00AC4F43">
            <w:pPr>
              <w:jc w:val="center"/>
              <w:rPr>
                <w:rFonts w:asciiTheme="minorHAnsi" w:hAnsiTheme="minorHAnsi" w:cs="Arial"/>
                <w:sz w:val="20"/>
                <w:szCs w:val="20"/>
              </w:rPr>
            </w:pPr>
          </w:p>
          <w:p w:rsidR="001353E3" w:rsidRPr="00A21238" w:rsidRDefault="001353E3" w:rsidP="00AC4F43">
            <w:pPr>
              <w:jc w:val="center"/>
              <w:rPr>
                <w:rFonts w:asciiTheme="minorHAnsi" w:hAnsiTheme="minorHAnsi" w:cs="Arial"/>
                <w:sz w:val="20"/>
                <w:szCs w:val="20"/>
              </w:rPr>
            </w:pPr>
            <w:r w:rsidRPr="00A21238">
              <w:rPr>
                <w:rFonts w:asciiTheme="minorHAnsi" w:hAnsiTheme="minorHAnsi" w:cs="Arial"/>
                <w:sz w:val="20"/>
                <w:szCs w:val="20"/>
              </w:rPr>
              <w:t>3918</w:t>
            </w:r>
          </w:p>
          <w:p w:rsidR="001353E3" w:rsidRPr="00A21238" w:rsidRDefault="001353E3" w:rsidP="00AC4F43">
            <w:pPr>
              <w:jc w:val="center"/>
              <w:rPr>
                <w:rFonts w:asciiTheme="minorHAnsi" w:hAnsiTheme="minorHAnsi" w:cs="Arial"/>
                <w:sz w:val="20"/>
                <w:szCs w:val="20"/>
              </w:rPr>
            </w:pPr>
            <w:r w:rsidRPr="00A21238">
              <w:rPr>
                <w:rFonts w:asciiTheme="minorHAnsi" w:hAnsiTheme="minorHAnsi" w:cs="Arial"/>
                <w:sz w:val="20"/>
                <w:szCs w:val="20"/>
              </w:rPr>
              <w:t>104</w:t>
            </w:r>
          </w:p>
          <w:p w:rsidR="001353E3" w:rsidRPr="00A21238" w:rsidRDefault="001353E3" w:rsidP="00AC4F43">
            <w:pPr>
              <w:jc w:val="center"/>
              <w:rPr>
                <w:rFonts w:asciiTheme="minorHAnsi" w:hAnsiTheme="minorHAnsi" w:cs="Arial"/>
                <w:sz w:val="20"/>
                <w:szCs w:val="20"/>
              </w:rPr>
            </w:pPr>
            <w:r w:rsidRPr="00A21238">
              <w:rPr>
                <w:rFonts w:asciiTheme="minorHAnsi" w:hAnsiTheme="minorHAnsi" w:cs="Arial"/>
                <w:sz w:val="20"/>
                <w:szCs w:val="20"/>
              </w:rPr>
              <w:t>7</w:t>
            </w:r>
          </w:p>
          <w:p w:rsidR="001353E3" w:rsidRPr="00A21238" w:rsidRDefault="001353E3" w:rsidP="00AC4F43">
            <w:pPr>
              <w:jc w:val="center"/>
              <w:rPr>
                <w:rFonts w:asciiTheme="minorHAnsi" w:hAnsiTheme="minorHAnsi" w:cs="Arial"/>
                <w:sz w:val="20"/>
                <w:szCs w:val="20"/>
              </w:rPr>
            </w:pPr>
            <w:r w:rsidRPr="00A21238">
              <w:rPr>
                <w:rFonts w:asciiTheme="minorHAnsi" w:hAnsiTheme="minorHAnsi" w:cs="Arial"/>
                <w:sz w:val="20"/>
                <w:szCs w:val="20"/>
              </w:rPr>
              <w:t>37</w:t>
            </w:r>
          </w:p>
        </w:tc>
        <w:tc>
          <w:tcPr>
            <w:tcW w:w="0" w:type="auto"/>
            <w:vAlign w:val="center"/>
          </w:tcPr>
          <w:p w:rsidR="00F62B92" w:rsidRPr="00A21238" w:rsidRDefault="001353E3" w:rsidP="00AC4F43">
            <w:pPr>
              <w:jc w:val="center"/>
              <w:rPr>
                <w:rFonts w:asciiTheme="minorHAnsi" w:hAnsiTheme="minorHAnsi" w:cs="Arial"/>
                <w:sz w:val="20"/>
                <w:szCs w:val="20"/>
              </w:rPr>
            </w:pPr>
            <w:r w:rsidRPr="00A21238">
              <w:rPr>
                <w:rFonts w:asciiTheme="minorHAnsi" w:hAnsiTheme="minorHAnsi" w:cs="Arial"/>
                <w:sz w:val="20"/>
                <w:szCs w:val="20"/>
              </w:rPr>
              <w:t>25(2534)</w:t>
            </w:r>
          </w:p>
          <w:p w:rsidR="001353E3" w:rsidRPr="00A21238" w:rsidRDefault="001353E3" w:rsidP="00AC4F43">
            <w:pPr>
              <w:jc w:val="center"/>
              <w:rPr>
                <w:rFonts w:asciiTheme="minorHAnsi" w:hAnsiTheme="minorHAnsi" w:cs="Arial"/>
                <w:sz w:val="20"/>
                <w:szCs w:val="20"/>
              </w:rPr>
            </w:pPr>
            <w:r w:rsidRPr="00A21238">
              <w:rPr>
                <w:rFonts w:asciiTheme="minorHAnsi" w:hAnsiTheme="minorHAnsi" w:cs="Arial"/>
                <w:sz w:val="20"/>
                <w:szCs w:val="20"/>
              </w:rPr>
              <w:t>8(168)</w:t>
            </w:r>
          </w:p>
          <w:p w:rsidR="001353E3" w:rsidRPr="00A21238" w:rsidRDefault="001353E3" w:rsidP="00AC4F43">
            <w:pPr>
              <w:jc w:val="center"/>
              <w:rPr>
                <w:rFonts w:asciiTheme="minorHAnsi" w:hAnsiTheme="minorHAnsi" w:cs="Arial"/>
                <w:sz w:val="20"/>
                <w:szCs w:val="20"/>
              </w:rPr>
            </w:pPr>
            <w:r w:rsidRPr="00A21238">
              <w:rPr>
                <w:rFonts w:asciiTheme="minorHAnsi" w:hAnsiTheme="minorHAnsi" w:cs="Arial"/>
                <w:sz w:val="20"/>
                <w:szCs w:val="20"/>
              </w:rPr>
              <w:t>2(6)</w:t>
            </w:r>
          </w:p>
          <w:p w:rsidR="001353E3" w:rsidRPr="00A21238" w:rsidRDefault="001353E3" w:rsidP="00AC4F43">
            <w:pPr>
              <w:jc w:val="center"/>
              <w:rPr>
                <w:rFonts w:asciiTheme="minorHAnsi" w:hAnsiTheme="minorHAnsi" w:cs="Arial"/>
                <w:sz w:val="20"/>
                <w:szCs w:val="20"/>
              </w:rPr>
            </w:pPr>
            <w:r w:rsidRPr="00A21238">
              <w:rPr>
                <w:rFonts w:asciiTheme="minorHAnsi" w:hAnsiTheme="minorHAnsi" w:cs="Arial"/>
                <w:sz w:val="20"/>
                <w:szCs w:val="20"/>
              </w:rPr>
              <w:t>4(15)</w:t>
            </w:r>
          </w:p>
          <w:p w:rsidR="001353E3" w:rsidRPr="00A21238" w:rsidRDefault="001353E3" w:rsidP="00AC4F43">
            <w:pPr>
              <w:jc w:val="center"/>
              <w:rPr>
                <w:rFonts w:asciiTheme="minorHAnsi" w:hAnsiTheme="minorHAnsi" w:cs="Arial"/>
                <w:sz w:val="20"/>
                <w:szCs w:val="20"/>
              </w:rPr>
            </w:pPr>
          </w:p>
          <w:p w:rsidR="00323F29" w:rsidRPr="00A21238" w:rsidRDefault="00323F29" w:rsidP="00AC4F43">
            <w:pPr>
              <w:jc w:val="center"/>
              <w:rPr>
                <w:rFonts w:asciiTheme="minorHAnsi" w:hAnsiTheme="minorHAnsi" w:cs="Arial"/>
                <w:sz w:val="20"/>
                <w:szCs w:val="20"/>
              </w:rPr>
            </w:pPr>
          </w:p>
          <w:p w:rsidR="001353E3" w:rsidRPr="00A21238" w:rsidRDefault="001353E3" w:rsidP="00AC4F43">
            <w:pPr>
              <w:jc w:val="center"/>
              <w:rPr>
                <w:rFonts w:asciiTheme="minorHAnsi" w:hAnsiTheme="minorHAnsi" w:cs="Arial"/>
                <w:sz w:val="20"/>
                <w:szCs w:val="20"/>
              </w:rPr>
            </w:pPr>
            <w:r w:rsidRPr="00A21238">
              <w:rPr>
                <w:rFonts w:asciiTheme="minorHAnsi" w:hAnsiTheme="minorHAnsi" w:cs="Arial"/>
                <w:sz w:val="20"/>
                <w:szCs w:val="20"/>
              </w:rPr>
              <w:t>19(5184)</w:t>
            </w:r>
          </w:p>
          <w:p w:rsidR="001353E3" w:rsidRPr="00A21238" w:rsidRDefault="001353E3" w:rsidP="00AC4F43">
            <w:pPr>
              <w:jc w:val="center"/>
              <w:rPr>
                <w:rFonts w:asciiTheme="minorHAnsi" w:hAnsiTheme="minorHAnsi" w:cs="Arial"/>
                <w:sz w:val="20"/>
                <w:szCs w:val="20"/>
              </w:rPr>
            </w:pPr>
            <w:r w:rsidRPr="00A21238">
              <w:rPr>
                <w:rFonts w:asciiTheme="minorHAnsi" w:hAnsiTheme="minorHAnsi" w:cs="Arial"/>
                <w:sz w:val="20"/>
                <w:szCs w:val="20"/>
              </w:rPr>
              <w:t>9(110)</w:t>
            </w:r>
          </w:p>
          <w:p w:rsidR="001353E3" w:rsidRPr="00A21238" w:rsidRDefault="001353E3" w:rsidP="00AC4F43">
            <w:pPr>
              <w:jc w:val="center"/>
              <w:rPr>
                <w:rFonts w:asciiTheme="minorHAnsi" w:hAnsiTheme="minorHAnsi" w:cs="Arial"/>
                <w:sz w:val="20"/>
                <w:szCs w:val="20"/>
              </w:rPr>
            </w:pPr>
            <w:r w:rsidRPr="00A21238">
              <w:rPr>
                <w:rFonts w:asciiTheme="minorHAnsi" w:hAnsiTheme="minorHAnsi" w:cs="Arial"/>
                <w:sz w:val="20"/>
                <w:szCs w:val="20"/>
              </w:rPr>
              <w:t>2(8)</w:t>
            </w:r>
          </w:p>
          <w:p w:rsidR="001353E3" w:rsidRPr="00A21238" w:rsidRDefault="001353E3" w:rsidP="00AC4F43">
            <w:pPr>
              <w:jc w:val="center"/>
              <w:rPr>
                <w:rFonts w:asciiTheme="minorHAnsi" w:hAnsiTheme="minorHAnsi" w:cs="Arial"/>
                <w:sz w:val="20"/>
                <w:szCs w:val="20"/>
              </w:rPr>
            </w:pPr>
            <w:r w:rsidRPr="00A21238">
              <w:rPr>
                <w:rFonts w:asciiTheme="minorHAnsi" w:hAnsiTheme="minorHAnsi" w:cs="Arial"/>
                <w:sz w:val="20"/>
                <w:szCs w:val="20"/>
              </w:rPr>
              <w:t>6(39)</w:t>
            </w:r>
          </w:p>
        </w:tc>
      </w:tr>
      <w:tr w:rsidR="00027452" w:rsidRPr="00A21238" w:rsidTr="00314FD6">
        <w:trPr>
          <w:trHeight w:val="341"/>
        </w:trPr>
        <w:tc>
          <w:tcPr>
            <w:tcW w:w="0" w:type="auto"/>
            <w:vAlign w:val="center"/>
          </w:tcPr>
          <w:p w:rsidR="00027452" w:rsidRPr="00A21238" w:rsidRDefault="00027452" w:rsidP="00C92BA5">
            <w:pPr>
              <w:rPr>
                <w:rFonts w:asciiTheme="minorHAnsi" w:hAnsiTheme="minorHAnsi" w:cs="Arial"/>
                <w:sz w:val="20"/>
                <w:szCs w:val="20"/>
                <w:u w:val="single"/>
              </w:rPr>
            </w:pPr>
            <w:r w:rsidRPr="00A21238">
              <w:rPr>
                <w:rFonts w:asciiTheme="minorHAnsi" w:hAnsiTheme="minorHAnsi"/>
                <w:b/>
                <w:i/>
                <w:sz w:val="20"/>
                <w:szCs w:val="20"/>
              </w:rPr>
              <w:t>ALK</w:t>
            </w:r>
            <w:r w:rsidRPr="00A21238">
              <w:rPr>
                <w:rFonts w:asciiTheme="minorHAnsi" w:hAnsiTheme="minorHAnsi"/>
                <w:b/>
                <w:sz w:val="20"/>
                <w:szCs w:val="20"/>
              </w:rPr>
              <w:t xml:space="preserve"> rearrangements </w:t>
            </w:r>
          </w:p>
        </w:tc>
        <w:tc>
          <w:tcPr>
            <w:tcW w:w="0" w:type="auto"/>
            <w:vAlign w:val="bottom"/>
          </w:tcPr>
          <w:p w:rsidR="00027452" w:rsidRPr="00A21238" w:rsidRDefault="00E618FC" w:rsidP="00525241">
            <w:pPr>
              <w:jc w:val="center"/>
              <w:rPr>
                <w:rFonts w:asciiTheme="minorHAnsi" w:hAnsiTheme="minorHAnsi" w:cs="Arial"/>
                <w:b/>
                <w:sz w:val="20"/>
                <w:szCs w:val="20"/>
              </w:rPr>
            </w:pPr>
            <w:r w:rsidRPr="00A21238">
              <w:rPr>
                <w:rFonts w:asciiTheme="minorHAnsi" w:hAnsiTheme="minorHAnsi" w:cs="Arial"/>
                <w:b/>
                <w:i/>
                <w:sz w:val="20"/>
                <w:szCs w:val="20"/>
              </w:rPr>
              <w:t xml:space="preserve">ALK </w:t>
            </w:r>
            <w:r w:rsidRPr="00A21238">
              <w:rPr>
                <w:rFonts w:asciiTheme="minorHAnsi" w:hAnsiTheme="minorHAnsi" w:cs="Arial"/>
                <w:b/>
                <w:sz w:val="20"/>
                <w:szCs w:val="20"/>
              </w:rPr>
              <w:t>R</w:t>
            </w:r>
            <w:r w:rsidR="007635C2" w:rsidRPr="00A21238">
              <w:rPr>
                <w:rFonts w:asciiTheme="minorHAnsi" w:hAnsiTheme="minorHAnsi" w:cs="Arial"/>
                <w:b/>
                <w:sz w:val="20"/>
                <w:szCs w:val="20"/>
              </w:rPr>
              <w:t>earrangement Prevalence</w:t>
            </w:r>
          </w:p>
        </w:tc>
        <w:tc>
          <w:tcPr>
            <w:tcW w:w="0" w:type="auto"/>
            <w:vAlign w:val="bottom"/>
          </w:tcPr>
          <w:p w:rsidR="00027452" w:rsidRPr="00A21238" w:rsidRDefault="00E618FC" w:rsidP="00525241">
            <w:pPr>
              <w:jc w:val="center"/>
              <w:rPr>
                <w:rFonts w:asciiTheme="minorHAnsi" w:hAnsiTheme="minorHAnsi" w:cs="Arial"/>
                <w:b/>
                <w:sz w:val="20"/>
                <w:szCs w:val="20"/>
              </w:rPr>
            </w:pPr>
            <w:r w:rsidRPr="00A21238">
              <w:rPr>
                <w:rFonts w:asciiTheme="minorHAnsi" w:hAnsiTheme="minorHAnsi" w:cs="Arial"/>
                <w:b/>
                <w:i/>
                <w:sz w:val="20"/>
                <w:szCs w:val="20"/>
              </w:rPr>
              <w:t>ALK</w:t>
            </w:r>
            <w:r w:rsidRPr="00A21238">
              <w:rPr>
                <w:rFonts w:asciiTheme="minorHAnsi" w:hAnsiTheme="minorHAnsi" w:cs="Arial"/>
                <w:b/>
                <w:sz w:val="20"/>
                <w:szCs w:val="20"/>
              </w:rPr>
              <w:t xml:space="preserve"> Positive</w:t>
            </w:r>
          </w:p>
        </w:tc>
        <w:tc>
          <w:tcPr>
            <w:tcW w:w="0" w:type="auto"/>
            <w:vAlign w:val="bottom"/>
          </w:tcPr>
          <w:p w:rsidR="00027452" w:rsidRPr="00A21238" w:rsidRDefault="00E618FC" w:rsidP="00525241">
            <w:pPr>
              <w:jc w:val="center"/>
              <w:rPr>
                <w:rFonts w:asciiTheme="minorHAnsi" w:hAnsiTheme="minorHAnsi" w:cs="Arial"/>
                <w:b/>
                <w:sz w:val="20"/>
                <w:szCs w:val="20"/>
              </w:rPr>
            </w:pPr>
            <w:r w:rsidRPr="00A21238">
              <w:rPr>
                <w:rFonts w:asciiTheme="minorHAnsi" w:hAnsiTheme="minorHAnsi" w:cs="Arial"/>
                <w:b/>
                <w:i/>
                <w:sz w:val="20"/>
                <w:szCs w:val="20"/>
              </w:rPr>
              <w:t>ALK</w:t>
            </w:r>
            <w:r w:rsidRPr="00A21238">
              <w:rPr>
                <w:rFonts w:asciiTheme="minorHAnsi" w:hAnsiTheme="minorHAnsi" w:cs="Arial"/>
                <w:b/>
                <w:sz w:val="20"/>
                <w:szCs w:val="20"/>
              </w:rPr>
              <w:t xml:space="preserve"> Negative</w:t>
            </w:r>
          </w:p>
        </w:tc>
        <w:tc>
          <w:tcPr>
            <w:tcW w:w="0" w:type="auto"/>
            <w:vAlign w:val="bottom"/>
          </w:tcPr>
          <w:p w:rsidR="00027452" w:rsidRPr="00A21238" w:rsidRDefault="00E618FC" w:rsidP="00525241">
            <w:pPr>
              <w:jc w:val="center"/>
              <w:rPr>
                <w:rFonts w:asciiTheme="minorHAnsi" w:hAnsiTheme="minorHAnsi" w:cs="Arial"/>
                <w:b/>
                <w:sz w:val="20"/>
                <w:szCs w:val="20"/>
              </w:rPr>
            </w:pPr>
            <w:r w:rsidRPr="00A21238">
              <w:rPr>
                <w:rFonts w:asciiTheme="minorHAnsi" w:hAnsiTheme="minorHAnsi" w:cs="Arial"/>
                <w:b/>
                <w:sz w:val="20"/>
                <w:szCs w:val="20"/>
              </w:rPr>
              <w:t>n (N)</w:t>
            </w:r>
          </w:p>
        </w:tc>
      </w:tr>
      <w:tr w:rsidR="00027452" w:rsidRPr="00A21238" w:rsidTr="00314FD6">
        <w:trPr>
          <w:trHeight w:val="341"/>
        </w:trPr>
        <w:tc>
          <w:tcPr>
            <w:tcW w:w="0" w:type="auto"/>
            <w:vAlign w:val="center"/>
          </w:tcPr>
          <w:p w:rsidR="00027452" w:rsidRPr="00A21238" w:rsidRDefault="00027452" w:rsidP="001353E3">
            <w:pPr>
              <w:pStyle w:val="ListParagraph"/>
              <w:ind w:left="360"/>
              <w:contextualSpacing/>
              <w:rPr>
                <w:rFonts w:asciiTheme="minorHAnsi" w:hAnsiTheme="minorHAnsi" w:cs="Arial"/>
                <w:sz w:val="20"/>
                <w:szCs w:val="20"/>
              </w:rPr>
            </w:pPr>
            <w:r w:rsidRPr="00A21238">
              <w:rPr>
                <w:rFonts w:asciiTheme="minorHAnsi" w:hAnsiTheme="minorHAnsi" w:cs="Arial"/>
                <w:sz w:val="20"/>
                <w:szCs w:val="20"/>
              </w:rPr>
              <w:t>Adenocarcinoma</w:t>
            </w:r>
            <w:r w:rsidR="002539B5" w:rsidRPr="00A21238">
              <w:rPr>
                <w:rFonts w:cs="Calibri"/>
                <w:noProof/>
                <w:sz w:val="20"/>
                <w:szCs w:val="20"/>
                <w:vertAlign w:val="superscript"/>
              </w:rPr>
              <w:t>57-60, 62, 65, 66</w:t>
            </w:r>
          </w:p>
          <w:p w:rsidR="00027452" w:rsidRPr="00A21238" w:rsidRDefault="00027452" w:rsidP="001353E3">
            <w:pPr>
              <w:pStyle w:val="ListParagraph"/>
              <w:ind w:left="360"/>
              <w:contextualSpacing/>
              <w:rPr>
                <w:rFonts w:asciiTheme="minorHAnsi" w:hAnsiTheme="minorHAnsi" w:cs="Arial"/>
                <w:sz w:val="20"/>
                <w:szCs w:val="20"/>
              </w:rPr>
            </w:pPr>
            <w:r w:rsidRPr="00A21238">
              <w:rPr>
                <w:rFonts w:asciiTheme="minorHAnsi" w:hAnsiTheme="minorHAnsi"/>
                <w:sz w:val="20"/>
                <w:szCs w:val="20"/>
              </w:rPr>
              <w:t>Squamous</w:t>
            </w:r>
            <w:r w:rsidR="0002496E" w:rsidRPr="0002496E">
              <w:rPr>
                <w:rFonts w:cs="Calibri"/>
                <w:noProof/>
                <w:sz w:val="20"/>
                <w:szCs w:val="20"/>
                <w:vertAlign w:val="superscript"/>
              </w:rPr>
              <w:t>56, 58, 59, 61, 64, 65</w:t>
            </w:r>
            <w:r w:rsidR="002539B5" w:rsidRPr="00A21238">
              <w:rPr>
                <w:rFonts w:cs="Calibri"/>
                <w:sz w:val="20"/>
                <w:szCs w:val="20"/>
              </w:rPr>
              <w:t xml:space="preserve"> </w:t>
            </w:r>
            <w:r w:rsidRPr="00A21238">
              <w:rPr>
                <w:rFonts w:asciiTheme="minorHAnsi" w:hAnsiTheme="minorHAnsi"/>
                <w:sz w:val="20"/>
                <w:szCs w:val="20"/>
              </w:rPr>
              <w:t xml:space="preserve"> </w:t>
            </w:r>
          </w:p>
          <w:p w:rsidR="00027452" w:rsidRPr="00A21238" w:rsidRDefault="00027452" w:rsidP="00E618FC">
            <w:pPr>
              <w:pStyle w:val="ListParagraph"/>
              <w:ind w:left="360"/>
              <w:contextualSpacing/>
              <w:rPr>
                <w:rFonts w:asciiTheme="minorHAnsi" w:hAnsiTheme="minorHAnsi" w:cs="Arial"/>
                <w:sz w:val="20"/>
                <w:szCs w:val="20"/>
              </w:rPr>
            </w:pPr>
            <w:r w:rsidRPr="00A21238">
              <w:rPr>
                <w:rFonts w:asciiTheme="minorHAnsi" w:hAnsiTheme="minorHAnsi"/>
                <w:sz w:val="20"/>
                <w:szCs w:val="20"/>
              </w:rPr>
              <w:t>Adenosquamous</w:t>
            </w:r>
            <w:r w:rsidR="002539B5" w:rsidRPr="00A21238">
              <w:rPr>
                <w:rFonts w:cs="Calibri"/>
                <w:noProof/>
                <w:sz w:val="20"/>
                <w:szCs w:val="20"/>
                <w:vertAlign w:val="superscript"/>
              </w:rPr>
              <w:t>57, 60, 66</w:t>
            </w:r>
          </w:p>
        </w:tc>
        <w:tc>
          <w:tcPr>
            <w:tcW w:w="0" w:type="auto"/>
            <w:vAlign w:val="center"/>
          </w:tcPr>
          <w:p w:rsidR="00027452" w:rsidRPr="00A21238" w:rsidRDefault="00E618FC" w:rsidP="00C92BA5">
            <w:pPr>
              <w:jc w:val="center"/>
              <w:rPr>
                <w:rFonts w:asciiTheme="minorHAnsi" w:hAnsiTheme="minorHAnsi" w:cs="Arial"/>
                <w:sz w:val="20"/>
                <w:szCs w:val="20"/>
              </w:rPr>
            </w:pPr>
            <w:r w:rsidRPr="00A21238">
              <w:rPr>
                <w:rFonts w:asciiTheme="minorHAnsi" w:hAnsiTheme="minorHAnsi" w:cs="Arial"/>
                <w:sz w:val="20"/>
                <w:szCs w:val="20"/>
              </w:rPr>
              <w:t>5%</w:t>
            </w:r>
          </w:p>
          <w:p w:rsidR="00E618FC" w:rsidRPr="00A21238" w:rsidRDefault="00E618FC" w:rsidP="00C92BA5">
            <w:pPr>
              <w:jc w:val="center"/>
              <w:rPr>
                <w:rFonts w:asciiTheme="minorHAnsi" w:hAnsiTheme="minorHAnsi" w:cs="Arial"/>
                <w:sz w:val="20"/>
                <w:szCs w:val="20"/>
              </w:rPr>
            </w:pPr>
            <w:r w:rsidRPr="00A21238">
              <w:rPr>
                <w:rFonts w:asciiTheme="minorHAnsi" w:hAnsiTheme="minorHAnsi" w:cs="Arial"/>
                <w:sz w:val="20"/>
                <w:szCs w:val="20"/>
              </w:rPr>
              <w:t>0.19%</w:t>
            </w:r>
          </w:p>
          <w:p w:rsidR="00E618FC" w:rsidRPr="00A21238" w:rsidRDefault="00E618FC" w:rsidP="00C92BA5">
            <w:pPr>
              <w:jc w:val="center"/>
              <w:rPr>
                <w:rFonts w:asciiTheme="minorHAnsi" w:hAnsiTheme="minorHAnsi" w:cs="Arial"/>
                <w:sz w:val="20"/>
                <w:szCs w:val="20"/>
              </w:rPr>
            </w:pPr>
            <w:r w:rsidRPr="00A21238">
              <w:rPr>
                <w:rFonts w:asciiTheme="minorHAnsi" w:hAnsiTheme="minorHAnsi" w:cs="Arial"/>
                <w:sz w:val="20"/>
                <w:szCs w:val="20"/>
              </w:rPr>
              <w:t>0%</w:t>
            </w:r>
          </w:p>
        </w:tc>
        <w:tc>
          <w:tcPr>
            <w:tcW w:w="0" w:type="auto"/>
            <w:vAlign w:val="center"/>
          </w:tcPr>
          <w:p w:rsidR="00027452" w:rsidRPr="00A21238" w:rsidRDefault="00E618FC" w:rsidP="00C92BA5">
            <w:pPr>
              <w:jc w:val="center"/>
              <w:rPr>
                <w:rFonts w:asciiTheme="minorHAnsi" w:hAnsiTheme="minorHAnsi" w:cs="Arial"/>
                <w:sz w:val="20"/>
                <w:szCs w:val="20"/>
              </w:rPr>
            </w:pPr>
            <w:r w:rsidRPr="00A21238">
              <w:rPr>
                <w:rFonts w:asciiTheme="minorHAnsi" w:hAnsiTheme="minorHAnsi" w:cs="Arial"/>
                <w:sz w:val="20"/>
                <w:szCs w:val="20"/>
              </w:rPr>
              <w:t>67</w:t>
            </w:r>
          </w:p>
          <w:p w:rsidR="00E618FC" w:rsidRPr="00A21238" w:rsidRDefault="00E618FC" w:rsidP="00C92BA5">
            <w:pPr>
              <w:jc w:val="center"/>
              <w:rPr>
                <w:rFonts w:asciiTheme="minorHAnsi" w:hAnsiTheme="minorHAnsi" w:cs="Arial"/>
                <w:sz w:val="20"/>
                <w:szCs w:val="20"/>
              </w:rPr>
            </w:pPr>
            <w:r w:rsidRPr="00A21238">
              <w:rPr>
                <w:rFonts w:asciiTheme="minorHAnsi" w:hAnsiTheme="minorHAnsi" w:cs="Arial"/>
                <w:sz w:val="20"/>
                <w:szCs w:val="20"/>
              </w:rPr>
              <w:t>1</w:t>
            </w:r>
          </w:p>
          <w:p w:rsidR="00E618FC" w:rsidRPr="00A21238" w:rsidRDefault="00E618FC" w:rsidP="00C92BA5">
            <w:pPr>
              <w:jc w:val="center"/>
              <w:rPr>
                <w:rFonts w:asciiTheme="minorHAnsi" w:hAnsiTheme="minorHAnsi" w:cs="Arial"/>
                <w:sz w:val="20"/>
                <w:szCs w:val="20"/>
              </w:rPr>
            </w:pPr>
            <w:r w:rsidRPr="00A21238">
              <w:rPr>
                <w:rFonts w:asciiTheme="minorHAnsi" w:hAnsiTheme="minorHAnsi" w:cs="Arial"/>
                <w:sz w:val="20"/>
                <w:szCs w:val="20"/>
              </w:rPr>
              <w:t>0</w:t>
            </w:r>
          </w:p>
        </w:tc>
        <w:tc>
          <w:tcPr>
            <w:tcW w:w="0" w:type="auto"/>
            <w:vAlign w:val="center"/>
          </w:tcPr>
          <w:p w:rsidR="00027452" w:rsidRPr="00A21238" w:rsidRDefault="00E618FC" w:rsidP="00C92BA5">
            <w:pPr>
              <w:jc w:val="center"/>
              <w:rPr>
                <w:rFonts w:asciiTheme="minorHAnsi" w:hAnsiTheme="minorHAnsi" w:cs="Arial"/>
                <w:sz w:val="20"/>
                <w:szCs w:val="20"/>
              </w:rPr>
            </w:pPr>
            <w:r w:rsidRPr="00A21238">
              <w:rPr>
                <w:rFonts w:asciiTheme="minorHAnsi" w:hAnsiTheme="minorHAnsi" w:cs="Arial"/>
                <w:sz w:val="20"/>
                <w:szCs w:val="20"/>
              </w:rPr>
              <w:t>1319</w:t>
            </w:r>
          </w:p>
          <w:p w:rsidR="00E618FC" w:rsidRPr="00A21238" w:rsidRDefault="00E618FC" w:rsidP="00C92BA5">
            <w:pPr>
              <w:jc w:val="center"/>
              <w:rPr>
                <w:rFonts w:asciiTheme="minorHAnsi" w:hAnsiTheme="minorHAnsi" w:cs="Arial"/>
                <w:sz w:val="20"/>
                <w:szCs w:val="20"/>
              </w:rPr>
            </w:pPr>
            <w:r w:rsidRPr="00A21238">
              <w:rPr>
                <w:rFonts w:asciiTheme="minorHAnsi" w:hAnsiTheme="minorHAnsi" w:cs="Arial"/>
                <w:sz w:val="20"/>
                <w:szCs w:val="20"/>
              </w:rPr>
              <w:t>522</w:t>
            </w:r>
          </w:p>
          <w:p w:rsidR="00E618FC" w:rsidRPr="00A21238" w:rsidRDefault="00E618FC" w:rsidP="00E618FC">
            <w:pPr>
              <w:jc w:val="center"/>
              <w:rPr>
                <w:rFonts w:asciiTheme="minorHAnsi" w:hAnsiTheme="minorHAnsi" w:cs="Arial"/>
                <w:sz w:val="20"/>
                <w:szCs w:val="20"/>
              </w:rPr>
            </w:pPr>
            <w:r w:rsidRPr="00A21238">
              <w:rPr>
                <w:rFonts w:asciiTheme="minorHAnsi" w:hAnsiTheme="minorHAnsi" w:cs="Arial"/>
                <w:sz w:val="20"/>
                <w:szCs w:val="20"/>
              </w:rPr>
              <w:t>19</w:t>
            </w:r>
          </w:p>
        </w:tc>
        <w:tc>
          <w:tcPr>
            <w:tcW w:w="0" w:type="auto"/>
            <w:vAlign w:val="center"/>
          </w:tcPr>
          <w:p w:rsidR="00E618FC" w:rsidRPr="00A21238" w:rsidRDefault="00E618FC" w:rsidP="00C92BA5">
            <w:pPr>
              <w:jc w:val="center"/>
              <w:rPr>
                <w:rFonts w:asciiTheme="minorHAnsi" w:hAnsiTheme="minorHAnsi" w:cs="Arial"/>
                <w:sz w:val="20"/>
                <w:szCs w:val="20"/>
              </w:rPr>
            </w:pPr>
          </w:p>
          <w:p w:rsidR="00E618FC" w:rsidRPr="00A21238" w:rsidRDefault="00E618FC" w:rsidP="00C92BA5">
            <w:pPr>
              <w:jc w:val="center"/>
              <w:rPr>
                <w:rFonts w:asciiTheme="minorHAnsi" w:hAnsiTheme="minorHAnsi" w:cs="Arial"/>
                <w:sz w:val="20"/>
                <w:szCs w:val="20"/>
              </w:rPr>
            </w:pPr>
            <w:r w:rsidRPr="00A21238">
              <w:rPr>
                <w:rFonts w:asciiTheme="minorHAnsi" w:hAnsiTheme="minorHAnsi" w:cs="Arial"/>
                <w:sz w:val="20"/>
                <w:szCs w:val="20"/>
              </w:rPr>
              <w:t>7(1386)</w:t>
            </w:r>
          </w:p>
          <w:p w:rsidR="00E618FC" w:rsidRPr="00A21238" w:rsidRDefault="00E618FC" w:rsidP="00C92BA5">
            <w:pPr>
              <w:jc w:val="center"/>
              <w:rPr>
                <w:rFonts w:asciiTheme="minorHAnsi" w:hAnsiTheme="minorHAnsi" w:cs="Arial"/>
                <w:sz w:val="20"/>
                <w:szCs w:val="20"/>
              </w:rPr>
            </w:pPr>
            <w:r w:rsidRPr="00A21238">
              <w:rPr>
                <w:rFonts w:asciiTheme="minorHAnsi" w:hAnsiTheme="minorHAnsi" w:cs="Arial"/>
                <w:sz w:val="20"/>
                <w:szCs w:val="20"/>
              </w:rPr>
              <w:t>6(523)</w:t>
            </w:r>
          </w:p>
          <w:p w:rsidR="00E618FC" w:rsidRPr="00A21238" w:rsidRDefault="00E618FC" w:rsidP="00C92BA5">
            <w:pPr>
              <w:jc w:val="center"/>
              <w:rPr>
                <w:rFonts w:asciiTheme="minorHAnsi" w:hAnsiTheme="minorHAnsi" w:cs="Arial"/>
                <w:sz w:val="20"/>
                <w:szCs w:val="20"/>
              </w:rPr>
            </w:pPr>
            <w:r w:rsidRPr="00A21238">
              <w:rPr>
                <w:rFonts w:asciiTheme="minorHAnsi" w:hAnsiTheme="minorHAnsi" w:cs="Arial"/>
                <w:sz w:val="20"/>
                <w:szCs w:val="20"/>
              </w:rPr>
              <w:t>3(19)</w:t>
            </w:r>
          </w:p>
          <w:p w:rsidR="00027452" w:rsidRPr="00A21238" w:rsidRDefault="00027452" w:rsidP="00C92BA5">
            <w:pPr>
              <w:jc w:val="center"/>
              <w:rPr>
                <w:rFonts w:asciiTheme="minorHAnsi" w:hAnsiTheme="minorHAnsi" w:cs="Arial"/>
                <w:sz w:val="20"/>
                <w:szCs w:val="20"/>
              </w:rPr>
            </w:pPr>
          </w:p>
        </w:tc>
      </w:tr>
    </w:tbl>
    <w:p w:rsidR="00926334" w:rsidRPr="00A21238" w:rsidRDefault="00437895" w:rsidP="00A26FF8">
      <w:pPr>
        <w:ind w:left="-90"/>
        <w:rPr>
          <w:rFonts w:ascii="Century Gothic" w:hAnsi="Century Gothic" w:cs="Arial"/>
          <w:sz w:val="20"/>
          <w:szCs w:val="20"/>
        </w:rPr>
      </w:pPr>
      <w:r>
        <w:rPr>
          <w:rFonts w:asciiTheme="minorHAnsi" w:hAnsiTheme="minorHAnsi"/>
          <w:sz w:val="18"/>
          <w:szCs w:val="18"/>
        </w:rPr>
        <w:t xml:space="preserve">Abbreviations: </w:t>
      </w:r>
      <w:r w:rsidR="00F62B92" w:rsidRPr="00A21238">
        <w:rPr>
          <w:rFonts w:asciiTheme="minorHAnsi" w:hAnsiTheme="minorHAnsi"/>
          <w:sz w:val="18"/>
          <w:szCs w:val="18"/>
        </w:rPr>
        <w:t>n</w:t>
      </w:r>
      <w:r w:rsidR="00470CE4">
        <w:rPr>
          <w:rFonts w:asciiTheme="minorHAnsi" w:hAnsiTheme="minorHAnsi"/>
          <w:sz w:val="18"/>
          <w:szCs w:val="18"/>
        </w:rPr>
        <w:t>,</w:t>
      </w:r>
      <w:r w:rsidR="00F62B92" w:rsidRPr="00A21238">
        <w:rPr>
          <w:rFonts w:asciiTheme="minorHAnsi" w:hAnsiTheme="minorHAnsi"/>
          <w:sz w:val="18"/>
          <w:szCs w:val="18"/>
        </w:rPr>
        <w:t xml:space="preserve"> Number of studies; N</w:t>
      </w:r>
      <w:r w:rsidR="00470CE4">
        <w:rPr>
          <w:rFonts w:asciiTheme="minorHAnsi" w:hAnsiTheme="minorHAnsi"/>
          <w:sz w:val="18"/>
          <w:szCs w:val="18"/>
        </w:rPr>
        <w:t>,</w:t>
      </w:r>
      <w:r w:rsidR="00F62B92" w:rsidRPr="00A21238">
        <w:rPr>
          <w:rFonts w:asciiTheme="minorHAnsi" w:hAnsiTheme="minorHAnsi"/>
          <w:sz w:val="18"/>
          <w:szCs w:val="18"/>
        </w:rPr>
        <w:t xml:space="preserve"> Number of patients</w:t>
      </w:r>
    </w:p>
    <w:p w:rsidR="00C76131" w:rsidRDefault="00C76131" w:rsidP="00FA01D0">
      <w:pPr>
        <w:rPr>
          <w:rFonts w:ascii="Century Gothic" w:hAnsi="Century Gothic"/>
          <w:b/>
          <w:sz w:val="20"/>
          <w:szCs w:val="20"/>
        </w:rPr>
      </w:pPr>
    </w:p>
    <w:p w:rsidR="00577551" w:rsidRDefault="00577551" w:rsidP="00FA01D0">
      <w:pPr>
        <w:rPr>
          <w:rFonts w:ascii="Century Gothic" w:hAnsi="Century Gothic"/>
          <w:b/>
          <w:sz w:val="20"/>
          <w:szCs w:val="20"/>
        </w:rPr>
      </w:pPr>
    </w:p>
    <w:p w:rsidR="00577551" w:rsidRPr="00A21238" w:rsidRDefault="00577551" w:rsidP="00FA01D0">
      <w:pPr>
        <w:rPr>
          <w:rFonts w:ascii="Century Gothic" w:hAnsi="Century Gothic"/>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76131" w:rsidRPr="00A21238" w:rsidTr="00327473">
        <w:tc>
          <w:tcPr>
            <w:tcW w:w="5000" w:type="pct"/>
            <w:vAlign w:val="center"/>
          </w:tcPr>
          <w:p w:rsidR="00C76131" w:rsidRPr="00A52683" w:rsidRDefault="00EC7A10" w:rsidP="00D769DA">
            <w:pPr>
              <w:pStyle w:val="NoSpacing"/>
              <w:rPr>
                <w:rFonts w:ascii="Times New Roman" w:hAnsi="Times New Roman"/>
                <w:b/>
                <w:lang w:val="en-US"/>
              </w:rPr>
            </w:pPr>
            <w:r w:rsidRPr="00A52683">
              <w:rPr>
                <w:rFonts w:ascii="Times New Roman" w:hAnsi="Times New Roman"/>
                <w:b/>
                <w:lang w:val="en-US"/>
              </w:rPr>
              <w:t>1.4</w:t>
            </w:r>
            <w:r w:rsidR="00791C7B" w:rsidRPr="00A52683">
              <w:rPr>
                <w:rFonts w:ascii="Times New Roman" w:hAnsi="Times New Roman"/>
                <w:b/>
                <w:lang w:val="en-US"/>
              </w:rPr>
              <w:t xml:space="preserve">:  </w:t>
            </w:r>
            <w:r w:rsidR="009613F6" w:rsidRPr="00A52683">
              <w:rPr>
                <w:rFonts w:ascii="Times New Roman" w:hAnsi="Times New Roman"/>
                <w:b/>
                <w:lang w:val="en-US"/>
              </w:rPr>
              <w:t>Recommendation</w:t>
            </w:r>
            <w:r w:rsidRPr="00A52683">
              <w:rPr>
                <w:rFonts w:ascii="Times New Roman" w:hAnsi="Times New Roman"/>
                <w:b/>
                <w:lang w:val="en-US"/>
              </w:rPr>
              <w:t>:</w:t>
            </w:r>
            <w:r w:rsidRPr="00A52683">
              <w:rPr>
                <w:rFonts w:ascii="Times New Roman" w:hAnsi="Times New Roman"/>
              </w:rPr>
              <w:t xml:space="preserve"> </w:t>
            </w:r>
            <w:r w:rsidRPr="00A52683">
              <w:rPr>
                <w:rFonts w:ascii="Times New Roman" w:hAnsi="Times New Roman"/>
                <w:b/>
                <w:lang w:val="en-US"/>
              </w:rPr>
              <w:t xml:space="preserve">To determine </w:t>
            </w:r>
            <w:r w:rsidRPr="00A52683">
              <w:rPr>
                <w:rFonts w:ascii="Times New Roman" w:hAnsi="Times New Roman"/>
                <w:b/>
                <w:i/>
                <w:lang w:val="en-US"/>
              </w:rPr>
              <w:t>EGFR</w:t>
            </w:r>
            <w:r w:rsidRPr="00A52683">
              <w:rPr>
                <w:rFonts w:ascii="Times New Roman" w:hAnsi="Times New Roman"/>
                <w:b/>
                <w:lang w:val="en-US"/>
              </w:rPr>
              <w:t xml:space="preserve"> and </w:t>
            </w:r>
            <w:r w:rsidRPr="00A52683">
              <w:rPr>
                <w:rFonts w:ascii="Times New Roman" w:hAnsi="Times New Roman"/>
                <w:b/>
                <w:i/>
                <w:lang w:val="en-US"/>
              </w:rPr>
              <w:t>ALK</w:t>
            </w:r>
            <w:r w:rsidRPr="00A52683">
              <w:rPr>
                <w:rFonts w:ascii="Times New Roman" w:hAnsi="Times New Roman"/>
                <w:b/>
                <w:lang w:val="en-US"/>
              </w:rPr>
              <w:t xml:space="preserve"> status for initial treatment selection, primary tumors or metastatic lesions are equally suitable for testing.</w:t>
            </w:r>
          </w:p>
        </w:tc>
      </w:tr>
      <w:tr w:rsidR="00C76131" w:rsidRPr="00A21238" w:rsidTr="00327473">
        <w:tc>
          <w:tcPr>
            <w:tcW w:w="5000" w:type="pct"/>
            <w:vAlign w:val="center"/>
          </w:tcPr>
          <w:p w:rsidR="00C76131" w:rsidRPr="00A52683" w:rsidRDefault="00C76131" w:rsidP="00303ED1">
            <w:pPr>
              <w:rPr>
                <w:sz w:val="22"/>
                <w:szCs w:val="22"/>
              </w:rPr>
            </w:pPr>
            <w:r w:rsidRPr="00A52683">
              <w:rPr>
                <w:b/>
                <w:bCs/>
                <w:sz w:val="22"/>
                <w:szCs w:val="22"/>
              </w:rPr>
              <w:t xml:space="preserve">Evidence base: </w:t>
            </w:r>
            <w:r w:rsidR="00303ED1" w:rsidRPr="00A52683">
              <w:rPr>
                <w:b/>
                <w:bCs/>
                <w:sz w:val="22"/>
                <w:szCs w:val="22"/>
              </w:rPr>
              <w:t>B</w:t>
            </w:r>
          </w:p>
        </w:tc>
      </w:tr>
      <w:tr w:rsidR="00C76131" w:rsidRPr="00A21238" w:rsidTr="00327473">
        <w:tc>
          <w:tcPr>
            <w:tcW w:w="5000" w:type="pct"/>
            <w:vAlign w:val="center"/>
          </w:tcPr>
          <w:p w:rsidR="00C76131" w:rsidRPr="00A52683" w:rsidRDefault="00C76131" w:rsidP="00303ED1">
            <w:pPr>
              <w:rPr>
                <w:sz w:val="22"/>
                <w:szCs w:val="22"/>
              </w:rPr>
            </w:pPr>
            <w:r w:rsidRPr="00A52683">
              <w:rPr>
                <w:b/>
                <w:bCs/>
                <w:sz w:val="22"/>
                <w:szCs w:val="22"/>
              </w:rPr>
              <w:t xml:space="preserve">Consistency: </w:t>
            </w:r>
            <w:r w:rsidR="00303ED1" w:rsidRPr="00A52683">
              <w:rPr>
                <w:b/>
                <w:bCs/>
                <w:sz w:val="22"/>
                <w:szCs w:val="22"/>
              </w:rPr>
              <w:t>B</w:t>
            </w:r>
          </w:p>
        </w:tc>
      </w:tr>
      <w:tr w:rsidR="00C76131" w:rsidRPr="00A21238" w:rsidTr="00327473">
        <w:tc>
          <w:tcPr>
            <w:tcW w:w="5000" w:type="pct"/>
            <w:vAlign w:val="center"/>
          </w:tcPr>
          <w:p w:rsidR="00C76131" w:rsidRPr="00A52683" w:rsidRDefault="00C76131" w:rsidP="00327473">
            <w:pPr>
              <w:rPr>
                <w:b/>
                <w:bCs/>
                <w:sz w:val="22"/>
                <w:szCs w:val="22"/>
              </w:rPr>
            </w:pPr>
            <w:r w:rsidRPr="00A52683">
              <w:rPr>
                <w:b/>
                <w:bCs/>
                <w:sz w:val="22"/>
                <w:szCs w:val="22"/>
              </w:rPr>
              <w:t xml:space="preserve">Clinical impact: </w:t>
            </w:r>
            <w:r w:rsidR="00A747F6" w:rsidRPr="00A52683">
              <w:rPr>
                <w:b/>
                <w:bCs/>
                <w:sz w:val="22"/>
                <w:szCs w:val="22"/>
              </w:rPr>
              <w:t>A</w:t>
            </w:r>
          </w:p>
        </w:tc>
      </w:tr>
      <w:tr w:rsidR="00C76131" w:rsidRPr="00A21238" w:rsidTr="00327473">
        <w:tc>
          <w:tcPr>
            <w:tcW w:w="5000" w:type="pct"/>
            <w:vAlign w:val="center"/>
          </w:tcPr>
          <w:p w:rsidR="00C76131" w:rsidRPr="00A52683" w:rsidRDefault="00325387" w:rsidP="00327473">
            <w:pPr>
              <w:rPr>
                <w:b/>
                <w:bCs/>
                <w:sz w:val="22"/>
                <w:szCs w:val="22"/>
              </w:rPr>
            </w:pPr>
            <w:proofErr w:type="spellStart"/>
            <w:r w:rsidRPr="00A52683">
              <w:rPr>
                <w:b/>
                <w:bCs/>
                <w:sz w:val="22"/>
                <w:szCs w:val="22"/>
              </w:rPr>
              <w:t>Generalizability</w:t>
            </w:r>
            <w:proofErr w:type="spellEnd"/>
            <w:r w:rsidRPr="00A52683">
              <w:rPr>
                <w:b/>
                <w:bCs/>
                <w:sz w:val="22"/>
                <w:szCs w:val="22"/>
              </w:rPr>
              <w:t xml:space="preserve">: </w:t>
            </w:r>
            <w:r w:rsidR="00A747F6" w:rsidRPr="00A52683">
              <w:rPr>
                <w:b/>
                <w:bCs/>
                <w:sz w:val="22"/>
                <w:szCs w:val="22"/>
              </w:rPr>
              <w:t>B</w:t>
            </w:r>
          </w:p>
        </w:tc>
      </w:tr>
      <w:tr w:rsidR="00C76131" w:rsidRPr="00A21238" w:rsidTr="00327473">
        <w:tc>
          <w:tcPr>
            <w:tcW w:w="5000" w:type="pct"/>
            <w:vAlign w:val="center"/>
          </w:tcPr>
          <w:p w:rsidR="00C76131" w:rsidRPr="00A52683" w:rsidRDefault="00C76131" w:rsidP="00327473">
            <w:pPr>
              <w:rPr>
                <w:b/>
                <w:bCs/>
                <w:sz w:val="22"/>
                <w:szCs w:val="22"/>
              </w:rPr>
            </w:pPr>
            <w:r w:rsidRPr="00A52683">
              <w:rPr>
                <w:b/>
                <w:bCs/>
                <w:sz w:val="22"/>
                <w:szCs w:val="22"/>
              </w:rPr>
              <w:t xml:space="preserve">Applicability: </w:t>
            </w:r>
            <w:r w:rsidR="00325387" w:rsidRPr="00A52683">
              <w:rPr>
                <w:b/>
                <w:bCs/>
                <w:sz w:val="22"/>
                <w:szCs w:val="22"/>
              </w:rPr>
              <w:t xml:space="preserve"> </w:t>
            </w:r>
            <w:r w:rsidR="00A747F6" w:rsidRPr="00A52683">
              <w:rPr>
                <w:b/>
                <w:bCs/>
                <w:sz w:val="22"/>
                <w:szCs w:val="22"/>
              </w:rPr>
              <w:t>B</w:t>
            </w:r>
          </w:p>
        </w:tc>
      </w:tr>
      <w:tr w:rsidR="00C76131" w:rsidRPr="00A21238" w:rsidTr="00327473">
        <w:tc>
          <w:tcPr>
            <w:tcW w:w="5000" w:type="pct"/>
            <w:vAlign w:val="center"/>
          </w:tcPr>
          <w:p w:rsidR="00C76131" w:rsidRPr="00A52683" w:rsidRDefault="00C76131" w:rsidP="00327473">
            <w:pPr>
              <w:rPr>
                <w:b/>
                <w:bCs/>
                <w:sz w:val="22"/>
                <w:szCs w:val="22"/>
              </w:rPr>
            </w:pPr>
            <w:r w:rsidRPr="00A52683">
              <w:rPr>
                <w:b/>
                <w:sz w:val="22"/>
                <w:szCs w:val="22"/>
              </w:rPr>
              <w:t xml:space="preserve">Overall Grade: </w:t>
            </w:r>
            <w:r w:rsidR="00703464" w:rsidRPr="00A52683">
              <w:rPr>
                <w:b/>
                <w:sz w:val="22"/>
                <w:szCs w:val="22"/>
              </w:rPr>
              <w:t>B</w:t>
            </w:r>
          </w:p>
        </w:tc>
      </w:tr>
    </w:tbl>
    <w:p w:rsidR="00577551" w:rsidRDefault="00577551" w:rsidP="00303ED1">
      <w:pPr>
        <w:rPr>
          <w:rFonts w:asciiTheme="minorHAnsi" w:hAnsiTheme="minorHAnsi" w:cs="Arial"/>
          <w:b/>
        </w:rPr>
      </w:pPr>
    </w:p>
    <w:p w:rsidR="00577551" w:rsidRDefault="00577551">
      <w:pPr>
        <w:rPr>
          <w:rFonts w:asciiTheme="minorHAnsi" w:hAnsiTheme="minorHAnsi" w:cs="Arial"/>
          <w:b/>
        </w:rPr>
      </w:pPr>
      <w:r>
        <w:rPr>
          <w:rFonts w:asciiTheme="minorHAnsi" w:hAnsiTheme="minorHAnsi" w:cs="Arial"/>
          <w:b/>
        </w:rPr>
        <w:br w:type="page"/>
      </w:r>
    </w:p>
    <w:p w:rsidR="00303ED1" w:rsidRPr="00A21238" w:rsidRDefault="00303ED1" w:rsidP="00303ED1">
      <w:pPr>
        <w:rPr>
          <w:rFonts w:asciiTheme="minorHAnsi" w:hAnsiTheme="minorHAnsi" w:cs="Arial"/>
          <w:b/>
        </w:rPr>
      </w:pPr>
    </w:p>
    <w:p w:rsidR="004B0FC5" w:rsidRPr="00A21238" w:rsidRDefault="000E2454" w:rsidP="00303ED1">
      <w:pPr>
        <w:rPr>
          <w:rFonts w:ascii="Century Gothic" w:hAnsi="Century Gothic" w:cs="Arial"/>
          <w:b/>
          <w:sz w:val="20"/>
          <w:szCs w:val="20"/>
        </w:rPr>
      </w:pPr>
      <w:r w:rsidRPr="00A52683">
        <w:rPr>
          <w:b/>
          <w:sz w:val="22"/>
          <w:szCs w:val="22"/>
        </w:rPr>
        <w:t xml:space="preserve">Table </w:t>
      </w:r>
      <w:r w:rsidR="00245238" w:rsidRPr="00A52683">
        <w:rPr>
          <w:b/>
          <w:sz w:val="22"/>
          <w:szCs w:val="22"/>
        </w:rPr>
        <w:t>1</w:t>
      </w:r>
      <w:r w:rsidR="00A566D8" w:rsidRPr="00A52683">
        <w:rPr>
          <w:b/>
          <w:sz w:val="22"/>
          <w:szCs w:val="22"/>
        </w:rPr>
        <w:t>5</w:t>
      </w:r>
      <w:r w:rsidR="00303ED1" w:rsidRPr="00A52683">
        <w:rPr>
          <w:b/>
          <w:sz w:val="22"/>
          <w:szCs w:val="22"/>
        </w:rPr>
        <w:t xml:space="preserve">: </w:t>
      </w:r>
      <w:r w:rsidR="00D07761" w:rsidRPr="00A52683">
        <w:rPr>
          <w:b/>
          <w:sz w:val="22"/>
          <w:szCs w:val="22"/>
        </w:rPr>
        <w:t xml:space="preserve">Detection of </w:t>
      </w:r>
      <w:r w:rsidR="00D07761" w:rsidRPr="00A52683">
        <w:rPr>
          <w:b/>
          <w:i/>
          <w:sz w:val="22"/>
          <w:szCs w:val="22"/>
        </w:rPr>
        <w:t>EGFR</w:t>
      </w:r>
      <w:r w:rsidR="00D07761" w:rsidRPr="00A52683">
        <w:rPr>
          <w:b/>
          <w:sz w:val="22"/>
          <w:szCs w:val="22"/>
        </w:rPr>
        <w:t xml:space="preserve"> mutations in Primary tumors versus Metastatic Lesions in the Same Patient</w:t>
      </w:r>
      <w:r w:rsidR="00D07761" w:rsidRPr="00A21238">
        <w:rPr>
          <w:rFonts w:ascii="Century Gothic" w:hAnsi="Century Gothic" w:cs="Arial"/>
          <w:b/>
          <w:sz w:val="20"/>
          <w:szCs w:val="20"/>
        </w:rPr>
        <w:t xml:space="preserve"> </w:t>
      </w:r>
      <w:r w:rsidR="00BD708D" w:rsidRPr="00A21238">
        <w:rPr>
          <w:rFonts w:ascii="Century Gothic" w:hAnsi="Century Gothic" w:cs="Arial"/>
          <w:b/>
          <w:sz w:val="20"/>
          <w:szCs w:val="20"/>
        </w:rPr>
        <w:t xml:space="preserve"> </w:t>
      </w:r>
      <w:r w:rsidR="00D07761" w:rsidRPr="00A21238">
        <w:rPr>
          <w:rFonts w:ascii="Century Gothic" w:hAnsi="Century Gothic" w:cs="Arial"/>
          <w:b/>
          <w:sz w:val="20"/>
          <w:szCs w:val="20"/>
        </w:rPr>
        <w:t xml:space="preserve"> </w:t>
      </w:r>
    </w:p>
    <w:p w:rsidR="00F91DD1" w:rsidRPr="00A21238" w:rsidRDefault="00F91DD1" w:rsidP="00303ED1">
      <w:pPr>
        <w:rPr>
          <w:rFonts w:ascii="Century Gothic" w:hAnsi="Century Gothic" w:cs="Arial"/>
          <w:b/>
          <w:sz w:val="20"/>
          <w:szCs w:val="20"/>
        </w:rPr>
      </w:pPr>
    </w:p>
    <w:tbl>
      <w:tblPr>
        <w:tblW w:w="3280" w:type="dxa"/>
        <w:tblInd w:w="91" w:type="dxa"/>
        <w:tblLook w:val="04A0"/>
      </w:tblPr>
      <w:tblGrid>
        <w:gridCol w:w="960"/>
        <w:gridCol w:w="641"/>
        <w:gridCol w:w="960"/>
        <w:gridCol w:w="960"/>
      </w:tblGrid>
      <w:tr w:rsidR="00F91DD1" w:rsidRPr="00A21238" w:rsidTr="00F91DD1">
        <w:trPr>
          <w:trHeight w:val="315"/>
        </w:trPr>
        <w:tc>
          <w:tcPr>
            <w:tcW w:w="960" w:type="dxa"/>
            <w:tcBorders>
              <w:top w:val="nil"/>
              <w:left w:val="nil"/>
              <w:bottom w:val="nil"/>
              <w:right w:val="nil"/>
            </w:tcBorders>
            <w:shd w:val="clear" w:color="auto" w:fill="auto"/>
            <w:noWrap/>
            <w:vAlign w:val="bottom"/>
            <w:hideMark/>
          </w:tcPr>
          <w:p w:rsidR="00F91DD1" w:rsidRPr="00A21238" w:rsidRDefault="00F91DD1" w:rsidP="00F91DD1">
            <w:pPr>
              <w:rPr>
                <w:rFonts w:ascii="Calibri" w:hAnsi="Calibri"/>
                <w:sz w:val="22"/>
                <w:szCs w:val="22"/>
              </w:rPr>
            </w:pPr>
          </w:p>
        </w:tc>
        <w:tc>
          <w:tcPr>
            <w:tcW w:w="400" w:type="dxa"/>
            <w:tcBorders>
              <w:top w:val="nil"/>
              <w:left w:val="nil"/>
              <w:bottom w:val="nil"/>
              <w:right w:val="nil"/>
            </w:tcBorders>
            <w:shd w:val="clear" w:color="auto" w:fill="auto"/>
            <w:noWrap/>
            <w:vAlign w:val="bottom"/>
            <w:hideMark/>
          </w:tcPr>
          <w:p w:rsidR="00F91DD1" w:rsidRPr="00A21238" w:rsidRDefault="00F91DD1" w:rsidP="00F91DD1">
            <w:pPr>
              <w:rPr>
                <w:rFonts w:ascii="Calibri" w:hAnsi="Calibri"/>
                <w:sz w:val="22"/>
                <w:szCs w:val="22"/>
              </w:rPr>
            </w:pPr>
          </w:p>
        </w:tc>
        <w:tc>
          <w:tcPr>
            <w:tcW w:w="1920" w:type="dxa"/>
            <w:gridSpan w:val="2"/>
            <w:tcBorders>
              <w:top w:val="nil"/>
              <w:left w:val="nil"/>
              <w:bottom w:val="single" w:sz="8" w:space="0" w:color="auto"/>
              <w:right w:val="nil"/>
            </w:tcBorders>
            <w:shd w:val="clear" w:color="auto" w:fill="auto"/>
            <w:noWrap/>
            <w:vAlign w:val="bottom"/>
            <w:hideMark/>
          </w:tcPr>
          <w:p w:rsidR="00F91DD1" w:rsidRPr="00A21238" w:rsidRDefault="00F91DD1" w:rsidP="00F91DD1">
            <w:pPr>
              <w:rPr>
                <w:rFonts w:ascii="Century Gothic" w:hAnsi="Century Gothic"/>
                <w:b/>
                <w:sz w:val="20"/>
                <w:szCs w:val="20"/>
              </w:rPr>
            </w:pPr>
            <w:r w:rsidRPr="00A21238">
              <w:rPr>
                <w:rFonts w:ascii="Century Gothic" w:hAnsi="Century Gothic"/>
                <w:sz w:val="20"/>
                <w:szCs w:val="20"/>
              </w:rPr>
              <w:t xml:space="preserve">   </w:t>
            </w:r>
            <w:r w:rsidRPr="00A21238">
              <w:rPr>
                <w:rFonts w:ascii="Century Gothic" w:hAnsi="Century Gothic"/>
                <w:b/>
                <w:sz w:val="20"/>
                <w:szCs w:val="20"/>
              </w:rPr>
              <w:t>Primary tumor</w:t>
            </w:r>
          </w:p>
        </w:tc>
      </w:tr>
      <w:tr w:rsidR="00F91DD1" w:rsidRPr="00A21238" w:rsidTr="00F91DD1">
        <w:trPr>
          <w:trHeight w:val="319"/>
        </w:trPr>
        <w:tc>
          <w:tcPr>
            <w:tcW w:w="960" w:type="dxa"/>
            <w:vMerge w:val="restart"/>
            <w:tcBorders>
              <w:top w:val="nil"/>
              <w:left w:val="nil"/>
              <w:bottom w:val="nil"/>
              <w:right w:val="nil"/>
            </w:tcBorders>
            <w:shd w:val="clear" w:color="auto" w:fill="auto"/>
            <w:noWrap/>
            <w:textDirection w:val="btLr"/>
            <w:vAlign w:val="bottom"/>
            <w:hideMark/>
          </w:tcPr>
          <w:p w:rsidR="00F91DD1" w:rsidRPr="00A21238" w:rsidRDefault="00F91DD1" w:rsidP="00525241">
            <w:pPr>
              <w:rPr>
                <w:rFonts w:ascii="Century Gothic" w:hAnsi="Century Gothic"/>
                <w:b/>
                <w:sz w:val="20"/>
                <w:szCs w:val="20"/>
              </w:rPr>
            </w:pPr>
            <w:r w:rsidRPr="00A21238">
              <w:rPr>
                <w:rFonts w:ascii="Century Gothic" w:hAnsi="Century Gothic"/>
                <w:b/>
                <w:sz w:val="20"/>
                <w:szCs w:val="20"/>
              </w:rPr>
              <w:t>Metastatic lesions</w:t>
            </w:r>
          </w:p>
        </w:tc>
        <w:tc>
          <w:tcPr>
            <w:tcW w:w="400" w:type="dxa"/>
            <w:tcBorders>
              <w:top w:val="nil"/>
              <w:left w:val="nil"/>
              <w:bottom w:val="nil"/>
              <w:right w:val="nil"/>
            </w:tcBorders>
            <w:shd w:val="clear" w:color="auto" w:fill="auto"/>
            <w:noWrap/>
            <w:vAlign w:val="bottom"/>
            <w:hideMark/>
          </w:tcPr>
          <w:p w:rsidR="00F91DD1" w:rsidRPr="00A21238" w:rsidRDefault="00F91DD1" w:rsidP="00F91DD1">
            <w:pPr>
              <w:rPr>
                <w:rFonts w:asciiTheme="minorHAnsi" w:hAnsiTheme="minorHAnsi" w:cstheme="minorHAnsi"/>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F91DD1" w:rsidRPr="00A21238" w:rsidRDefault="00F91DD1" w:rsidP="00F91DD1">
            <w:pPr>
              <w:jc w:val="center"/>
              <w:rPr>
                <w:rFonts w:asciiTheme="minorHAnsi" w:hAnsiTheme="minorHAnsi" w:cstheme="minorHAnsi"/>
                <w:sz w:val="20"/>
                <w:szCs w:val="20"/>
              </w:rPr>
            </w:pPr>
            <w:r w:rsidRPr="00A21238">
              <w:rPr>
                <w:rFonts w:asciiTheme="minorHAnsi" w:hAnsiTheme="minorHAnsi" w:cstheme="minorHAnsi"/>
                <w:i/>
                <w:sz w:val="20"/>
                <w:szCs w:val="20"/>
              </w:rPr>
              <w:t>EGFR</w:t>
            </w:r>
            <w:r w:rsidRPr="00A21238">
              <w:rPr>
                <w:rFonts w:asciiTheme="minorHAnsi" w:hAnsiTheme="minorHAnsi" w:cstheme="minorHAnsi"/>
                <w:sz w:val="20"/>
                <w:szCs w:val="20"/>
              </w:rPr>
              <w:t xml:space="preserve"> +</w:t>
            </w:r>
          </w:p>
        </w:tc>
        <w:tc>
          <w:tcPr>
            <w:tcW w:w="960" w:type="dxa"/>
            <w:tcBorders>
              <w:top w:val="nil"/>
              <w:left w:val="nil"/>
              <w:bottom w:val="single" w:sz="8" w:space="0" w:color="auto"/>
              <w:right w:val="single" w:sz="8" w:space="0" w:color="auto"/>
            </w:tcBorders>
            <w:shd w:val="clear" w:color="auto" w:fill="auto"/>
            <w:noWrap/>
            <w:vAlign w:val="bottom"/>
            <w:hideMark/>
          </w:tcPr>
          <w:p w:rsidR="00F91DD1" w:rsidRPr="00A21238" w:rsidRDefault="00F91DD1" w:rsidP="00F91DD1">
            <w:pPr>
              <w:jc w:val="center"/>
              <w:rPr>
                <w:rFonts w:asciiTheme="minorHAnsi" w:hAnsiTheme="minorHAnsi" w:cstheme="minorHAnsi"/>
                <w:sz w:val="20"/>
                <w:szCs w:val="20"/>
              </w:rPr>
            </w:pPr>
            <w:r w:rsidRPr="00A21238">
              <w:rPr>
                <w:rFonts w:asciiTheme="minorHAnsi" w:hAnsiTheme="minorHAnsi" w:cstheme="minorHAnsi"/>
                <w:i/>
                <w:sz w:val="20"/>
                <w:szCs w:val="20"/>
              </w:rPr>
              <w:t>EGFR</w:t>
            </w:r>
            <w:r w:rsidRPr="00A21238">
              <w:rPr>
                <w:rFonts w:asciiTheme="minorHAnsi" w:hAnsiTheme="minorHAnsi" w:cstheme="minorHAnsi"/>
                <w:sz w:val="20"/>
                <w:szCs w:val="20"/>
              </w:rPr>
              <w:t>-</w:t>
            </w:r>
          </w:p>
        </w:tc>
      </w:tr>
      <w:tr w:rsidR="00F91DD1" w:rsidRPr="00A21238" w:rsidTr="00F91DD1">
        <w:trPr>
          <w:trHeight w:val="799"/>
        </w:trPr>
        <w:tc>
          <w:tcPr>
            <w:tcW w:w="960" w:type="dxa"/>
            <w:vMerge/>
            <w:tcBorders>
              <w:top w:val="nil"/>
              <w:left w:val="nil"/>
              <w:bottom w:val="nil"/>
              <w:right w:val="nil"/>
            </w:tcBorders>
            <w:vAlign w:val="center"/>
            <w:hideMark/>
          </w:tcPr>
          <w:p w:rsidR="00F91DD1" w:rsidRPr="00A21238" w:rsidRDefault="00F91DD1" w:rsidP="00F91DD1">
            <w:pPr>
              <w:rPr>
                <w:rFonts w:ascii="Century Gothic" w:hAnsi="Century Gothic"/>
                <w:sz w:val="20"/>
                <w:szCs w:val="20"/>
              </w:rPr>
            </w:pP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1DD1" w:rsidRPr="00A21238" w:rsidRDefault="00F91DD1" w:rsidP="00F91DD1">
            <w:pPr>
              <w:jc w:val="center"/>
              <w:rPr>
                <w:rFonts w:asciiTheme="minorHAnsi" w:hAnsiTheme="minorHAnsi" w:cstheme="minorHAnsi"/>
                <w:sz w:val="20"/>
                <w:szCs w:val="20"/>
              </w:rPr>
            </w:pPr>
            <w:r w:rsidRPr="00A21238">
              <w:rPr>
                <w:rFonts w:asciiTheme="minorHAnsi" w:hAnsiTheme="minorHAnsi" w:cstheme="minorHAnsi"/>
                <w:i/>
                <w:sz w:val="20"/>
                <w:szCs w:val="20"/>
              </w:rPr>
              <w:t>EGFR</w:t>
            </w:r>
            <w:r w:rsidRPr="00A21238">
              <w:rPr>
                <w:rFonts w:asciiTheme="minorHAnsi" w:hAnsiTheme="minorHAnsi" w:cstheme="minorHAnsi"/>
                <w:sz w:val="20"/>
                <w:szCs w:val="20"/>
              </w:rPr>
              <w:t xml:space="preserve"> +</w:t>
            </w:r>
          </w:p>
        </w:tc>
        <w:tc>
          <w:tcPr>
            <w:tcW w:w="960" w:type="dxa"/>
            <w:tcBorders>
              <w:top w:val="nil"/>
              <w:left w:val="nil"/>
              <w:bottom w:val="single" w:sz="8" w:space="0" w:color="auto"/>
              <w:right w:val="single" w:sz="8" w:space="0" w:color="auto"/>
            </w:tcBorders>
            <w:shd w:val="clear" w:color="auto" w:fill="auto"/>
            <w:noWrap/>
            <w:vAlign w:val="center"/>
            <w:hideMark/>
          </w:tcPr>
          <w:p w:rsidR="00F91DD1" w:rsidRPr="00A21238" w:rsidRDefault="00F91DD1" w:rsidP="00F91DD1">
            <w:pPr>
              <w:jc w:val="center"/>
              <w:rPr>
                <w:rFonts w:asciiTheme="minorHAnsi" w:hAnsiTheme="minorHAnsi" w:cstheme="minorHAnsi"/>
                <w:sz w:val="20"/>
                <w:szCs w:val="20"/>
              </w:rPr>
            </w:pPr>
            <w:r w:rsidRPr="00A21238">
              <w:rPr>
                <w:rFonts w:asciiTheme="minorHAnsi" w:hAnsiTheme="minorHAnsi" w:cstheme="minorHAnsi"/>
                <w:sz w:val="20"/>
                <w:szCs w:val="20"/>
              </w:rPr>
              <w:t>108</w:t>
            </w:r>
          </w:p>
        </w:tc>
        <w:tc>
          <w:tcPr>
            <w:tcW w:w="960" w:type="dxa"/>
            <w:tcBorders>
              <w:top w:val="nil"/>
              <w:left w:val="nil"/>
              <w:bottom w:val="single" w:sz="8" w:space="0" w:color="auto"/>
              <w:right w:val="single" w:sz="8" w:space="0" w:color="auto"/>
            </w:tcBorders>
            <w:shd w:val="clear" w:color="auto" w:fill="auto"/>
            <w:noWrap/>
            <w:vAlign w:val="center"/>
            <w:hideMark/>
          </w:tcPr>
          <w:p w:rsidR="00F91DD1" w:rsidRPr="00A21238" w:rsidRDefault="00F91DD1" w:rsidP="00F91DD1">
            <w:pPr>
              <w:jc w:val="center"/>
              <w:rPr>
                <w:rFonts w:asciiTheme="minorHAnsi" w:hAnsiTheme="minorHAnsi" w:cstheme="minorHAnsi"/>
                <w:sz w:val="20"/>
                <w:szCs w:val="20"/>
              </w:rPr>
            </w:pPr>
            <w:r w:rsidRPr="00A21238">
              <w:rPr>
                <w:rFonts w:asciiTheme="minorHAnsi" w:hAnsiTheme="minorHAnsi" w:cstheme="minorHAnsi"/>
                <w:sz w:val="20"/>
                <w:szCs w:val="20"/>
              </w:rPr>
              <w:t>6</w:t>
            </w:r>
          </w:p>
        </w:tc>
      </w:tr>
      <w:tr w:rsidR="00F91DD1" w:rsidRPr="00A21238" w:rsidTr="00F91DD1">
        <w:trPr>
          <w:trHeight w:val="799"/>
        </w:trPr>
        <w:tc>
          <w:tcPr>
            <w:tcW w:w="960" w:type="dxa"/>
            <w:vMerge/>
            <w:tcBorders>
              <w:top w:val="nil"/>
              <w:left w:val="nil"/>
              <w:bottom w:val="nil"/>
              <w:right w:val="nil"/>
            </w:tcBorders>
            <w:vAlign w:val="center"/>
            <w:hideMark/>
          </w:tcPr>
          <w:p w:rsidR="00F91DD1" w:rsidRPr="00A21238" w:rsidRDefault="00F91DD1" w:rsidP="00F91DD1">
            <w:pPr>
              <w:rPr>
                <w:rFonts w:ascii="Century Gothic" w:hAnsi="Century Gothic"/>
                <w:sz w:val="20"/>
                <w:szCs w:val="20"/>
              </w:rPr>
            </w:pPr>
          </w:p>
        </w:tc>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F91DD1" w:rsidRPr="00A21238" w:rsidRDefault="00F91DD1" w:rsidP="00F91DD1">
            <w:pPr>
              <w:jc w:val="center"/>
              <w:rPr>
                <w:rFonts w:asciiTheme="minorHAnsi" w:hAnsiTheme="minorHAnsi" w:cstheme="minorHAnsi"/>
                <w:sz w:val="20"/>
                <w:szCs w:val="20"/>
              </w:rPr>
            </w:pPr>
            <w:r w:rsidRPr="00A21238">
              <w:rPr>
                <w:rFonts w:asciiTheme="minorHAnsi" w:hAnsiTheme="minorHAnsi" w:cstheme="minorHAnsi"/>
                <w:i/>
                <w:sz w:val="20"/>
                <w:szCs w:val="20"/>
              </w:rPr>
              <w:t xml:space="preserve">EGFR </w:t>
            </w:r>
            <w:r w:rsidRPr="00A21238">
              <w:rPr>
                <w:rFonts w:asciiTheme="minorHAnsi" w:hAnsiTheme="minorHAnsi" w:cstheme="minorHAnsi"/>
                <w:sz w:val="20"/>
                <w:szCs w:val="20"/>
              </w:rPr>
              <w:t>-</w:t>
            </w:r>
          </w:p>
        </w:tc>
        <w:tc>
          <w:tcPr>
            <w:tcW w:w="960" w:type="dxa"/>
            <w:tcBorders>
              <w:top w:val="nil"/>
              <w:left w:val="nil"/>
              <w:bottom w:val="single" w:sz="8" w:space="0" w:color="auto"/>
              <w:right w:val="single" w:sz="8" w:space="0" w:color="auto"/>
            </w:tcBorders>
            <w:shd w:val="clear" w:color="auto" w:fill="auto"/>
            <w:noWrap/>
            <w:vAlign w:val="center"/>
            <w:hideMark/>
          </w:tcPr>
          <w:p w:rsidR="00F91DD1" w:rsidRPr="00A21238" w:rsidRDefault="00F91DD1" w:rsidP="00F91DD1">
            <w:pPr>
              <w:jc w:val="center"/>
              <w:rPr>
                <w:rFonts w:asciiTheme="minorHAnsi" w:hAnsiTheme="minorHAnsi" w:cstheme="minorHAnsi"/>
                <w:sz w:val="20"/>
                <w:szCs w:val="20"/>
              </w:rPr>
            </w:pPr>
            <w:r w:rsidRPr="00A21238">
              <w:rPr>
                <w:rFonts w:asciiTheme="minorHAnsi" w:hAnsiTheme="minorHAnsi" w:cstheme="minorHAnsi"/>
                <w:sz w:val="20"/>
                <w:szCs w:val="20"/>
              </w:rPr>
              <w:t>11</w:t>
            </w:r>
          </w:p>
        </w:tc>
        <w:tc>
          <w:tcPr>
            <w:tcW w:w="960" w:type="dxa"/>
            <w:tcBorders>
              <w:top w:val="nil"/>
              <w:left w:val="nil"/>
              <w:bottom w:val="single" w:sz="8" w:space="0" w:color="auto"/>
              <w:right w:val="single" w:sz="8" w:space="0" w:color="auto"/>
            </w:tcBorders>
            <w:shd w:val="clear" w:color="auto" w:fill="auto"/>
            <w:noWrap/>
            <w:vAlign w:val="center"/>
            <w:hideMark/>
          </w:tcPr>
          <w:p w:rsidR="00F91DD1" w:rsidRPr="00A21238" w:rsidRDefault="00F91DD1" w:rsidP="00F91DD1">
            <w:pPr>
              <w:jc w:val="center"/>
              <w:rPr>
                <w:rFonts w:asciiTheme="minorHAnsi" w:hAnsiTheme="minorHAnsi" w:cstheme="minorHAnsi"/>
                <w:sz w:val="20"/>
                <w:szCs w:val="20"/>
              </w:rPr>
            </w:pPr>
            <w:r w:rsidRPr="00A21238">
              <w:rPr>
                <w:rFonts w:asciiTheme="minorHAnsi" w:hAnsiTheme="minorHAnsi" w:cstheme="minorHAnsi"/>
                <w:sz w:val="20"/>
                <w:szCs w:val="20"/>
              </w:rPr>
              <w:t>183</w:t>
            </w:r>
          </w:p>
        </w:tc>
      </w:tr>
    </w:tbl>
    <w:p w:rsidR="005553BF" w:rsidRPr="00535C9E" w:rsidRDefault="00535C9E" w:rsidP="00145700">
      <w:pPr>
        <w:rPr>
          <w:rFonts w:ascii="Calibri" w:hAnsi="Calibri" w:cs="Calibri"/>
          <w:sz w:val="20"/>
          <w:szCs w:val="20"/>
        </w:rPr>
      </w:pPr>
      <w:r>
        <w:rPr>
          <w:rFonts w:ascii="Calibri" w:hAnsi="Calibri" w:cs="Calibri"/>
          <w:b/>
          <w:sz w:val="20"/>
          <w:szCs w:val="20"/>
        </w:rPr>
        <w:tab/>
      </w:r>
      <w:r w:rsidRPr="00535C9E">
        <w:rPr>
          <w:rFonts w:ascii="Calibri" w:hAnsi="Calibri" w:cs="Calibri"/>
          <w:sz w:val="20"/>
          <w:szCs w:val="20"/>
        </w:rPr>
        <w:t>Data derived from references</w:t>
      </w:r>
      <w:r w:rsidRPr="00535C9E">
        <w:rPr>
          <w:rFonts w:ascii="Century Gothic" w:hAnsi="Century Gothic" w:cs="Arial"/>
          <w:noProof/>
          <w:sz w:val="20"/>
          <w:szCs w:val="20"/>
          <w:vertAlign w:val="superscript"/>
        </w:rPr>
        <w:t>66-68</w:t>
      </w:r>
    </w:p>
    <w:p w:rsidR="00A623F2" w:rsidRDefault="00A623F2">
      <w:pPr>
        <w:rPr>
          <w:rFonts w:ascii="Century Gothic" w:hAnsi="Century Gothic"/>
          <w:b/>
          <w:sz w:val="22"/>
          <w:szCs w:val="22"/>
        </w:rPr>
      </w:pPr>
    </w:p>
    <w:p w:rsidR="008C300A" w:rsidRPr="00A21238" w:rsidRDefault="008C300A">
      <w:pPr>
        <w:rPr>
          <w:rFonts w:ascii="Century Gothic" w:hAnsi="Century Gothic"/>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D6BE3" w:rsidRPr="00A52683" w:rsidTr="00AD6BE3">
        <w:tc>
          <w:tcPr>
            <w:tcW w:w="5000" w:type="pct"/>
            <w:vAlign w:val="center"/>
          </w:tcPr>
          <w:p w:rsidR="00C82900" w:rsidRPr="00A52683" w:rsidRDefault="00D769DA" w:rsidP="00C82900">
            <w:pPr>
              <w:pStyle w:val="NoSpacing"/>
              <w:rPr>
                <w:rFonts w:ascii="Times New Roman" w:hAnsi="Times New Roman"/>
                <w:b/>
              </w:rPr>
            </w:pPr>
            <w:r w:rsidRPr="00A52683">
              <w:rPr>
                <w:rFonts w:ascii="Times New Roman" w:hAnsi="Times New Roman"/>
                <w:b/>
                <w:lang w:val="en-US"/>
              </w:rPr>
              <w:t>1.5</w:t>
            </w:r>
            <w:r w:rsidR="005553BF" w:rsidRPr="00A52683">
              <w:rPr>
                <w:rFonts w:ascii="Times New Roman" w:hAnsi="Times New Roman"/>
                <w:b/>
                <w:lang w:val="en-US"/>
              </w:rPr>
              <w:t xml:space="preserve"> Expert </w:t>
            </w:r>
            <w:r w:rsidR="00031CF5">
              <w:rPr>
                <w:rFonts w:ascii="Times New Roman" w:hAnsi="Times New Roman"/>
                <w:b/>
                <w:lang w:val="en-US"/>
              </w:rPr>
              <w:t>C</w:t>
            </w:r>
            <w:r w:rsidR="005553BF" w:rsidRPr="00A52683">
              <w:rPr>
                <w:rFonts w:ascii="Times New Roman" w:hAnsi="Times New Roman"/>
                <w:b/>
                <w:lang w:val="en-US"/>
              </w:rPr>
              <w:t>onsensus</w:t>
            </w:r>
            <w:r w:rsidR="00A070F6" w:rsidRPr="00A52683">
              <w:rPr>
                <w:rFonts w:ascii="Times New Roman" w:hAnsi="Times New Roman"/>
                <w:b/>
                <w:lang w:val="en-US"/>
              </w:rPr>
              <w:t xml:space="preserve"> </w:t>
            </w:r>
            <w:r w:rsidR="00031CF5">
              <w:rPr>
                <w:rFonts w:ascii="Times New Roman" w:hAnsi="Times New Roman"/>
                <w:b/>
                <w:lang w:val="en-US"/>
              </w:rPr>
              <w:t>O</w:t>
            </w:r>
            <w:r w:rsidR="00A070F6" w:rsidRPr="00A52683">
              <w:rPr>
                <w:rFonts w:ascii="Times New Roman" w:hAnsi="Times New Roman"/>
                <w:b/>
                <w:lang w:val="en-US"/>
              </w:rPr>
              <w:t>pinion</w:t>
            </w:r>
            <w:r w:rsidR="00EC7A10" w:rsidRPr="00A52683">
              <w:rPr>
                <w:rFonts w:ascii="Times New Roman" w:hAnsi="Times New Roman"/>
                <w:b/>
                <w:lang w:val="en-US"/>
              </w:rPr>
              <w:t xml:space="preserve">: </w:t>
            </w:r>
            <w:r w:rsidR="00791C7B" w:rsidRPr="00A52683">
              <w:rPr>
                <w:rFonts w:ascii="Times New Roman" w:hAnsi="Times New Roman"/>
                <w:b/>
                <w:lang w:val="en-US"/>
              </w:rPr>
              <w:t xml:space="preserve"> </w:t>
            </w:r>
            <w:r w:rsidR="00373B5C">
              <w:rPr>
                <w:rFonts w:ascii="Times New Roman" w:hAnsi="Times New Roman"/>
                <w:b/>
                <w:lang w:val="en-US"/>
              </w:rPr>
              <w:t>For</w:t>
            </w:r>
            <w:r w:rsidR="00EC7A10" w:rsidRPr="00A52683">
              <w:rPr>
                <w:rFonts w:ascii="Times New Roman" w:hAnsi="Times New Roman"/>
                <w:b/>
                <w:lang w:val="en-US"/>
              </w:rPr>
              <w:t xml:space="preserve"> patients with multiple, apparently separate, primary lung adenocarcinomas, each tumor </w:t>
            </w:r>
            <w:proofErr w:type="gramStart"/>
            <w:r w:rsidR="00EC7A10" w:rsidRPr="00A52683">
              <w:rPr>
                <w:rFonts w:ascii="Times New Roman" w:hAnsi="Times New Roman"/>
                <w:b/>
                <w:lang w:val="en-US"/>
              </w:rPr>
              <w:t>may be tested</w:t>
            </w:r>
            <w:proofErr w:type="gramEnd"/>
            <w:r w:rsidR="00EC7A10" w:rsidRPr="00A52683">
              <w:rPr>
                <w:rFonts w:ascii="Times New Roman" w:hAnsi="Times New Roman"/>
                <w:b/>
                <w:lang w:val="en-US"/>
              </w:rPr>
              <w:t xml:space="preserve"> but testing of multiple different areas within a single tumor is not necessary.</w:t>
            </w:r>
          </w:p>
        </w:tc>
      </w:tr>
    </w:tbl>
    <w:p w:rsidR="00D23DE8" w:rsidRPr="00A52683" w:rsidRDefault="00D23DE8" w:rsidP="00145700">
      <w:pPr>
        <w:rPr>
          <w:sz w:val="22"/>
          <w:szCs w:val="22"/>
        </w:rPr>
      </w:pPr>
    </w:p>
    <w:p w:rsidR="005553BF" w:rsidRPr="00A52683" w:rsidRDefault="005553BF" w:rsidP="00145700">
      <w:pPr>
        <w:rPr>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50DE4" w:rsidRPr="00A52683" w:rsidTr="00705DBE">
        <w:tc>
          <w:tcPr>
            <w:tcW w:w="9576" w:type="dxa"/>
            <w:vAlign w:val="center"/>
          </w:tcPr>
          <w:p w:rsidR="00EB2880" w:rsidRPr="00A52683" w:rsidRDefault="00D769DA" w:rsidP="001178B5">
            <w:pPr>
              <w:pStyle w:val="NoSpacing"/>
              <w:rPr>
                <w:rFonts w:ascii="Times New Roman" w:hAnsi="Times New Roman"/>
                <w:b/>
              </w:rPr>
            </w:pPr>
            <w:r w:rsidRPr="00A52683">
              <w:rPr>
                <w:rFonts w:ascii="Times New Roman" w:hAnsi="Times New Roman"/>
                <w:b/>
              </w:rPr>
              <w:t>2.1a</w:t>
            </w:r>
            <w:r w:rsidR="00EB2880" w:rsidRPr="00A52683">
              <w:rPr>
                <w:rFonts w:ascii="Times New Roman" w:hAnsi="Times New Roman"/>
                <w:b/>
              </w:rPr>
              <w:t>:   Recommendation:</w:t>
            </w:r>
            <w:r w:rsidR="00EB2880" w:rsidRPr="001178B5">
              <w:rPr>
                <w:rFonts w:ascii="Times New Roman" w:hAnsi="Times New Roman"/>
                <w:b/>
              </w:rPr>
              <w:t xml:space="preserve"> </w:t>
            </w:r>
            <w:r w:rsidR="001178B5" w:rsidRPr="001178B5">
              <w:rPr>
                <w:rFonts w:ascii="Times New Roman" w:hAnsi="Times New Roman"/>
                <w:b/>
                <w:i/>
              </w:rPr>
              <w:t>EGFR</w:t>
            </w:r>
            <w:r w:rsidR="001178B5" w:rsidRPr="001178B5">
              <w:rPr>
                <w:rFonts w:ascii="Times New Roman" w:hAnsi="Times New Roman"/>
                <w:b/>
              </w:rPr>
              <w:t xml:space="preserve"> mutation testing should be ordered at the time of diagnosis for patients presenting with advanced</w:t>
            </w:r>
            <w:r w:rsidR="00373B5C">
              <w:rPr>
                <w:rFonts w:ascii="Times New Roman" w:hAnsi="Times New Roman"/>
                <w:b/>
              </w:rPr>
              <w:t>-</w:t>
            </w:r>
            <w:r w:rsidR="001178B5" w:rsidRPr="001178B5">
              <w:rPr>
                <w:rFonts w:ascii="Times New Roman" w:hAnsi="Times New Roman"/>
                <w:b/>
              </w:rPr>
              <w:t>stage disease (stage IV according to the 7</w:t>
            </w:r>
            <w:r w:rsidR="001178B5" w:rsidRPr="001178B5">
              <w:rPr>
                <w:rFonts w:ascii="Times New Roman" w:hAnsi="Times New Roman"/>
                <w:b/>
                <w:vertAlign w:val="superscript"/>
              </w:rPr>
              <w:t>th</w:t>
            </w:r>
            <w:r w:rsidR="00357441">
              <w:rPr>
                <w:rFonts w:ascii="Times New Roman" w:hAnsi="Times New Roman"/>
                <w:b/>
              </w:rPr>
              <w:t xml:space="preserve"> edition </w:t>
            </w:r>
            <w:proofErr w:type="spellStart"/>
            <w:r w:rsidR="00357441">
              <w:rPr>
                <w:rFonts w:ascii="Times New Roman" w:hAnsi="Times New Roman"/>
                <w:b/>
              </w:rPr>
              <w:t>tumor</w:t>
            </w:r>
            <w:proofErr w:type="spellEnd"/>
            <w:r w:rsidR="00357441">
              <w:rPr>
                <w:rFonts w:ascii="Times New Roman" w:hAnsi="Times New Roman"/>
                <w:b/>
              </w:rPr>
              <w:t xml:space="preserve"> node m</w:t>
            </w:r>
            <w:r w:rsidR="001178B5" w:rsidRPr="001178B5">
              <w:rPr>
                <w:rFonts w:ascii="Times New Roman" w:hAnsi="Times New Roman"/>
                <w:b/>
              </w:rPr>
              <w:t xml:space="preserve">etastasis </w:t>
            </w:r>
            <w:r w:rsidR="00373B5C">
              <w:rPr>
                <w:rFonts w:ascii="Times New Roman" w:hAnsi="Times New Roman"/>
                <w:b/>
              </w:rPr>
              <w:t>[</w:t>
            </w:r>
            <w:r w:rsidR="001178B5" w:rsidRPr="001178B5">
              <w:rPr>
                <w:rFonts w:ascii="Times New Roman" w:hAnsi="Times New Roman"/>
                <w:b/>
              </w:rPr>
              <w:t>TNM</w:t>
            </w:r>
            <w:r w:rsidR="00373B5C">
              <w:rPr>
                <w:rFonts w:ascii="Times New Roman" w:hAnsi="Times New Roman"/>
                <w:b/>
              </w:rPr>
              <w:t>]</w:t>
            </w:r>
            <w:r w:rsidR="001178B5" w:rsidRPr="001178B5">
              <w:rPr>
                <w:rFonts w:ascii="Times New Roman" w:hAnsi="Times New Roman"/>
                <w:b/>
              </w:rPr>
              <w:t xml:space="preserve"> staging system) who are suitable for therapy</w:t>
            </w:r>
            <w:r w:rsidR="009739E3">
              <w:rPr>
                <w:rFonts w:ascii="Times New Roman" w:hAnsi="Times New Roman"/>
                <w:b/>
              </w:rPr>
              <w:t>,</w:t>
            </w:r>
            <w:r w:rsidR="001178B5" w:rsidRPr="001178B5">
              <w:rPr>
                <w:rFonts w:ascii="Times New Roman" w:hAnsi="Times New Roman"/>
                <w:b/>
              </w:rPr>
              <w:t xml:space="preserve"> or at time of recurrence or progression in patients who originally pre</w:t>
            </w:r>
            <w:r w:rsidR="00C353FE">
              <w:rPr>
                <w:rFonts w:ascii="Times New Roman" w:hAnsi="Times New Roman"/>
                <w:b/>
              </w:rPr>
              <w:t>sented with lower</w:t>
            </w:r>
            <w:r w:rsidR="00373B5C">
              <w:rPr>
                <w:rFonts w:ascii="Times New Roman" w:hAnsi="Times New Roman"/>
                <w:b/>
              </w:rPr>
              <w:t>-</w:t>
            </w:r>
            <w:r w:rsidR="00C353FE">
              <w:rPr>
                <w:rFonts w:ascii="Times New Roman" w:hAnsi="Times New Roman"/>
                <w:b/>
              </w:rPr>
              <w:t>stage disease but were not previously tested.</w:t>
            </w:r>
            <w:r w:rsidR="001178B5" w:rsidRPr="001178B5">
              <w:rPr>
                <w:rFonts w:ascii="Times New Roman" w:hAnsi="Times New Roman"/>
                <w:b/>
              </w:rPr>
              <w:t xml:space="preserve">  </w:t>
            </w:r>
          </w:p>
        </w:tc>
      </w:tr>
      <w:tr w:rsidR="00750DE4" w:rsidRPr="00A52683" w:rsidTr="00705DBE">
        <w:tc>
          <w:tcPr>
            <w:tcW w:w="9576" w:type="dxa"/>
            <w:vAlign w:val="center"/>
          </w:tcPr>
          <w:p w:rsidR="00750DE4" w:rsidRPr="00A52683" w:rsidRDefault="00750DE4" w:rsidP="00750DE4">
            <w:pPr>
              <w:rPr>
                <w:sz w:val="22"/>
                <w:szCs w:val="22"/>
              </w:rPr>
            </w:pPr>
            <w:r w:rsidRPr="00A52683">
              <w:rPr>
                <w:b/>
                <w:bCs/>
                <w:sz w:val="22"/>
                <w:szCs w:val="22"/>
              </w:rPr>
              <w:t>Evidence base: A</w:t>
            </w:r>
          </w:p>
        </w:tc>
      </w:tr>
      <w:tr w:rsidR="00750DE4" w:rsidRPr="00A52683" w:rsidTr="00705DBE">
        <w:tc>
          <w:tcPr>
            <w:tcW w:w="9576" w:type="dxa"/>
            <w:vAlign w:val="center"/>
          </w:tcPr>
          <w:p w:rsidR="00750DE4" w:rsidRPr="00A52683" w:rsidRDefault="00750DE4" w:rsidP="00750DE4">
            <w:pPr>
              <w:rPr>
                <w:sz w:val="22"/>
                <w:szCs w:val="22"/>
              </w:rPr>
            </w:pPr>
            <w:r w:rsidRPr="00A52683">
              <w:rPr>
                <w:b/>
                <w:bCs/>
                <w:sz w:val="22"/>
                <w:szCs w:val="22"/>
              </w:rPr>
              <w:t>Consistency: A</w:t>
            </w:r>
          </w:p>
        </w:tc>
      </w:tr>
      <w:tr w:rsidR="00750DE4" w:rsidRPr="00A52683" w:rsidTr="00705DBE">
        <w:tc>
          <w:tcPr>
            <w:tcW w:w="9576" w:type="dxa"/>
            <w:vAlign w:val="center"/>
          </w:tcPr>
          <w:p w:rsidR="00750DE4" w:rsidRPr="00A52683" w:rsidRDefault="00750DE4" w:rsidP="00750DE4">
            <w:pPr>
              <w:rPr>
                <w:b/>
                <w:bCs/>
                <w:sz w:val="22"/>
                <w:szCs w:val="22"/>
              </w:rPr>
            </w:pPr>
            <w:r w:rsidRPr="00A52683">
              <w:rPr>
                <w:b/>
                <w:bCs/>
                <w:sz w:val="22"/>
                <w:szCs w:val="22"/>
              </w:rPr>
              <w:t>Clinical impact: A</w:t>
            </w:r>
          </w:p>
        </w:tc>
      </w:tr>
      <w:tr w:rsidR="00750DE4" w:rsidRPr="00A52683" w:rsidTr="00705DBE">
        <w:tc>
          <w:tcPr>
            <w:tcW w:w="9576" w:type="dxa"/>
            <w:vAlign w:val="center"/>
          </w:tcPr>
          <w:p w:rsidR="00750DE4" w:rsidRPr="00A52683" w:rsidRDefault="00750DE4" w:rsidP="00750DE4">
            <w:pPr>
              <w:rPr>
                <w:b/>
                <w:bCs/>
                <w:sz w:val="22"/>
                <w:szCs w:val="22"/>
              </w:rPr>
            </w:pPr>
            <w:proofErr w:type="spellStart"/>
            <w:r w:rsidRPr="00A52683">
              <w:rPr>
                <w:b/>
                <w:bCs/>
                <w:sz w:val="22"/>
                <w:szCs w:val="22"/>
              </w:rPr>
              <w:t>Generalizability</w:t>
            </w:r>
            <w:proofErr w:type="spellEnd"/>
            <w:r w:rsidRPr="00A52683">
              <w:rPr>
                <w:b/>
                <w:bCs/>
                <w:sz w:val="22"/>
                <w:szCs w:val="22"/>
              </w:rPr>
              <w:t>: A</w:t>
            </w:r>
          </w:p>
        </w:tc>
      </w:tr>
      <w:tr w:rsidR="00750DE4" w:rsidRPr="00A52683" w:rsidTr="00705DBE">
        <w:tc>
          <w:tcPr>
            <w:tcW w:w="9576" w:type="dxa"/>
            <w:vAlign w:val="center"/>
          </w:tcPr>
          <w:p w:rsidR="00750DE4" w:rsidRPr="00A52683" w:rsidRDefault="00750DE4" w:rsidP="00750DE4">
            <w:pPr>
              <w:rPr>
                <w:b/>
                <w:bCs/>
                <w:sz w:val="22"/>
                <w:szCs w:val="22"/>
              </w:rPr>
            </w:pPr>
            <w:r w:rsidRPr="00A52683">
              <w:rPr>
                <w:b/>
                <w:bCs/>
                <w:sz w:val="22"/>
                <w:szCs w:val="22"/>
              </w:rPr>
              <w:t>Applicability: A</w:t>
            </w:r>
          </w:p>
        </w:tc>
      </w:tr>
      <w:tr w:rsidR="00750DE4" w:rsidRPr="00A52683" w:rsidTr="00705DBE">
        <w:tc>
          <w:tcPr>
            <w:tcW w:w="9576" w:type="dxa"/>
            <w:vAlign w:val="center"/>
          </w:tcPr>
          <w:p w:rsidR="00750DE4" w:rsidRPr="00A52683" w:rsidRDefault="00750DE4" w:rsidP="00750DE4">
            <w:pPr>
              <w:rPr>
                <w:b/>
                <w:bCs/>
                <w:sz w:val="22"/>
                <w:szCs w:val="22"/>
              </w:rPr>
            </w:pPr>
            <w:r w:rsidRPr="00A52683">
              <w:rPr>
                <w:b/>
                <w:sz w:val="22"/>
                <w:szCs w:val="22"/>
              </w:rPr>
              <w:t>Overall Grade: A</w:t>
            </w:r>
          </w:p>
        </w:tc>
      </w:tr>
    </w:tbl>
    <w:p w:rsidR="004B0FC5" w:rsidRPr="00A21238" w:rsidRDefault="004B0FC5" w:rsidP="00750DE4">
      <w:pPr>
        <w:ind w:left="360"/>
        <w:rPr>
          <w:rFonts w:ascii="Century Gothic" w:hAnsi="Century Gothic"/>
          <w:sz w:val="18"/>
          <w:szCs w:val="18"/>
        </w:rPr>
      </w:pPr>
    </w:p>
    <w:p w:rsidR="007C2737" w:rsidRPr="00A21238" w:rsidRDefault="007C2737" w:rsidP="00410C91">
      <w:pPr>
        <w:rPr>
          <w:rFonts w:ascii="Century Gothic" w:hAnsi="Century Gothic" w:cs="Arial"/>
          <w:b/>
          <w:sz w:val="20"/>
          <w:szCs w:val="20"/>
        </w:rPr>
      </w:pPr>
    </w:p>
    <w:p w:rsidR="006609E3" w:rsidRPr="00A21238" w:rsidRDefault="006609E3" w:rsidP="00410C91">
      <w:pPr>
        <w:rPr>
          <w:rFonts w:ascii="Century Gothic" w:hAnsi="Century Gothic" w:cs="Arial"/>
          <w:b/>
          <w:sz w:val="20"/>
          <w:szCs w:val="20"/>
        </w:rPr>
      </w:pPr>
    </w:p>
    <w:p w:rsidR="006609E3" w:rsidRPr="00A21238" w:rsidRDefault="006609E3" w:rsidP="00410C91">
      <w:pPr>
        <w:rPr>
          <w:rFonts w:ascii="Century Gothic" w:hAnsi="Century Gothic" w:cs="Arial"/>
          <w:b/>
          <w:sz w:val="20"/>
          <w:szCs w:val="20"/>
        </w:rPr>
      </w:pPr>
    </w:p>
    <w:p w:rsidR="006609E3" w:rsidRPr="00A21238" w:rsidRDefault="006609E3" w:rsidP="00410C91">
      <w:pPr>
        <w:rPr>
          <w:rFonts w:ascii="Century Gothic" w:hAnsi="Century Gothic" w:cs="Arial"/>
          <w:b/>
          <w:sz w:val="20"/>
          <w:szCs w:val="20"/>
        </w:rPr>
      </w:pPr>
    </w:p>
    <w:p w:rsidR="006609E3" w:rsidRPr="00A21238" w:rsidRDefault="006609E3" w:rsidP="00410C91">
      <w:pPr>
        <w:rPr>
          <w:rFonts w:ascii="Century Gothic" w:hAnsi="Century Gothic" w:cs="Arial"/>
          <w:b/>
          <w:sz w:val="20"/>
          <w:szCs w:val="20"/>
        </w:rPr>
      </w:pPr>
    </w:p>
    <w:p w:rsidR="006609E3" w:rsidRPr="00A21238" w:rsidRDefault="006609E3" w:rsidP="00410C91">
      <w:pPr>
        <w:rPr>
          <w:rFonts w:ascii="Century Gothic" w:hAnsi="Century Gothic" w:cs="Arial"/>
          <w:b/>
          <w:sz w:val="20"/>
          <w:szCs w:val="20"/>
        </w:rPr>
      </w:pPr>
    </w:p>
    <w:p w:rsidR="006609E3" w:rsidRPr="00A21238" w:rsidRDefault="006609E3" w:rsidP="00410C91">
      <w:pPr>
        <w:rPr>
          <w:rFonts w:ascii="Century Gothic" w:hAnsi="Century Gothic" w:cs="Arial"/>
          <w:b/>
          <w:sz w:val="20"/>
          <w:szCs w:val="20"/>
        </w:rPr>
      </w:pPr>
    </w:p>
    <w:p w:rsidR="006609E3" w:rsidRPr="00A21238" w:rsidRDefault="006609E3" w:rsidP="00410C91">
      <w:pPr>
        <w:rPr>
          <w:rFonts w:ascii="Century Gothic" w:hAnsi="Century Gothic" w:cs="Arial"/>
          <w:b/>
          <w:sz w:val="20"/>
          <w:szCs w:val="20"/>
        </w:rPr>
      </w:pPr>
    </w:p>
    <w:p w:rsidR="006609E3" w:rsidRPr="00A21238" w:rsidRDefault="006609E3" w:rsidP="00410C91">
      <w:pPr>
        <w:rPr>
          <w:rFonts w:ascii="Century Gothic" w:hAnsi="Century Gothic" w:cs="Arial"/>
          <w:b/>
          <w:sz w:val="20"/>
          <w:szCs w:val="20"/>
        </w:rPr>
      </w:pPr>
    </w:p>
    <w:p w:rsidR="00577551" w:rsidRDefault="00577551">
      <w:pPr>
        <w:rPr>
          <w:rFonts w:ascii="Century Gothic" w:hAnsi="Century Gothic" w:cs="Arial"/>
          <w:b/>
          <w:sz w:val="20"/>
          <w:szCs w:val="20"/>
        </w:rPr>
      </w:pPr>
      <w:r>
        <w:rPr>
          <w:rFonts w:ascii="Century Gothic" w:hAnsi="Century Gothic" w:cs="Arial"/>
          <w:b/>
          <w:sz w:val="20"/>
          <w:szCs w:val="20"/>
        </w:rPr>
        <w:br w:type="page"/>
      </w:r>
    </w:p>
    <w:p w:rsidR="00410C91" w:rsidRPr="00A52683" w:rsidRDefault="000E2454" w:rsidP="00A52683">
      <w:pPr>
        <w:ind w:left="-90"/>
        <w:rPr>
          <w:b/>
          <w:sz w:val="22"/>
          <w:szCs w:val="22"/>
        </w:rPr>
      </w:pPr>
      <w:r w:rsidRPr="00A52683">
        <w:rPr>
          <w:b/>
          <w:sz w:val="22"/>
          <w:szCs w:val="22"/>
        </w:rPr>
        <w:lastRenderedPageBreak/>
        <w:t xml:space="preserve">Table </w:t>
      </w:r>
      <w:r w:rsidR="00245238" w:rsidRPr="00A52683">
        <w:rPr>
          <w:b/>
          <w:sz w:val="22"/>
          <w:szCs w:val="22"/>
        </w:rPr>
        <w:t>1</w:t>
      </w:r>
      <w:r w:rsidR="00A566D8" w:rsidRPr="00A52683">
        <w:rPr>
          <w:b/>
          <w:sz w:val="22"/>
          <w:szCs w:val="22"/>
        </w:rPr>
        <w:t>6</w:t>
      </w:r>
      <w:r w:rsidR="00BE3833" w:rsidRPr="00A52683">
        <w:rPr>
          <w:b/>
          <w:sz w:val="22"/>
          <w:szCs w:val="22"/>
        </w:rPr>
        <w:t xml:space="preserve">: </w:t>
      </w:r>
      <w:r w:rsidR="00410C91" w:rsidRPr="00A52683">
        <w:rPr>
          <w:b/>
          <w:sz w:val="22"/>
          <w:szCs w:val="22"/>
        </w:rPr>
        <w:t xml:space="preserve">Different outcomes in advanced disease (stage III and IV) lung cancer patients with and without </w:t>
      </w:r>
      <w:r w:rsidR="00410C91" w:rsidRPr="00A52683">
        <w:rPr>
          <w:b/>
          <w:i/>
          <w:sz w:val="22"/>
          <w:szCs w:val="22"/>
        </w:rPr>
        <w:t>EGFR</w:t>
      </w:r>
      <w:r w:rsidR="00410C91" w:rsidRPr="00A52683">
        <w:rPr>
          <w:b/>
          <w:sz w:val="22"/>
          <w:szCs w:val="22"/>
        </w:rPr>
        <w:t xml:space="preserve"> mutations, treated with Tyrosine Kinase Inhibitor</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9"/>
        <w:gridCol w:w="1080"/>
        <w:gridCol w:w="1159"/>
        <w:gridCol w:w="1080"/>
        <w:gridCol w:w="1999"/>
        <w:gridCol w:w="1061"/>
      </w:tblGrid>
      <w:tr w:rsidR="00AC49C6" w:rsidRPr="00A21238" w:rsidTr="005E32CB">
        <w:tc>
          <w:tcPr>
            <w:tcW w:w="3359" w:type="dxa"/>
            <w:vMerge w:val="restart"/>
            <w:vAlign w:val="bottom"/>
          </w:tcPr>
          <w:p w:rsidR="00410C91" w:rsidRPr="00A21238" w:rsidRDefault="00410C91" w:rsidP="00EB03FC">
            <w:pPr>
              <w:rPr>
                <w:rFonts w:ascii="Calibri" w:hAnsi="Calibri" w:cs="Calibri"/>
                <w:b/>
                <w:sz w:val="20"/>
                <w:szCs w:val="20"/>
              </w:rPr>
            </w:pPr>
            <w:r w:rsidRPr="00A21238">
              <w:rPr>
                <w:rFonts w:ascii="Calibri" w:hAnsi="Calibri" w:cs="Calibri"/>
                <w:b/>
                <w:sz w:val="20"/>
                <w:szCs w:val="20"/>
              </w:rPr>
              <w:t>Outcome</w:t>
            </w:r>
          </w:p>
        </w:tc>
        <w:tc>
          <w:tcPr>
            <w:tcW w:w="2239" w:type="dxa"/>
            <w:gridSpan w:val="2"/>
          </w:tcPr>
          <w:p w:rsidR="00410C91" w:rsidRPr="00A21238" w:rsidRDefault="00CB3F2E" w:rsidP="00CB3F2E">
            <w:pPr>
              <w:jc w:val="center"/>
              <w:rPr>
                <w:rFonts w:ascii="Calibri" w:hAnsi="Calibri" w:cs="Calibri"/>
                <w:b/>
                <w:sz w:val="20"/>
                <w:szCs w:val="20"/>
              </w:rPr>
            </w:pPr>
            <w:r w:rsidRPr="00A21238">
              <w:rPr>
                <w:rFonts w:ascii="Calibri" w:hAnsi="Calibri" w:cs="Calibri"/>
                <w:b/>
                <w:sz w:val="20"/>
                <w:szCs w:val="20"/>
              </w:rPr>
              <w:t>Percentage</w:t>
            </w:r>
          </w:p>
        </w:tc>
        <w:tc>
          <w:tcPr>
            <w:tcW w:w="1080" w:type="dxa"/>
            <w:vMerge w:val="restart"/>
            <w:vAlign w:val="bottom"/>
          </w:tcPr>
          <w:p w:rsidR="00410C91" w:rsidRPr="00A21238" w:rsidRDefault="00410C91" w:rsidP="00525241">
            <w:pPr>
              <w:jc w:val="center"/>
              <w:rPr>
                <w:rFonts w:ascii="Calibri" w:hAnsi="Calibri" w:cs="Calibri"/>
                <w:b/>
                <w:sz w:val="20"/>
                <w:szCs w:val="20"/>
              </w:rPr>
            </w:pPr>
            <w:r w:rsidRPr="00A21238">
              <w:rPr>
                <w:rFonts w:ascii="Calibri" w:hAnsi="Calibri" w:cs="Calibri"/>
                <w:b/>
                <w:sz w:val="20"/>
                <w:szCs w:val="20"/>
              </w:rPr>
              <w:t>n (N)</w:t>
            </w:r>
          </w:p>
        </w:tc>
        <w:tc>
          <w:tcPr>
            <w:tcW w:w="1999" w:type="dxa"/>
            <w:vMerge w:val="restart"/>
            <w:vAlign w:val="bottom"/>
          </w:tcPr>
          <w:p w:rsidR="00410C91" w:rsidRPr="00A21238" w:rsidRDefault="00410C91" w:rsidP="00525241">
            <w:pPr>
              <w:jc w:val="center"/>
              <w:rPr>
                <w:rFonts w:ascii="Calibri" w:hAnsi="Calibri" w:cs="Calibri"/>
                <w:b/>
                <w:sz w:val="20"/>
                <w:szCs w:val="20"/>
                <w:lang w:val="fr-CA"/>
              </w:rPr>
            </w:pPr>
            <w:r w:rsidRPr="00A21238">
              <w:rPr>
                <w:rFonts w:ascii="Calibri" w:hAnsi="Calibri" w:cs="Calibri"/>
                <w:b/>
                <w:sz w:val="20"/>
                <w:szCs w:val="20"/>
                <w:lang w:val="fr-CA"/>
              </w:rPr>
              <w:t>RR [95% CI] or</w:t>
            </w:r>
          </w:p>
          <w:p w:rsidR="00410C91" w:rsidRPr="00A21238" w:rsidRDefault="00410C91" w:rsidP="00525241">
            <w:pPr>
              <w:jc w:val="center"/>
              <w:rPr>
                <w:rFonts w:ascii="Calibri" w:hAnsi="Calibri" w:cs="Calibri"/>
                <w:b/>
                <w:sz w:val="20"/>
                <w:szCs w:val="20"/>
                <w:lang w:val="fr-CA"/>
              </w:rPr>
            </w:pPr>
            <w:r w:rsidRPr="00A21238">
              <w:rPr>
                <w:rFonts w:ascii="Calibri" w:hAnsi="Calibri" w:cs="Calibri"/>
                <w:b/>
                <w:sz w:val="20"/>
                <w:szCs w:val="20"/>
                <w:lang w:val="fr-CA"/>
              </w:rPr>
              <w:t>WMD [95% CI]</w:t>
            </w:r>
          </w:p>
        </w:tc>
        <w:tc>
          <w:tcPr>
            <w:tcW w:w="1061" w:type="dxa"/>
            <w:vMerge w:val="restart"/>
            <w:vAlign w:val="bottom"/>
          </w:tcPr>
          <w:p w:rsidR="00410C91" w:rsidRPr="00A21238" w:rsidRDefault="00F60EE8" w:rsidP="00525241">
            <w:pPr>
              <w:jc w:val="center"/>
              <w:rPr>
                <w:rFonts w:ascii="Calibri" w:hAnsi="Calibri" w:cs="Calibri"/>
                <w:b/>
                <w:sz w:val="20"/>
                <w:szCs w:val="20"/>
              </w:rPr>
            </w:pPr>
            <w:r w:rsidRPr="00A21238">
              <w:rPr>
                <w:rFonts w:ascii="Calibri" w:hAnsi="Calibri" w:cs="Calibri"/>
                <w:b/>
                <w:i/>
                <w:sz w:val="20"/>
                <w:szCs w:val="20"/>
              </w:rPr>
              <w:t>P</w:t>
            </w:r>
            <w:r w:rsidR="00410C91" w:rsidRPr="00A21238">
              <w:rPr>
                <w:rFonts w:ascii="Calibri" w:hAnsi="Calibri" w:cs="Calibri"/>
                <w:b/>
                <w:sz w:val="20"/>
                <w:szCs w:val="20"/>
              </w:rPr>
              <w:t xml:space="preserve"> value</w:t>
            </w:r>
          </w:p>
        </w:tc>
      </w:tr>
      <w:tr w:rsidR="00AC49C6" w:rsidRPr="00A21238" w:rsidTr="005E32CB">
        <w:trPr>
          <w:trHeight w:val="394"/>
        </w:trPr>
        <w:tc>
          <w:tcPr>
            <w:tcW w:w="3359" w:type="dxa"/>
            <w:vMerge/>
          </w:tcPr>
          <w:p w:rsidR="00410C91" w:rsidRPr="00A21238" w:rsidRDefault="00410C91" w:rsidP="006B5899">
            <w:pPr>
              <w:jc w:val="center"/>
              <w:rPr>
                <w:rFonts w:ascii="Calibri" w:hAnsi="Calibri" w:cs="Calibri"/>
                <w:b/>
                <w:sz w:val="20"/>
                <w:szCs w:val="20"/>
              </w:rPr>
            </w:pPr>
          </w:p>
        </w:tc>
        <w:tc>
          <w:tcPr>
            <w:tcW w:w="1080" w:type="dxa"/>
          </w:tcPr>
          <w:p w:rsidR="00410C91" w:rsidRPr="00A21238" w:rsidRDefault="00410C91" w:rsidP="006B5899">
            <w:pPr>
              <w:jc w:val="center"/>
              <w:rPr>
                <w:rFonts w:ascii="Calibri" w:hAnsi="Calibri" w:cs="Calibri"/>
                <w:b/>
                <w:i/>
                <w:sz w:val="20"/>
                <w:szCs w:val="20"/>
              </w:rPr>
            </w:pPr>
            <w:r w:rsidRPr="00A21238">
              <w:rPr>
                <w:rFonts w:ascii="Calibri" w:hAnsi="Calibri" w:cs="Calibri"/>
                <w:b/>
                <w:i/>
                <w:sz w:val="20"/>
                <w:szCs w:val="20"/>
              </w:rPr>
              <w:t>EGFR</w:t>
            </w:r>
          </w:p>
          <w:p w:rsidR="00410C91" w:rsidRPr="00A21238" w:rsidRDefault="00410C91" w:rsidP="006B5899">
            <w:pPr>
              <w:jc w:val="center"/>
              <w:rPr>
                <w:rFonts w:ascii="Calibri" w:hAnsi="Calibri" w:cs="Calibri"/>
                <w:b/>
                <w:sz w:val="20"/>
                <w:szCs w:val="20"/>
              </w:rPr>
            </w:pPr>
            <w:r w:rsidRPr="00A21238">
              <w:rPr>
                <w:rFonts w:ascii="Calibri" w:hAnsi="Calibri" w:cs="Calibri"/>
                <w:b/>
                <w:sz w:val="20"/>
                <w:szCs w:val="20"/>
              </w:rPr>
              <w:t>Mutations</w:t>
            </w:r>
          </w:p>
        </w:tc>
        <w:tc>
          <w:tcPr>
            <w:tcW w:w="1159" w:type="dxa"/>
          </w:tcPr>
          <w:p w:rsidR="00410C91" w:rsidRPr="00A21238" w:rsidRDefault="00410C91" w:rsidP="006B5899">
            <w:pPr>
              <w:jc w:val="center"/>
              <w:rPr>
                <w:rFonts w:ascii="Calibri" w:hAnsi="Calibri" w:cs="Calibri"/>
                <w:b/>
                <w:sz w:val="20"/>
                <w:szCs w:val="20"/>
              </w:rPr>
            </w:pPr>
            <w:r w:rsidRPr="00A21238">
              <w:rPr>
                <w:rFonts w:ascii="Calibri" w:hAnsi="Calibri" w:cs="Calibri"/>
                <w:b/>
                <w:sz w:val="20"/>
                <w:szCs w:val="20"/>
              </w:rPr>
              <w:t>No Mutations</w:t>
            </w:r>
          </w:p>
        </w:tc>
        <w:tc>
          <w:tcPr>
            <w:tcW w:w="1080" w:type="dxa"/>
            <w:vMerge/>
          </w:tcPr>
          <w:p w:rsidR="00410C91" w:rsidRPr="00A21238" w:rsidRDefault="00410C91" w:rsidP="006B5899">
            <w:pPr>
              <w:jc w:val="center"/>
              <w:rPr>
                <w:rFonts w:ascii="Calibri" w:hAnsi="Calibri" w:cs="Calibri"/>
                <w:b/>
                <w:sz w:val="20"/>
                <w:szCs w:val="20"/>
              </w:rPr>
            </w:pPr>
          </w:p>
        </w:tc>
        <w:tc>
          <w:tcPr>
            <w:tcW w:w="1999" w:type="dxa"/>
            <w:vMerge/>
          </w:tcPr>
          <w:p w:rsidR="00410C91" w:rsidRPr="00A21238" w:rsidRDefault="00410C91" w:rsidP="006B5899">
            <w:pPr>
              <w:jc w:val="center"/>
              <w:rPr>
                <w:rFonts w:ascii="Calibri" w:hAnsi="Calibri" w:cs="Calibri"/>
                <w:b/>
                <w:sz w:val="20"/>
                <w:szCs w:val="20"/>
              </w:rPr>
            </w:pPr>
          </w:p>
        </w:tc>
        <w:tc>
          <w:tcPr>
            <w:tcW w:w="1061" w:type="dxa"/>
            <w:vMerge/>
          </w:tcPr>
          <w:p w:rsidR="00410C91" w:rsidRPr="00A21238" w:rsidRDefault="00410C91" w:rsidP="006B5899">
            <w:pPr>
              <w:jc w:val="center"/>
              <w:rPr>
                <w:rFonts w:ascii="Calibri" w:hAnsi="Calibri" w:cs="Calibri"/>
                <w:b/>
                <w:sz w:val="20"/>
                <w:szCs w:val="20"/>
              </w:rPr>
            </w:pPr>
          </w:p>
        </w:tc>
      </w:tr>
      <w:tr w:rsidR="00AC49C6" w:rsidRPr="00A21238" w:rsidTr="005E32CB">
        <w:trPr>
          <w:trHeight w:val="602"/>
        </w:trPr>
        <w:tc>
          <w:tcPr>
            <w:tcW w:w="3359" w:type="dxa"/>
            <w:vAlign w:val="bottom"/>
          </w:tcPr>
          <w:p w:rsidR="00410C91" w:rsidRPr="00A21238" w:rsidRDefault="00410C91" w:rsidP="00525241">
            <w:pPr>
              <w:rPr>
                <w:rFonts w:ascii="Calibri" w:hAnsi="Calibri" w:cs="Calibri"/>
                <w:sz w:val="20"/>
                <w:szCs w:val="20"/>
              </w:rPr>
            </w:pPr>
            <w:r w:rsidRPr="00A21238">
              <w:rPr>
                <w:rFonts w:ascii="Calibri" w:hAnsi="Calibri" w:cs="Calibri"/>
                <w:sz w:val="20"/>
                <w:szCs w:val="20"/>
              </w:rPr>
              <w:t>Response rate (%)</w:t>
            </w:r>
            <w:r w:rsidR="0002496E" w:rsidRPr="0002496E">
              <w:rPr>
                <w:rFonts w:ascii="Calibri" w:hAnsi="Calibri" w:cs="Calibri"/>
                <w:noProof/>
                <w:sz w:val="20"/>
                <w:szCs w:val="20"/>
                <w:vertAlign w:val="superscript"/>
              </w:rPr>
              <w:t>12, 16, 20, 21, 23, 24, 31, 33-35, 37, 38, 41, 43, 44, 46, 54, 55, 69-88</w:t>
            </w:r>
            <w:r w:rsidR="003265B0">
              <w:rPr>
                <w:rFonts w:ascii="Calibri" w:hAnsi="Calibri" w:cs="Calibri"/>
                <w:noProof/>
                <w:sz w:val="20"/>
                <w:szCs w:val="20"/>
                <w:vertAlign w:val="superscript"/>
              </w:rPr>
              <w:t>, 90, 92</w:t>
            </w:r>
          </w:p>
          <w:p w:rsidR="00410C91" w:rsidRPr="00A21238" w:rsidRDefault="00410C91" w:rsidP="00525241">
            <w:pPr>
              <w:pStyle w:val="ListParagraph"/>
              <w:ind w:left="360"/>
              <w:contextualSpacing/>
              <w:rPr>
                <w:rFonts w:cs="Calibri"/>
                <w:sz w:val="20"/>
                <w:szCs w:val="20"/>
              </w:rPr>
            </w:pPr>
            <w:r w:rsidRPr="00A21238">
              <w:rPr>
                <w:rFonts w:cs="Calibri"/>
                <w:sz w:val="20"/>
                <w:szCs w:val="20"/>
              </w:rPr>
              <w:t>Advanced disease (Stage III and IV)</w:t>
            </w:r>
          </w:p>
        </w:tc>
        <w:tc>
          <w:tcPr>
            <w:tcW w:w="1080" w:type="dxa"/>
            <w:vAlign w:val="bottom"/>
          </w:tcPr>
          <w:p w:rsidR="007C2737" w:rsidRPr="00A21238" w:rsidRDefault="007C2737" w:rsidP="00525241">
            <w:pPr>
              <w:jc w:val="center"/>
              <w:rPr>
                <w:rFonts w:ascii="Calibri" w:hAnsi="Calibri" w:cs="Calibri"/>
                <w:sz w:val="20"/>
                <w:szCs w:val="20"/>
              </w:rPr>
            </w:pPr>
          </w:p>
          <w:p w:rsidR="00410C91" w:rsidRPr="00A21238" w:rsidRDefault="003615E5" w:rsidP="00525241">
            <w:pPr>
              <w:jc w:val="center"/>
              <w:rPr>
                <w:rFonts w:ascii="Calibri" w:hAnsi="Calibri" w:cs="Calibri"/>
                <w:sz w:val="20"/>
                <w:szCs w:val="20"/>
              </w:rPr>
            </w:pPr>
            <w:r w:rsidRPr="00A21238">
              <w:rPr>
                <w:rFonts w:ascii="Calibri" w:hAnsi="Calibri" w:cs="Calibri"/>
                <w:sz w:val="20"/>
                <w:szCs w:val="20"/>
              </w:rPr>
              <w:t>68%</w:t>
            </w:r>
          </w:p>
        </w:tc>
        <w:tc>
          <w:tcPr>
            <w:tcW w:w="1159" w:type="dxa"/>
            <w:vAlign w:val="bottom"/>
          </w:tcPr>
          <w:p w:rsidR="007C2737" w:rsidRPr="00A21238" w:rsidRDefault="007C2737" w:rsidP="00525241">
            <w:pPr>
              <w:jc w:val="center"/>
              <w:rPr>
                <w:rFonts w:ascii="Calibri" w:hAnsi="Calibri" w:cs="Calibri"/>
                <w:sz w:val="20"/>
                <w:szCs w:val="20"/>
              </w:rPr>
            </w:pPr>
          </w:p>
          <w:p w:rsidR="00410C91" w:rsidRPr="00A21238" w:rsidRDefault="003615E5" w:rsidP="00525241">
            <w:pPr>
              <w:jc w:val="center"/>
              <w:rPr>
                <w:rFonts w:ascii="Calibri" w:hAnsi="Calibri" w:cs="Calibri"/>
                <w:sz w:val="20"/>
                <w:szCs w:val="20"/>
              </w:rPr>
            </w:pPr>
            <w:r w:rsidRPr="00A21238">
              <w:rPr>
                <w:rFonts w:ascii="Calibri" w:hAnsi="Calibri" w:cs="Calibri"/>
                <w:sz w:val="20"/>
                <w:szCs w:val="20"/>
              </w:rPr>
              <w:t>11%</w:t>
            </w:r>
          </w:p>
        </w:tc>
        <w:tc>
          <w:tcPr>
            <w:tcW w:w="1080" w:type="dxa"/>
            <w:vAlign w:val="bottom"/>
          </w:tcPr>
          <w:p w:rsidR="007C2737" w:rsidRPr="00A21238" w:rsidRDefault="007C2737" w:rsidP="00525241">
            <w:pPr>
              <w:jc w:val="center"/>
              <w:rPr>
                <w:rFonts w:ascii="Calibri" w:hAnsi="Calibri" w:cs="Calibri"/>
                <w:sz w:val="20"/>
                <w:szCs w:val="20"/>
              </w:rPr>
            </w:pPr>
          </w:p>
          <w:p w:rsidR="00F70700" w:rsidRPr="00A21238" w:rsidRDefault="00611AE6" w:rsidP="00525241">
            <w:pPr>
              <w:jc w:val="center"/>
              <w:rPr>
                <w:rFonts w:ascii="Calibri" w:hAnsi="Calibri" w:cs="Calibri"/>
                <w:sz w:val="20"/>
                <w:szCs w:val="20"/>
              </w:rPr>
            </w:pPr>
            <w:r>
              <w:rPr>
                <w:rFonts w:ascii="Calibri" w:hAnsi="Calibri" w:cs="Calibri"/>
                <w:sz w:val="20"/>
                <w:szCs w:val="20"/>
              </w:rPr>
              <w:t>40(3093)</w:t>
            </w:r>
          </w:p>
        </w:tc>
        <w:tc>
          <w:tcPr>
            <w:tcW w:w="1999" w:type="dxa"/>
            <w:vAlign w:val="bottom"/>
          </w:tcPr>
          <w:p w:rsidR="00F70700" w:rsidRPr="00A21238" w:rsidRDefault="00F70700" w:rsidP="00525241">
            <w:pPr>
              <w:jc w:val="center"/>
              <w:rPr>
                <w:rFonts w:ascii="Calibri" w:hAnsi="Calibri" w:cs="Calibri"/>
                <w:sz w:val="20"/>
                <w:szCs w:val="20"/>
              </w:rPr>
            </w:pPr>
          </w:p>
          <w:p w:rsidR="00410C91" w:rsidRPr="00A21238" w:rsidRDefault="00611AE6" w:rsidP="00525241">
            <w:pPr>
              <w:jc w:val="center"/>
              <w:rPr>
                <w:rFonts w:ascii="Calibri" w:hAnsi="Calibri" w:cs="Calibri"/>
                <w:sz w:val="20"/>
                <w:szCs w:val="20"/>
              </w:rPr>
            </w:pPr>
            <w:r>
              <w:rPr>
                <w:rFonts w:ascii="Calibri" w:hAnsi="Calibri" w:cs="Calibri"/>
                <w:sz w:val="20"/>
                <w:szCs w:val="20"/>
              </w:rPr>
              <w:t>5.17 [4.29, 6.22]</w:t>
            </w:r>
          </w:p>
        </w:tc>
        <w:tc>
          <w:tcPr>
            <w:tcW w:w="1061" w:type="dxa"/>
            <w:vAlign w:val="bottom"/>
          </w:tcPr>
          <w:p w:rsidR="00410C91" w:rsidRPr="00A21238" w:rsidRDefault="00410C91" w:rsidP="00525241">
            <w:pPr>
              <w:jc w:val="center"/>
              <w:rPr>
                <w:rFonts w:ascii="Calibri" w:hAnsi="Calibri" w:cs="Calibri"/>
                <w:sz w:val="20"/>
                <w:szCs w:val="20"/>
              </w:rPr>
            </w:pPr>
          </w:p>
          <w:p w:rsidR="00F70700" w:rsidRPr="00A21238" w:rsidRDefault="00F60EE8" w:rsidP="00525241">
            <w:pPr>
              <w:jc w:val="center"/>
              <w:rPr>
                <w:rFonts w:ascii="Calibri" w:hAnsi="Calibri" w:cs="Calibri"/>
                <w:sz w:val="20"/>
                <w:szCs w:val="20"/>
              </w:rPr>
            </w:pPr>
            <w:r w:rsidRPr="00A21238">
              <w:rPr>
                <w:rFonts w:asciiTheme="minorHAnsi" w:hAnsiTheme="minorHAnsi" w:cstheme="minorHAnsi"/>
                <w:b/>
                <w:bCs/>
                <w:i/>
                <w:sz w:val="20"/>
                <w:szCs w:val="20"/>
              </w:rPr>
              <w:t>P</w:t>
            </w:r>
            <w:r w:rsidRPr="00A21238">
              <w:rPr>
                <w:rFonts w:asciiTheme="minorHAnsi" w:hAnsiTheme="minorHAnsi" w:cstheme="minorHAnsi"/>
                <w:b/>
                <w:bCs/>
                <w:sz w:val="20"/>
                <w:szCs w:val="20"/>
              </w:rPr>
              <w:t>&lt;.001</w:t>
            </w:r>
          </w:p>
        </w:tc>
      </w:tr>
      <w:tr w:rsidR="00AC49C6" w:rsidRPr="00A21238" w:rsidTr="005E32CB">
        <w:trPr>
          <w:trHeight w:val="575"/>
        </w:trPr>
        <w:tc>
          <w:tcPr>
            <w:tcW w:w="3359" w:type="dxa"/>
            <w:vAlign w:val="bottom"/>
          </w:tcPr>
          <w:p w:rsidR="00410C91" w:rsidRPr="00A21238" w:rsidRDefault="00410C91" w:rsidP="00525241">
            <w:pPr>
              <w:rPr>
                <w:rFonts w:ascii="Calibri" w:hAnsi="Calibri" w:cs="Calibri"/>
                <w:sz w:val="20"/>
                <w:szCs w:val="20"/>
              </w:rPr>
            </w:pPr>
            <w:r w:rsidRPr="00A21238">
              <w:rPr>
                <w:rFonts w:ascii="Calibri" w:hAnsi="Calibri" w:cs="Calibri"/>
                <w:sz w:val="20"/>
                <w:szCs w:val="20"/>
              </w:rPr>
              <w:t>Disease control rate (%)</w:t>
            </w:r>
            <w:r w:rsidR="0002496E" w:rsidRPr="0002496E">
              <w:rPr>
                <w:rFonts w:ascii="Calibri" w:hAnsi="Calibri" w:cs="Calibri"/>
                <w:noProof/>
                <w:sz w:val="20"/>
                <w:szCs w:val="20"/>
                <w:vertAlign w:val="superscript"/>
              </w:rPr>
              <w:t>16, 20, 21, 33-35, 37, 44, 46, 54, 55, 69, 71, 73, 74, 76, 78-81, 84, 87, 89, 90</w:t>
            </w:r>
          </w:p>
          <w:p w:rsidR="00410C91" w:rsidRPr="00A21238" w:rsidRDefault="00410C91" w:rsidP="00525241">
            <w:pPr>
              <w:pStyle w:val="ListParagraph"/>
              <w:ind w:left="360"/>
              <w:contextualSpacing/>
              <w:rPr>
                <w:rFonts w:cs="Calibri"/>
                <w:sz w:val="20"/>
                <w:szCs w:val="20"/>
              </w:rPr>
            </w:pPr>
            <w:r w:rsidRPr="00A21238">
              <w:rPr>
                <w:rFonts w:cs="Calibri"/>
                <w:sz w:val="20"/>
                <w:szCs w:val="20"/>
              </w:rPr>
              <w:t>Advanced disease (Stage III and IV)</w:t>
            </w:r>
          </w:p>
        </w:tc>
        <w:tc>
          <w:tcPr>
            <w:tcW w:w="1080" w:type="dxa"/>
            <w:vAlign w:val="bottom"/>
          </w:tcPr>
          <w:p w:rsidR="007C2737" w:rsidRPr="00A21238" w:rsidRDefault="007C2737" w:rsidP="00525241">
            <w:pPr>
              <w:jc w:val="center"/>
              <w:rPr>
                <w:rFonts w:ascii="Calibri" w:hAnsi="Calibri" w:cs="Calibri"/>
                <w:sz w:val="20"/>
                <w:szCs w:val="20"/>
              </w:rPr>
            </w:pPr>
          </w:p>
          <w:p w:rsidR="00410C91" w:rsidRPr="00A21238" w:rsidRDefault="003615E5" w:rsidP="00525241">
            <w:pPr>
              <w:jc w:val="center"/>
              <w:rPr>
                <w:rFonts w:ascii="Calibri" w:hAnsi="Calibri" w:cs="Calibri"/>
                <w:sz w:val="20"/>
                <w:szCs w:val="20"/>
              </w:rPr>
            </w:pPr>
            <w:r w:rsidRPr="00A21238">
              <w:rPr>
                <w:rFonts w:ascii="Calibri" w:hAnsi="Calibri" w:cs="Calibri"/>
                <w:sz w:val="20"/>
                <w:szCs w:val="20"/>
              </w:rPr>
              <w:t>85%</w:t>
            </w:r>
          </w:p>
        </w:tc>
        <w:tc>
          <w:tcPr>
            <w:tcW w:w="1159" w:type="dxa"/>
            <w:vAlign w:val="bottom"/>
          </w:tcPr>
          <w:p w:rsidR="007C2737" w:rsidRPr="00A21238" w:rsidRDefault="007C2737" w:rsidP="00525241">
            <w:pPr>
              <w:jc w:val="center"/>
              <w:rPr>
                <w:rFonts w:ascii="Calibri" w:hAnsi="Calibri" w:cs="Calibri"/>
                <w:sz w:val="20"/>
                <w:szCs w:val="20"/>
              </w:rPr>
            </w:pPr>
          </w:p>
          <w:p w:rsidR="00410C91" w:rsidRPr="00A21238" w:rsidRDefault="007C2737" w:rsidP="00525241">
            <w:pPr>
              <w:jc w:val="center"/>
              <w:rPr>
                <w:rFonts w:ascii="Calibri" w:hAnsi="Calibri" w:cs="Calibri"/>
                <w:sz w:val="20"/>
                <w:szCs w:val="20"/>
              </w:rPr>
            </w:pPr>
            <w:r w:rsidRPr="00A21238">
              <w:rPr>
                <w:rFonts w:ascii="Calibri" w:hAnsi="Calibri" w:cs="Calibri"/>
                <w:sz w:val="20"/>
                <w:szCs w:val="20"/>
              </w:rPr>
              <w:t>42%</w:t>
            </w:r>
          </w:p>
        </w:tc>
        <w:tc>
          <w:tcPr>
            <w:tcW w:w="1080" w:type="dxa"/>
            <w:vAlign w:val="bottom"/>
          </w:tcPr>
          <w:p w:rsidR="007C2737" w:rsidRPr="00A21238" w:rsidRDefault="007C2737" w:rsidP="00525241">
            <w:pPr>
              <w:jc w:val="center"/>
              <w:rPr>
                <w:rFonts w:ascii="Calibri" w:hAnsi="Calibri" w:cs="Calibri"/>
                <w:sz w:val="20"/>
                <w:szCs w:val="20"/>
              </w:rPr>
            </w:pPr>
          </w:p>
          <w:p w:rsidR="00410C91" w:rsidRPr="00A21238" w:rsidRDefault="00611AE6" w:rsidP="00611AE6">
            <w:pPr>
              <w:jc w:val="center"/>
              <w:rPr>
                <w:rFonts w:ascii="Calibri" w:hAnsi="Calibri" w:cs="Calibri"/>
                <w:sz w:val="20"/>
                <w:szCs w:val="20"/>
              </w:rPr>
            </w:pPr>
            <w:r>
              <w:rPr>
                <w:rFonts w:ascii="Calibri" w:hAnsi="Calibri" w:cs="Calibri"/>
                <w:sz w:val="20"/>
                <w:szCs w:val="20"/>
              </w:rPr>
              <w:t>24(2003)</w:t>
            </w:r>
          </w:p>
        </w:tc>
        <w:tc>
          <w:tcPr>
            <w:tcW w:w="1999" w:type="dxa"/>
            <w:vAlign w:val="bottom"/>
          </w:tcPr>
          <w:p w:rsidR="00410C91" w:rsidRPr="00A21238" w:rsidRDefault="00410C91" w:rsidP="00525241">
            <w:pPr>
              <w:jc w:val="center"/>
              <w:rPr>
                <w:rFonts w:ascii="Calibri" w:hAnsi="Calibri" w:cs="Calibri"/>
                <w:sz w:val="20"/>
                <w:szCs w:val="20"/>
              </w:rPr>
            </w:pPr>
          </w:p>
          <w:p w:rsidR="00410C91" w:rsidRPr="00A21238" w:rsidRDefault="00611AE6" w:rsidP="00525241">
            <w:pPr>
              <w:jc w:val="center"/>
              <w:rPr>
                <w:rFonts w:ascii="Calibri" w:hAnsi="Calibri" w:cs="Calibri"/>
                <w:sz w:val="20"/>
                <w:szCs w:val="20"/>
              </w:rPr>
            </w:pPr>
            <w:r>
              <w:rPr>
                <w:rFonts w:ascii="Calibri" w:hAnsi="Calibri" w:cs="Calibri"/>
                <w:sz w:val="20"/>
                <w:szCs w:val="20"/>
              </w:rPr>
              <w:t>1.97 [1.70, 2.29]</w:t>
            </w:r>
          </w:p>
        </w:tc>
        <w:tc>
          <w:tcPr>
            <w:tcW w:w="1061" w:type="dxa"/>
            <w:vAlign w:val="bottom"/>
          </w:tcPr>
          <w:p w:rsidR="00410C91" w:rsidRPr="00A21238" w:rsidRDefault="00410C91" w:rsidP="00525241">
            <w:pPr>
              <w:jc w:val="center"/>
              <w:rPr>
                <w:rFonts w:ascii="Calibri" w:hAnsi="Calibri" w:cs="Calibri"/>
                <w:sz w:val="20"/>
                <w:szCs w:val="20"/>
              </w:rPr>
            </w:pPr>
          </w:p>
          <w:p w:rsidR="00F70700" w:rsidRPr="00A21238" w:rsidRDefault="00F60EE8" w:rsidP="00525241">
            <w:pPr>
              <w:jc w:val="center"/>
              <w:rPr>
                <w:rFonts w:ascii="Calibri" w:hAnsi="Calibri" w:cs="Calibri"/>
                <w:sz w:val="20"/>
                <w:szCs w:val="20"/>
              </w:rPr>
            </w:pPr>
            <w:r w:rsidRPr="00A21238">
              <w:rPr>
                <w:rFonts w:asciiTheme="minorHAnsi" w:hAnsiTheme="minorHAnsi" w:cstheme="minorHAnsi"/>
                <w:b/>
                <w:bCs/>
                <w:i/>
                <w:sz w:val="20"/>
                <w:szCs w:val="20"/>
              </w:rPr>
              <w:t>P</w:t>
            </w:r>
            <w:r w:rsidRPr="00A21238">
              <w:rPr>
                <w:rFonts w:asciiTheme="minorHAnsi" w:hAnsiTheme="minorHAnsi" w:cstheme="minorHAnsi"/>
                <w:b/>
                <w:bCs/>
                <w:sz w:val="20"/>
                <w:szCs w:val="20"/>
              </w:rPr>
              <w:t>&lt;.001</w:t>
            </w:r>
          </w:p>
        </w:tc>
      </w:tr>
      <w:tr w:rsidR="00AC49C6" w:rsidRPr="00A21238" w:rsidTr="005E32CB">
        <w:trPr>
          <w:trHeight w:val="1277"/>
        </w:trPr>
        <w:tc>
          <w:tcPr>
            <w:tcW w:w="3359" w:type="dxa"/>
            <w:vAlign w:val="bottom"/>
          </w:tcPr>
          <w:p w:rsidR="00410C91" w:rsidRPr="00A21238" w:rsidRDefault="00410C91" w:rsidP="00525241">
            <w:pPr>
              <w:rPr>
                <w:rFonts w:ascii="Calibri" w:hAnsi="Calibri" w:cs="Calibri"/>
                <w:sz w:val="20"/>
                <w:szCs w:val="20"/>
              </w:rPr>
            </w:pPr>
            <w:r w:rsidRPr="00A21238">
              <w:rPr>
                <w:rFonts w:ascii="Calibri" w:hAnsi="Calibri" w:cs="Calibri"/>
                <w:sz w:val="20"/>
                <w:szCs w:val="20"/>
              </w:rPr>
              <w:t>T</w:t>
            </w:r>
            <w:r w:rsidR="00F70700" w:rsidRPr="00A21238">
              <w:rPr>
                <w:rFonts w:ascii="Calibri" w:hAnsi="Calibri" w:cs="Calibri"/>
                <w:sz w:val="20"/>
                <w:szCs w:val="20"/>
              </w:rPr>
              <w:t>ime to Progression/Progression Free Survival</w:t>
            </w:r>
            <w:r w:rsidR="00693C4E" w:rsidRPr="00A21238">
              <w:rPr>
                <w:rFonts w:ascii="Calibri" w:hAnsi="Calibri" w:cs="Calibri"/>
                <w:sz w:val="20"/>
                <w:szCs w:val="20"/>
              </w:rPr>
              <w:t xml:space="preserve"> (%)</w:t>
            </w:r>
          </w:p>
          <w:p w:rsidR="00410C91" w:rsidRPr="00A21238" w:rsidRDefault="00410C91" w:rsidP="00525241">
            <w:pPr>
              <w:pStyle w:val="ListParagraph"/>
              <w:ind w:left="360"/>
              <w:contextualSpacing/>
              <w:rPr>
                <w:rFonts w:cs="Calibri"/>
                <w:sz w:val="20"/>
                <w:szCs w:val="20"/>
              </w:rPr>
            </w:pPr>
            <w:r w:rsidRPr="00A21238">
              <w:rPr>
                <w:rFonts w:cs="Calibri"/>
                <w:sz w:val="20"/>
                <w:szCs w:val="20"/>
              </w:rPr>
              <w:t>Advanced disease (Stage III and IV)</w:t>
            </w:r>
          </w:p>
          <w:p w:rsidR="00410C91" w:rsidRPr="00A21238" w:rsidRDefault="00410C91" w:rsidP="00525241">
            <w:pPr>
              <w:pStyle w:val="ListParagraph"/>
              <w:numPr>
                <w:ilvl w:val="1"/>
                <w:numId w:val="8"/>
              </w:numPr>
              <w:contextualSpacing/>
              <w:rPr>
                <w:rFonts w:cs="Calibri"/>
                <w:sz w:val="20"/>
                <w:szCs w:val="20"/>
              </w:rPr>
            </w:pPr>
            <w:r w:rsidRPr="00A21238">
              <w:rPr>
                <w:rFonts w:cs="Calibri"/>
                <w:sz w:val="20"/>
                <w:szCs w:val="20"/>
              </w:rPr>
              <w:t>6 months</w:t>
            </w:r>
            <w:r w:rsidR="0002496E" w:rsidRPr="0002496E">
              <w:rPr>
                <w:rFonts w:cs="Calibri"/>
                <w:noProof/>
                <w:sz w:val="20"/>
                <w:szCs w:val="20"/>
                <w:vertAlign w:val="superscript"/>
              </w:rPr>
              <w:t>12, 78</w:t>
            </w:r>
          </w:p>
          <w:p w:rsidR="00206751" w:rsidRPr="00A21238" w:rsidRDefault="00996A02" w:rsidP="0002496E">
            <w:pPr>
              <w:pStyle w:val="ListParagraph"/>
              <w:numPr>
                <w:ilvl w:val="1"/>
                <w:numId w:val="8"/>
              </w:numPr>
              <w:contextualSpacing/>
              <w:rPr>
                <w:rFonts w:cs="Calibri"/>
                <w:sz w:val="20"/>
                <w:szCs w:val="20"/>
              </w:rPr>
            </w:pPr>
            <w:r w:rsidRPr="00A21238">
              <w:rPr>
                <w:rFonts w:cs="Calibri"/>
                <w:sz w:val="20"/>
                <w:szCs w:val="20"/>
              </w:rPr>
              <w:t>1 year</w:t>
            </w:r>
            <w:r w:rsidR="0002496E" w:rsidRPr="0002496E">
              <w:rPr>
                <w:rFonts w:cs="Calibri"/>
                <w:noProof/>
                <w:sz w:val="20"/>
                <w:szCs w:val="20"/>
                <w:vertAlign w:val="superscript"/>
              </w:rPr>
              <w:t>21</w:t>
            </w:r>
          </w:p>
        </w:tc>
        <w:tc>
          <w:tcPr>
            <w:tcW w:w="1080" w:type="dxa"/>
            <w:vAlign w:val="bottom"/>
          </w:tcPr>
          <w:p w:rsidR="007C2737" w:rsidRPr="00A21238" w:rsidRDefault="007C2737" w:rsidP="00525241">
            <w:pPr>
              <w:jc w:val="center"/>
              <w:rPr>
                <w:rFonts w:ascii="Calibri" w:hAnsi="Calibri" w:cs="Calibri"/>
                <w:sz w:val="20"/>
                <w:szCs w:val="20"/>
              </w:rPr>
            </w:pPr>
          </w:p>
          <w:p w:rsidR="007C2737" w:rsidRPr="00A21238" w:rsidRDefault="007C2737" w:rsidP="00525241">
            <w:pPr>
              <w:jc w:val="center"/>
              <w:rPr>
                <w:rFonts w:ascii="Calibri" w:hAnsi="Calibri" w:cs="Calibri"/>
                <w:sz w:val="20"/>
                <w:szCs w:val="20"/>
              </w:rPr>
            </w:pPr>
          </w:p>
          <w:p w:rsidR="007C2737" w:rsidRPr="00A21238" w:rsidRDefault="007C2737" w:rsidP="00525241">
            <w:pPr>
              <w:jc w:val="center"/>
              <w:rPr>
                <w:rFonts w:ascii="Calibri" w:hAnsi="Calibri" w:cs="Calibri"/>
                <w:sz w:val="20"/>
                <w:szCs w:val="20"/>
              </w:rPr>
            </w:pPr>
          </w:p>
          <w:p w:rsidR="00410C91" w:rsidRPr="00A21238" w:rsidRDefault="00996A02" w:rsidP="00525241">
            <w:pPr>
              <w:jc w:val="center"/>
              <w:rPr>
                <w:rFonts w:ascii="Calibri" w:hAnsi="Calibri" w:cs="Calibri"/>
                <w:sz w:val="20"/>
                <w:szCs w:val="20"/>
              </w:rPr>
            </w:pPr>
            <w:r w:rsidRPr="00A21238">
              <w:rPr>
                <w:rFonts w:ascii="Calibri" w:hAnsi="Calibri" w:cs="Calibri"/>
                <w:sz w:val="20"/>
                <w:szCs w:val="20"/>
              </w:rPr>
              <w:t>88%</w:t>
            </w:r>
          </w:p>
          <w:p w:rsidR="00410C91" w:rsidRPr="00A21238" w:rsidRDefault="00996A02" w:rsidP="00525241">
            <w:pPr>
              <w:jc w:val="center"/>
              <w:rPr>
                <w:rFonts w:ascii="Calibri" w:hAnsi="Calibri" w:cs="Calibri"/>
                <w:sz w:val="20"/>
                <w:szCs w:val="20"/>
              </w:rPr>
            </w:pPr>
            <w:r w:rsidRPr="00A21238">
              <w:rPr>
                <w:rFonts w:ascii="Calibri" w:hAnsi="Calibri" w:cs="Calibri"/>
                <w:sz w:val="20"/>
                <w:szCs w:val="20"/>
              </w:rPr>
              <w:t>23%</w:t>
            </w:r>
          </w:p>
        </w:tc>
        <w:tc>
          <w:tcPr>
            <w:tcW w:w="1159" w:type="dxa"/>
            <w:vAlign w:val="bottom"/>
          </w:tcPr>
          <w:p w:rsidR="007C2737" w:rsidRPr="00A21238" w:rsidRDefault="007C2737" w:rsidP="00525241">
            <w:pPr>
              <w:jc w:val="center"/>
              <w:rPr>
                <w:rFonts w:ascii="Calibri" w:hAnsi="Calibri" w:cs="Calibri"/>
                <w:sz w:val="20"/>
                <w:szCs w:val="20"/>
              </w:rPr>
            </w:pPr>
          </w:p>
          <w:p w:rsidR="007C2737" w:rsidRPr="00A21238" w:rsidRDefault="007C2737" w:rsidP="00525241">
            <w:pPr>
              <w:jc w:val="center"/>
              <w:rPr>
                <w:rFonts w:ascii="Calibri" w:hAnsi="Calibri" w:cs="Calibri"/>
                <w:sz w:val="20"/>
                <w:szCs w:val="20"/>
              </w:rPr>
            </w:pPr>
          </w:p>
          <w:p w:rsidR="007C2737" w:rsidRPr="00A21238" w:rsidRDefault="007C2737" w:rsidP="00525241">
            <w:pPr>
              <w:jc w:val="center"/>
              <w:rPr>
                <w:rFonts w:ascii="Calibri" w:hAnsi="Calibri" w:cs="Calibri"/>
                <w:sz w:val="20"/>
                <w:szCs w:val="20"/>
              </w:rPr>
            </w:pPr>
          </w:p>
          <w:p w:rsidR="00410C91" w:rsidRPr="00A21238" w:rsidRDefault="00996A02" w:rsidP="00525241">
            <w:pPr>
              <w:jc w:val="center"/>
              <w:rPr>
                <w:rFonts w:ascii="Calibri" w:hAnsi="Calibri" w:cs="Calibri"/>
                <w:sz w:val="20"/>
                <w:szCs w:val="20"/>
              </w:rPr>
            </w:pPr>
            <w:r w:rsidRPr="00A21238">
              <w:rPr>
                <w:rFonts w:ascii="Calibri" w:hAnsi="Calibri" w:cs="Calibri"/>
                <w:sz w:val="20"/>
                <w:szCs w:val="20"/>
              </w:rPr>
              <w:t>24%</w:t>
            </w:r>
          </w:p>
          <w:p w:rsidR="00410C91" w:rsidRPr="00A21238" w:rsidRDefault="00996A02" w:rsidP="00525241">
            <w:pPr>
              <w:jc w:val="center"/>
              <w:rPr>
                <w:rFonts w:ascii="Calibri" w:hAnsi="Calibri" w:cs="Calibri"/>
                <w:sz w:val="20"/>
                <w:szCs w:val="20"/>
              </w:rPr>
            </w:pPr>
            <w:r w:rsidRPr="00A21238">
              <w:rPr>
                <w:rFonts w:ascii="Calibri" w:hAnsi="Calibri" w:cs="Calibri"/>
                <w:sz w:val="20"/>
                <w:szCs w:val="20"/>
              </w:rPr>
              <w:t>2%</w:t>
            </w:r>
          </w:p>
        </w:tc>
        <w:tc>
          <w:tcPr>
            <w:tcW w:w="1080" w:type="dxa"/>
            <w:vAlign w:val="bottom"/>
          </w:tcPr>
          <w:p w:rsidR="00410C91" w:rsidRPr="00A21238" w:rsidRDefault="00410C91" w:rsidP="00525241">
            <w:pPr>
              <w:jc w:val="center"/>
              <w:rPr>
                <w:rFonts w:ascii="Calibri" w:hAnsi="Calibri" w:cs="Calibri"/>
                <w:sz w:val="20"/>
                <w:szCs w:val="20"/>
              </w:rPr>
            </w:pPr>
          </w:p>
          <w:p w:rsidR="00410C91" w:rsidRPr="00A21238" w:rsidRDefault="00410C91" w:rsidP="00525241">
            <w:pPr>
              <w:jc w:val="center"/>
              <w:rPr>
                <w:rFonts w:ascii="Calibri" w:hAnsi="Calibri" w:cs="Calibri"/>
                <w:sz w:val="20"/>
                <w:szCs w:val="20"/>
              </w:rPr>
            </w:pPr>
          </w:p>
          <w:p w:rsidR="007C2737" w:rsidRPr="00A21238" w:rsidRDefault="007C2737" w:rsidP="00525241">
            <w:pPr>
              <w:jc w:val="center"/>
              <w:rPr>
                <w:rFonts w:ascii="Calibri" w:hAnsi="Calibri" w:cs="Calibri"/>
                <w:sz w:val="20"/>
                <w:szCs w:val="20"/>
              </w:rPr>
            </w:pPr>
          </w:p>
          <w:p w:rsidR="00410C91" w:rsidRPr="00A21238" w:rsidRDefault="00996A02" w:rsidP="00525241">
            <w:pPr>
              <w:jc w:val="center"/>
              <w:rPr>
                <w:rFonts w:ascii="Calibri" w:hAnsi="Calibri" w:cs="Calibri"/>
                <w:sz w:val="20"/>
                <w:szCs w:val="20"/>
              </w:rPr>
            </w:pPr>
            <w:r w:rsidRPr="00A21238">
              <w:rPr>
                <w:rFonts w:ascii="Calibri" w:hAnsi="Calibri" w:cs="Calibri"/>
                <w:sz w:val="20"/>
                <w:szCs w:val="20"/>
              </w:rPr>
              <w:t>2(118)</w:t>
            </w:r>
          </w:p>
          <w:p w:rsidR="00410C91" w:rsidRPr="00A21238" w:rsidRDefault="00996A02" w:rsidP="00525241">
            <w:pPr>
              <w:jc w:val="center"/>
              <w:rPr>
                <w:rFonts w:ascii="Calibri" w:hAnsi="Calibri" w:cs="Calibri"/>
                <w:sz w:val="20"/>
                <w:szCs w:val="20"/>
              </w:rPr>
            </w:pPr>
            <w:r w:rsidRPr="00A21238">
              <w:rPr>
                <w:rFonts w:ascii="Calibri" w:hAnsi="Calibri" w:cs="Calibri"/>
                <w:sz w:val="20"/>
                <w:szCs w:val="20"/>
              </w:rPr>
              <w:t>1(223)</w:t>
            </w:r>
          </w:p>
        </w:tc>
        <w:tc>
          <w:tcPr>
            <w:tcW w:w="1999" w:type="dxa"/>
            <w:vAlign w:val="bottom"/>
          </w:tcPr>
          <w:p w:rsidR="00410C91" w:rsidRPr="00A21238" w:rsidRDefault="00410C91" w:rsidP="00525241">
            <w:pPr>
              <w:jc w:val="center"/>
              <w:rPr>
                <w:rFonts w:ascii="Calibri" w:hAnsi="Calibri" w:cs="Calibri"/>
                <w:sz w:val="20"/>
                <w:szCs w:val="20"/>
              </w:rPr>
            </w:pPr>
          </w:p>
          <w:p w:rsidR="00410C91" w:rsidRPr="00A21238" w:rsidRDefault="00410C91" w:rsidP="00525241">
            <w:pPr>
              <w:jc w:val="center"/>
              <w:rPr>
                <w:rFonts w:ascii="Calibri" w:hAnsi="Calibri" w:cs="Calibri"/>
                <w:sz w:val="20"/>
                <w:szCs w:val="20"/>
              </w:rPr>
            </w:pPr>
          </w:p>
          <w:p w:rsidR="00410C91" w:rsidRPr="00A21238" w:rsidRDefault="00410C91" w:rsidP="00525241">
            <w:pPr>
              <w:jc w:val="center"/>
              <w:rPr>
                <w:rFonts w:ascii="Calibri" w:hAnsi="Calibri" w:cs="Calibri"/>
                <w:sz w:val="20"/>
                <w:szCs w:val="20"/>
              </w:rPr>
            </w:pPr>
          </w:p>
          <w:p w:rsidR="00206751" w:rsidRPr="00A21238" w:rsidRDefault="00F70700" w:rsidP="00525241">
            <w:pPr>
              <w:jc w:val="center"/>
              <w:rPr>
                <w:rFonts w:ascii="Calibri" w:hAnsi="Calibri" w:cs="Calibri"/>
                <w:sz w:val="20"/>
                <w:szCs w:val="20"/>
              </w:rPr>
            </w:pPr>
            <w:r w:rsidRPr="00A21238">
              <w:rPr>
                <w:rFonts w:ascii="Calibri" w:hAnsi="Calibri" w:cs="Calibri"/>
                <w:sz w:val="20"/>
                <w:szCs w:val="20"/>
              </w:rPr>
              <w:t>3.71 [2.5, 5.49]</w:t>
            </w:r>
          </w:p>
          <w:p w:rsidR="00F70700" w:rsidRPr="00A21238" w:rsidRDefault="00F70700" w:rsidP="00525241">
            <w:pPr>
              <w:jc w:val="center"/>
              <w:rPr>
                <w:rFonts w:ascii="Calibri" w:hAnsi="Calibri" w:cs="Calibri"/>
                <w:sz w:val="20"/>
                <w:szCs w:val="20"/>
              </w:rPr>
            </w:pPr>
            <w:r w:rsidRPr="00A21238">
              <w:rPr>
                <w:rFonts w:ascii="Calibri" w:hAnsi="Calibri" w:cs="Calibri"/>
                <w:sz w:val="20"/>
                <w:szCs w:val="20"/>
              </w:rPr>
              <w:t>10.69[2.62,</w:t>
            </w:r>
            <w:r w:rsidR="00611C73">
              <w:rPr>
                <w:rFonts w:ascii="Calibri" w:hAnsi="Calibri" w:cs="Calibri"/>
                <w:sz w:val="20"/>
                <w:szCs w:val="20"/>
              </w:rPr>
              <w:t xml:space="preserve"> </w:t>
            </w:r>
            <w:r w:rsidRPr="00A21238">
              <w:rPr>
                <w:rFonts w:ascii="Calibri" w:hAnsi="Calibri" w:cs="Calibri"/>
                <w:sz w:val="20"/>
                <w:szCs w:val="20"/>
              </w:rPr>
              <w:t>43.54]</w:t>
            </w:r>
          </w:p>
        </w:tc>
        <w:tc>
          <w:tcPr>
            <w:tcW w:w="1061" w:type="dxa"/>
            <w:vAlign w:val="bottom"/>
          </w:tcPr>
          <w:p w:rsidR="00410C91" w:rsidRPr="00A21238" w:rsidRDefault="00410C91" w:rsidP="00525241">
            <w:pPr>
              <w:jc w:val="center"/>
              <w:rPr>
                <w:rFonts w:ascii="Calibri" w:hAnsi="Calibri" w:cs="Calibri"/>
                <w:sz w:val="20"/>
                <w:szCs w:val="20"/>
              </w:rPr>
            </w:pPr>
          </w:p>
          <w:p w:rsidR="00410C91" w:rsidRPr="00A21238" w:rsidRDefault="00410C91" w:rsidP="00525241">
            <w:pPr>
              <w:jc w:val="center"/>
              <w:rPr>
                <w:rFonts w:ascii="Calibri" w:hAnsi="Calibri" w:cs="Calibri"/>
                <w:sz w:val="20"/>
                <w:szCs w:val="20"/>
              </w:rPr>
            </w:pPr>
          </w:p>
          <w:p w:rsidR="00F70700" w:rsidRPr="00A21238" w:rsidRDefault="00F70700" w:rsidP="00525241">
            <w:pPr>
              <w:jc w:val="center"/>
              <w:rPr>
                <w:rFonts w:ascii="Calibri" w:hAnsi="Calibri" w:cs="Calibri"/>
                <w:sz w:val="20"/>
                <w:szCs w:val="20"/>
              </w:rPr>
            </w:pPr>
          </w:p>
          <w:p w:rsidR="00F70700" w:rsidRPr="00A21238" w:rsidRDefault="00F60EE8" w:rsidP="00525241">
            <w:pPr>
              <w:jc w:val="center"/>
              <w:rPr>
                <w:rFonts w:ascii="Calibri" w:hAnsi="Calibri" w:cs="Calibri"/>
                <w:sz w:val="20"/>
                <w:szCs w:val="20"/>
              </w:rPr>
            </w:pPr>
            <w:r w:rsidRPr="00A21238">
              <w:rPr>
                <w:rFonts w:asciiTheme="minorHAnsi" w:hAnsiTheme="minorHAnsi" w:cstheme="minorHAnsi"/>
                <w:b/>
                <w:bCs/>
                <w:i/>
                <w:sz w:val="20"/>
                <w:szCs w:val="20"/>
              </w:rPr>
              <w:t>P</w:t>
            </w:r>
            <w:r w:rsidRPr="00A21238">
              <w:rPr>
                <w:rFonts w:asciiTheme="minorHAnsi" w:hAnsiTheme="minorHAnsi" w:cstheme="minorHAnsi"/>
                <w:b/>
                <w:bCs/>
                <w:sz w:val="20"/>
                <w:szCs w:val="20"/>
              </w:rPr>
              <w:t>&lt;.001</w:t>
            </w:r>
            <w:r w:rsidR="00BF29E5" w:rsidRPr="00A21238">
              <w:rPr>
                <w:rFonts w:asciiTheme="minorHAnsi" w:hAnsiTheme="minorHAnsi" w:cstheme="minorHAnsi"/>
                <w:b/>
                <w:bCs/>
                <w:i/>
                <w:sz w:val="20"/>
                <w:szCs w:val="20"/>
              </w:rPr>
              <w:t xml:space="preserve"> </w:t>
            </w:r>
            <w:proofErr w:type="spellStart"/>
            <w:r w:rsidR="00BF29E5" w:rsidRPr="00A21238">
              <w:rPr>
                <w:rFonts w:asciiTheme="minorHAnsi" w:hAnsiTheme="minorHAnsi" w:cstheme="minorHAnsi"/>
                <w:b/>
                <w:bCs/>
                <w:i/>
                <w:sz w:val="20"/>
                <w:szCs w:val="20"/>
              </w:rPr>
              <w:t>P</w:t>
            </w:r>
            <w:r w:rsidR="00BF29E5" w:rsidRPr="00A21238">
              <w:rPr>
                <w:rFonts w:asciiTheme="minorHAnsi" w:hAnsiTheme="minorHAnsi" w:cstheme="minorHAnsi"/>
                <w:b/>
                <w:bCs/>
                <w:sz w:val="20"/>
                <w:szCs w:val="20"/>
              </w:rPr>
              <w:t>&lt;.001</w:t>
            </w:r>
            <w:proofErr w:type="spellEnd"/>
          </w:p>
        </w:tc>
      </w:tr>
      <w:tr w:rsidR="00AC49C6" w:rsidRPr="00A21238" w:rsidTr="005E32CB">
        <w:trPr>
          <w:trHeight w:val="872"/>
        </w:trPr>
        <w:tc>
          <w:tcPr>
            <w:tcW w:w="3359" w:type="dxa"/>
            <w:vAlign w:val="bottom"/>
          </w:tcPr>
          <w:p w:rsidR="00410C91" w:rsidRPr="00A21238" w:rsidRDefault="00693C4E" w:rsidP="00525241">
            <w:pPr>
              <w:rPr>
                <w:rFonts w:ascii="Calibri" w:hAnsi="Calibri" w:cs="Calibri"/>
                <w:sz w:val="20"/>
                <w:szCs w:val="20"/>
              </w:rPr>
            </w:pPr>
            <w:r w:rsidRPr="00A21238">
              <w:rPr>
                <w:rFonts w:ascii="Calibri" w:hAnsi="Calibri" w:cs="Calibri"/>
                <w:sz w:val="20"/>
                <w:szCs w:val="20"/>
              </w:rPr>
              <w:t xml:space="preserve">Overall </w:t>
            </w:r>
            <w:r w:rsidR="00410C91" w:rsidRPr="00A21238">
              <w:rPr>
                <w:rFonts w:ascii="Calibri" w:hAnsi="Calibri" w:cs="Calibri"/>
                <w:sz w:val="20"/>
                <w:szCs w:val="20"/>
              </w:rPr>
              <w:t>Survival (%)</w:t>
            </w:r>
          </w:p>
          <w:p w:rsidR="00410C91" w:rsidRPr="00A21238" w:rsidRDefault="00410C91" w:rsidP="00525241">
            <w:pPr>
              <w:pStyle w:val="ListParagraph"/>
              <w:ind w:left="360"/>
              <w:contextualSpacing/>
              <w:rPr>
                <w:rFonts w:cs="Calibri"/>
                <w:sz w:val="20"/>
                <w:szCs w:val="20"/>
              </w:rPr>
            </w:pPr>
            <w:r w:rsidRPr="00A21238">
              <w:rPr>
                <w:rFonts w:cs="Calibri"/>
                <w:sz w:val="20"/>
                <w:szCs w:val="20"/>
              </w:rPr>
              <w:t>Advanced disease (Stage III and IV)</w:t>
            </w:r>
          </w:p>
          <w:p w:rsidR="00410C91" w:rsidRPr="00A21238" w:rsidRDefault="00410C91" w:rsidP="0002496E">
            <w:pPr>
              <w:pStyle w:val="ListParagraph"/>
              <w:numPr>
                <w:ilvl w:val="1"/>
                <w:numId w:val="8"/>
              </w:numPr>
              <w:contextualSpacing/>
              <w:rPr>
                <w:rFonts w:cs="Calibri"/>
                <w:sz w:val="20"/>
                <w:szCs w:val="20"/>
              </w:rPr>
            </w:pPr>
            <w:r w:rsidRPr="00A21238">
              <w:rPr>
                <w:rFonts w:cs="Calibri"/>
                <w:sz w:val="20"/>
                <w:szCs w:val="20"/>
              </w:rPr>
              <w:t>1 year</w:t>
            </w:r>
            <w:r w:rsidR="0002496E" w:rsidRPr="0002496E">
              <w:rPr>
                <w:rFonts w:cs="Calibri"/>
                <w:noProof/>
                <w:sz w:val="20"/>
                <w:szCs w:val="20"/>
                <w:vertAlign w:val="superscript"/>
              </w:rPr>
              <w:t>52, 54, 80</w:t>
            </w:r>
          </w:p>
        </w:tc>
        <w:tc>
          <w:tcPr>
            <w:tcW w:w="1080" w:type="dxa"/>
            <w:vAlign w:val="bottom"/>
          </w:tcPr>
          <w:p w:rsidR="00410C91" w:rsidRPr="00A21238" w:rsidRDefault="00410C91" w:rsidP="00525241">
            <w:pPr>
              <w:jc w:val="center"/>
              <w:rPr>
                <w:rFonts w:ascii="Calibri" w:hAnsi="Calibri" w:cs="Calibri"/>
                <w:sz w:val="20"/>
                <w:szCs w:val="20"/>
              </w:rPr>
            </w:pPr>
          </w:p>
          <w:p w:rsidR="00410C91" w:rsidRPr="00A21238" w:rsidRDefault="00410C91" w:rsidP="00525241">
            <w:pPr>
              <w:jc w:val="center"/>
              <w:rPr>
                <w:rFonts w:ascii="Calibri" w:hAnsi="Calibri" w:cs="Calibri"/>
                <w:sz w:val="20"/>
                <w:szCs w:val="20"/>
              </w:rPr>
            </w:pPr>
          </w:p>
          <w:p w:rsidR="00410C91" w:rsidRPr="00A21238" w:rsidRDefault="00123D66" w:rsidP="00525241">
            <w:pPr>
              <w:jc w:val="center"/>
              <w:rPr>
                <w:rFonts w:ascii="Calibri" w:hAnsi="Calibri" w:cs="Calibri"/>
                <w:sz w:val="20"/>
                <w:szCs w:val="20"/>
              </w:rPr>
            </w:pPr>
            <w:r>
              <w:rPr>
                <w:rFonts w:ascii="Calibri" w:hAnsi="Calibri" w:cs="Calibri"/>
                <w:sz w:val="20"/>
                <w:szCs w:val="20"/>
              </w:rPr>
              <w:t>59</w:t>
            </w:r>
            <w:r w:rsidR="007C2737" w:rsidRPr="00A21238">
              <w:rPr>
                <w:rFonts w:ascii="Calibri" w:hAnsi="Calibri" w:cs="Calibri"/>
                <w:sz w:val="20"/>
                <w:szCs w:val="20"/>
              </w:rPr>
              <w:t>%</w:t>
            </w:r>
          </w:p>
        </w:tc>
        <w:tc>
          <w:tcPr>
            <w:tcW w:w="1159" w:type="dxa"/>
            <w:vAlign w:val="bottom"/>
          </w:tcPr>
          <w:p w:rsidR="00410C91" w:rsidRPr="00A21238" w:rsidRDefault="00410C91" w:rsidP="00525241">
            <w:pPr>
              <w:jc w:val="center"/>
              <w:rPr>
                <w:rFonts w:ascii="Calibri" w:hAnsi="Calibri" w:cs="Calibri"/>
                <w:sz w:val="20"/>
                <w:szCs w:val="20"/>
              </w:rPr>
            </w:pPr>
          </w:p>
          <w:p w:rsidR="00410C91" w:rsidRPr="00A21238" w:rsidRDefault="00410C91" w:rsidP="00525241">
            <w:pPr>
              <w:jc w:val="center"/>
              <w:rPr>
                <w:rFonts w:ascii="Calibri" w:hAnsi="Calibri" w:cs="Calibri"/>
                <w:sz w:val="20"/>
                <w:szCs w:val="20"/>
              </w:rPr>
            </w:pPr>
          </w:p>
          <w:p w:rsidR="00410C91" w:rsidRPr="00A21238" w:rsidRDefault="00123D66" w:rsidP="00525241">
            <w:pPr>
              <w:jc w:val="center"/>
              <w:rPr>
                <w:rFonts w:ascii="Calibri" w:hAnsi="Calibri" w:cs="Calibri"/>
                <w:sz w:val="20"/>
                <w:szCs w:val="20"/>
              </w:rPr>
            </w:pPr>
            <w:r>
              <w:rPr>
                <w:rFonts w:ascii="Calibri" w:hAnsi="Calibri" w:cs="Calibri"/>
                <w:sz w:val="20"/>
                <w:szCs w:val="20"/>
              </w:rPr>
              <w:t>42</w:t>
            </w:r>
            <w:r w:rsidR="00996A02" w:rsidRPr="00A21238">
              <w:rPr>
                <w:rFonts w:ascii="Calibri" w:hAnsi="Calibri" w:cs="Calibri"/>
                <w:sz w:val="20"/>
                <w:szCs w:val="20"/>
              </w:rPr>
              <w:t>%</w:t>
            </w:r>
          </w:p>
        </w:tc>
        <w:tc>
          <w:tcPr>
            <w:tcW w:w="1080" w:type="dxa"/>
            <w:vAlign w:val="bottom"/>
          </w:tcPr>
          <w:p w:rsidR="00410C91" w:rsidRPr="00A21238" w:rsidRDefault="00410C91" w:rsidP="00525241">
            <w:pPr>
              <w:jc w:val="center"/>
              <w:rPr>
                <w:rFonts w:ascii="Calibri" w:hAnsi="Calibri" w:cs="Calibri"/>
                <w:sz w:val="20"/>
                <w:szCs w:val="20"/>
              </w:rPr>
            </w:pPr>
          </w:p>
          <w:p w:rsidR="00410C91" w:rsidRPr="00A21238" w:rsidRDefault="00410C91" w:rsidP="00525241">
            <w:pPr>
              <w:jc w:val="center"/>
              <w:rPr>
                <w:rFonts w:ascii="Calibri" w:hAnsi="Calibri" w:cs="Calibri"/>
                <w:sz w:val="20"/>
                <w:szCs w:val="20"/>
              </w:rPr>
            </w:pPr>
          </w:p>
          <w:p w:rsidR="00410C91" w:rsidRPr="00A21238" w:rsidRDefault="00123D66" w:rsidP="00525241">
            <w:pPr>
              <w:jc w:val="center"/>
              <w:rPr>
                <w:rFonts w:ascii="Calibri" w:hAnsi="Calibri" w:cs="Calibri"/>
                <w:sz w:val="20"/>
                <w:szCs w:val="20"/>
              </w:rPr>
            </w:pPr>
            <w:r>
              <w:rPr>
                <w:rFonts w:ascii="Calibri" w:hAnsi="Calibri" w:cs="Calibri"/>
                <w:sz w:val="20"/>
                <w:szCs w:val="20"/>
              </w:rPr>
              <w:t>3(222)</w:t>
            </w:r>
          </w:p>
        </w:tc>
        <w:tc>
          <w:tcPr>
            <w:tcW w:w="1999" w:type="dxa"/>
            <w:vAlign w:val="bottom"/>
          </w:tcPr>
          <w:p w:rsidR="00410C91" w:rsidRPr="00A21238" w:rsidRDefault="00410C91" w:rsidP="00525241">
            <w:pPr>
              <w:jc w:val="center"/>
              <w:rPr>
                <w:rFonts w:ascii="Calibri" w:hAnsi="Calibri" w:cs="Calibri"/>
                <w:sz w:val="20"/>
                <w:szCs w:val="20"/>
              </w:rPr>
            </w:pPr>
          </w:p>
          <w:p w:rsidR="00410C91" w:rsidRPr="00A21238" w:rsidRDefault="00410C91" w:rsidP="00525241">
            <w:pPr>
              <w:jc w:val="center"/>
              <w:rPr>
                <w:rFonts w:ascii="Calibri" w:hAnsi="Calibri" w:cs="Calibri"/>
                <w:sz w:val="20"/>
                <w:szCs w:val="20"/>
              </w:rPr>
            </w:pPr>
          </w:p>
          <w:p w:rsidR="00410C91" w:rsidRPr="00A21238" w:rsidRDefault="00123D66" w:rsidP="00525241">
            <w:pPr>
              <w:jc w:val="center"/>
              <w:rPr>
                <w:rFonts w:ascii="Calibri" w:hAnsi="Calibri" w:cs="Calibri"/>
                <w:sz w:val="20"/>
                <w:szCs w:val="20"/>
              </w:rPr>
            </w:pPr>
            <w:r>
              <w:rPr>
                <w:rFonts w:ascii="Calibri" w:hAnsi="Calibri" w:cs="Calibri"/>
                <w:sz w:val="20"/>
                <w:szCs w:val="20"/>
              </w:rPr>
              <w:t>1.80 [0.94, 3.46]</w:t>
            </w:r>
          </w:p>
        </w:tc>
        <w:tc>
          <w:tcPr>
            <w:tcW w:w="1061" w:type="dxa"/>
            <w:vAlign w:val="bottom"/>
          </w:tcPr>
          <w:p w:rsidR="00410C91" w:rsidRPr="00A21238" w:rsidRDefault="00410C91" w:rsidP="00525241">
            <w:pPr>
              <w:jc w:val="center"/>
              <w:rPr>
                <w:rFonts w:ascii="Calibri" w:hAnsi="Calibri" w:cs="Calibri"/>
                <w:sz w:val="20"/>
                <w:szCs w:val="20"/>
              </w:rPr>
            </w:pPr>
          </w:p>
          <w:p w:rsidR="00693C4E" w:rsidRPr="00A21238" w:rsidRDefault="00693C4E" w:rsidP="00525241">
            <w:pPr>
              <w:jc w:val="center"/>
              <w:rPr>
                <w:rFonts w:ascii="Calibri" w:hAnsi="Calibri" w:cs="Calibri"/>
                <w:sz w:val="20"/>
                <w:szCs w:val="20"/>
              </w:rPr>
            </w:pPr>
          </w:p>
          <w:p w:rsidR="00410C91" w:rsidRPr="00A21238" w:rsidRDefault="00F60EE8" w:rsidP="00123D66">
            <w:pPr>
              <w:jc w:val="center"/>
              <w:rPr>
                <w:rFonts w:ascii="Calibri" w:hAnsi="Calibri" w:cs="Calibri"/>
                <w:sz w:val="20"/>
                <w:szCs w:val="20"/>
              </w:rPr>
            </w:pPr>
            <w:r w:rsidRPr="00A21238">
              <w:rPr>
                <w:rFonts w:ascii="Calibri" w:hAnsi="Calibri" w:cs="Calibri"/>
                <w:i/>
                <w:sz w:val="20"/>
                <w:szCs w:val="20"/>
              </w:rPr>
              <w:t>P</w:t>
            </w:r>
            <w:r w:rsidR="00693C4E" w:rsidRPr="00A21238">
              <w:rPr>
                <w:rFonts w:ascii="Calibri" w:hAnsi="Calibri" w:cs="Calibri"/>
                <w:sz w:val="20"/>
                <w:szCs w:val="20"/>
              </w:rPr>
              <w:t>=</w:t>
            </w:r>
            <w:r w:rsidR="00123D66">
              <w:rPr>
                <w:rFonts w:ascii="Calibri" w:hAnsi="Calibri" w:cs="Calibri"/>
                <w:sz w:val="20"/>
                <w:szCs w:val="20"/>
              </w:rPr>
              <w:t>.08</w:t>
            </w:r>
          </w:p>
        </w:tc>
      </w:tr>
    </w:tbl>
    <w:p w:rsidR="00693C4E" w:rsidRPr="00A21238" w:rsidRDefault="00693C4E" w:rsidP="00BE3833">
      <w:pPr>
        <w:rPr>
          <w:rFonts w:asciiTheme="minorHAnsi" w:hAnsiTheme="minorHAnsi" w:cs="Arial"/>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080"/>
        <w:gridCol w:w="1170"/>
        <w:gridCol w:w="1080"/>
        <w:gridCol w:w="1980"/>
        <w:gridCol w:w="1080"/>
      </w:tblGrid>
      <w:tr w:rsidR="00693C4E" w:rsidRPr="00A21238" w:rsidTr="005E32CB">
        <w:tc>
          <w:tcPr>
            <w:tcW w:w="3348" w:type="dxa"/>
            <w:vMerge w:val="restart"/>
            <w:vAlign w:val="bottom"/>
          </w:tcPr>
          <w:p w:rsidR="00693C4E" w:rsidRPr="00A21238" w:rsidRDefault="00693C4E" w:rsidP="00EB03FC">
            <w:pPr>
              <w:rPr>
                <w:rFonts w:ascii="Calibri" w:hAnsi="Calibri" w:cs="Arial"/>
                <w:b/>
                <w:sz w:val="20"/>
                <w:szCs w:val="20"/>
              </w:rPr>
            </w:pPr>
            <w:r w:rsidRPr="00A21238">
              <w:rPr>
                <w:rFonts w:ascii="Calibri" w:hAnsi="Calibri" w:cs="Arial"/>
                <w:b/>
                <w:sz w:val="20"/>
                <w:szCs w:val="20"/>
              </w:rPr>
              <w:t>Outcome</w:t>
            </w:r>
          </w:p>
        </w:tc>
        <w:tc>
          <w:tcPr>
            <w:tcW w:w="2250" w:type="dxa"/>
            <w:gridSpan w:val="2"/>
          </w:tcPr>
          <w:p w:rsidR="00693C4E" w:rsidRPr="00A21238" w:rsidRDefault="00693C4E" w:rsidP="00693C4E">
            <w:pPr>
              <w:jc w:val="center"/>
              <w:rPr>
                <w:rFonts w:ascii="Calibri" w:hAnsi="Calibri" w:cs="Arial"/>
                <w:b/>
                <w:sz w:val="20"/>
                <w:szCs w:val="20"/>
              </w:rPr>
            </w:pPr>
            <w:r w:rsidRPr="00A21238">
              <w:rPr>
                <w:rFonts w:ascii="Calibri" w:hAnsi="Calibri" w:cs="Arial"/>
                <w:b/>
                <w:sz w:val="20"/>
                <w:szCs w:val="20"/>
              </w:rPr>
              <w:t>Mean ± SD</w:t>
            </w:r>
          </w:p>
        </w:tc>
        <w:tc>
          <w:tcPr>
            <w:tcW w:w="1080" w:type="dxa"/>
            <w:vMerge w:val="restart"/>
            <w:vAlign w:val="bottom"/>
          </w:tcPr>
          <w:p w:rsidR="00693C4E" w:rsidRPr="00A21238" w:rsidRDefault="00693C4E" w:rsidP="00525241">
            <w:pPr>
              <w:jc w:val="center"/>
              <w:rPr>
                <w:rFonts w:ascii="Calibri" w:hAnsi="Calibri" w:cs="Arial"/>
                <w:b/>
                <w:sz w:val="20"/>
                <w:szCs w:val="20"/>
              </w:rPr>
            </w:pPr>
            <w:r w:rsidRPr="00A21238">
              <w:rPr>
                <w:rFonts w:ascii="Calibri" w:hAnsi="Calibri" w:cs="Arial"/>
                <w:b/>
                <w:sz w:val="20"/>
                <w:szCs w:val="20"/>
              </w:rPr>
              <w:t>n (N)</w:t>
            </w:r>
          </w:p>
        </w:tc>
        <w:tc>
          <w:tcPr>
            <w:tcW w:w="1980" w:type="dxa"/>
            <w:vMerge w:val="restart"/>
            <w:vAlign w:val="bottom"/>
          </w:tcPr>
          <w:p w:rsidR="00693C4E" w:rsidRPr="00A21238" w:rsidRDefault="00693C4E" w:rsidP="00525241">
            <w:pPr>
              <w:jc w:val="center"/>
              <w:rPr>
                <w:rFonts w:ascii="Calibri" w:hAnsi="Calibri" w:cs="Arial"/>
                <w:b/>
                <w:sz w:val="20"/>
                <w:szCs w:val="20"/>
                <w:lang w:val="fr-CA"/>
              </w:rPr>
            </w:pPr>
            <w:r w:rsidRPr="00A21238">
              <w:rPr>
                <w:rFonts w:ascii="Calibri" w:hAnsi="Calibri" w:cs="Arial"/>
                <w:b/>
                <w:sz w:val="20"/>
                <w:szCs w:val="20"/>
                <w:lang w:val="fr-CA"/>
              </w:rPr>
              <w:t>RR [95% CI] or</w:t>
            </w:r>
          </w:p>
          <w:p w:rsidR="00693C4E" w:rsidRPr="00A21238" w:rsidRDefault="00693C4E" w:rsidP="00525241">
            <w:pPr>
              <w:jc w:val="center"/>
              <w:rPr>
                <w:rFonts w:ascii="Calibri" w:hAnsi="Calibri" w:cs="Arial"/>
                <w:b/>
                <w:sz w:val="20"/>
                <w:szCs w:val="20"/>
                <w:lang w:val="fr-CA"/>
              </w:rPr>
            </w:pPr>
            <w:r w:rsidRPr="00A21238">
              <w:rPr>
                <w:rFonts w:ascii="Calibri" w:hAnsi="Calibri" w:cs="Arial"/>
                <w:b/>
                <w:sz w:val="20"/>
                <w:szCs w:val="20"/>
                <w:lang w:val="fr-CA"/>
              </w:rPr>
              <w:t>WMD [95% CI]</w:t>
            </w:r>
          </w:p>
        </w:tc>
        <w:tc>
          <w:tcPr>
            <w:tcW w:w="1080" w:type="dxa"/>
            <w:vMerge w:val="restart"/>
            <w:vAlign w:val="bottom"/>
          </w:tcPr>
          <w:p w:rsidR="00693C4E" w:rsidRPr="00A21238" w:rsidRDefault="00F60EE8" w:rsidP="00525241">
            <w:pPr>
              <w:jc w:val="center"/>
              <w:rPr>
                <w:rFonts w:ascii="Calibri" w:hAnsi="Calibri" w:cs="Arial"/>
                <w:b/>
                <w:sz w:val="20"/>
                <w:szCs w:val="20"/>
              </w:rPr>
            </w:pPr>
            <w:r w:rsidRPr="00A21238">
              <w:rPr>
                <w:rFonts w:ascii="Calibri" w:hAnsi="Calibri" w:cs="Arial"/>
                <w:b/>
                <w:i/>
                <w:sz w:val="20"/>
                <w:szCs w:val="20"/>
              </w:rPr>
              <w:t>P</w:t>
            </w:r>
            <w:r w:rsidR="00693C4E" w:rsidRPr="00A21238">
              <w:rPr>
                <w:rFonts w:ascii="Calibri" w:hAnsi="Calibri" w:cs="Arial"/>
                <w:b/>
                <w:sz w:val="20"/>
                <w:szCs w:val="20"/>
              </w:rPr>
              <w:t xml:space="preserve"> value</w:t>
            </w:r>
          </w:p>
        </w:tc>
      </w:tr>
      <w:tr w:rsidR="00693C4E" w:rsidRPr="00A21238" w:rsidTr="005E32CB">
        <w:trPr>
          <w:trHeight w:val="394"/>
        </w:trPr>
        <w:tc>
          <w:tcPr>
            <w:tcW w:w="3348" w:type="dxa"/>
            <w:vMerge/>
          </w:tcPr>
          <w:p w:rsidR="00693C4E" w:rsidRPr="00A21238" w:rsidRDefault="00693C4E" w:rsidP="00693C4E">
            <w:pPr>
              <w:jc w:val="center"/>
              <w:rPr>
                <w:rFonts w:ascii="Calibri" w:hAnsi="Calibri" w:cs="Arial"/>
                <w:b/>
                <w:sz w:val="20"/>
                <w:szCs w:val="20"/>
              </w:rPr>
            </w:pPr>
          </w:p>
        </w:tc>
        <w:tc>
          <w:tcPr>
            <w:tcW w:w="1080" w:type="dxa"/>
          </w:tcPr>
          <w:p w:rsidR="00693C4E" w:rsidRPr="00A21238" w:rsidRDefault="00693C4E" w:rsidP="00693C4E">
            <w:pPr>
              <w:jc w:val="center"/>
              <w:rPr>
                <w:rFonts w:ascii="Calibri" w:hAnsi="Calibri" w:cs="Arial"/>
                <w:b/>
                <w:i/>
                <w:sz w:val="20"/>
                <w:szCs w:val="20"/>
              </w:rPr>
            </w:pPr>
            <w:r w:rsidRPr="00A21238">
              <w:rPr>
                <w:rFonts w:ascii="Calibri" w:hAnsi="Calibri" w:cs="Arial"/>
                <w:b/>
                <w:i/>
                <w:sz w:val="20"/>
                <w:szCs w:val="20"/>
              </w:rPr>
              <w:t>EGFR</w:t>
            </w:r>
          </w:p>
          <w:p w:rsidR="00693C4E" w:rsidRPr="00A21238" w:rsidRDefault="00693C4E" w:rsidP="00693C4E">
            <w:pPr>
              <w:jc w:val="center"/>
              <w:rPr>
                <w:rFonts w:ascii="Calibri" w:hAnsi="Calibri" w:cs="Arial"/>
                <w:b/>
                <w:sz w:val="20"/>
                <w:szCs w:val="20"/>
              </w:rPr>
            </w:pPr>
            <w:r w:rsidRPr="00A21238">
              <w:rPr>
                <w:rFonts w:ascii="Calibri" w:hAnsi="Calibri" w:cs="Arial"/>
                <w:b/>
                <w:sz w:val="20"/>
                <w:szCs w:val="20"/>
              </w:rPr>
              <w:t>Mutations</w:t>
            </w:r>
          </w:p>
        </w:tc>
        <w:tc>
          <w:tcPr>
            <w:tcW w:w="1170" w:type="dxa"/>
          </w:tcPr>
          <w:p w:rsidR="00693C4E" w:rsidRPr="00A21238" w:rsidRDefault="00693C4E" w:rsidP="00693C4E">
            <w:pPr>
              <w:jc w:val="center"/>
              <w:rPr>
                <w:rFonts w:ascii="Calibri" w:hAnsi="Calibri" w:cs="Arial"/>
                <w:b/>
                <w:sz w:val="20"/>
                <w:szCs w:val="20"/>
              </w:rPr>
            </w:pPr>
            <w:r w:rsidRPr="00A21238">
              <w:rPr>
                <w:rFonts w:ascii="Calibri" w:hAnsi="Calibri" w:cs="Arial"/>
                <w:b/>
                <w:sz w:val="20"/>
                <w:szCs w:val="20"/>
              </w:rPr>
              <w:t>No Mutations</w:t>
            </w:r>
          </w:p>
        </w:tc>
        <w:tc>
          <w:tcPr>
            <w:tcW w:w="1080" w:type="dxa"/>
            <w:vMerge/>
          </w:tcPr>
          <w:p w:rsidR="00693C4E" w:rsidRPr="00A21238" w:rsidRDefault="00693C4E" w:rsidP="00693C4E">
            <w:pPr>
              <w:jc w:val="center"/>
              <w:rPr>
                <w:rFonts w:ascii="Calibri" w:hAnsi="Calibri" w:cs="Arial"/>
                <w:b/>
                <w:sz w:val="20"/>
                <w:szCs w:val="20"/>
              </w:rPr>
            </w:pPr>
          </w:p>
        </w:tc>
        <w:tc>
          <w:tcPr>
            <w:tcW w:w="1980" w:type="dxa"/>
            <w:vMerge/>
          </w:tcPr>
          <w:p w:rsidR="00693C4E" w:rsidRPr="00A21238" w:rsidRDefault="00693C4E" w:rsidP="00693C4E">
            <w:pPr>
              <w:jc w:val="center"/>
              <w:rPr>
                <w:rFonts w:ascii="Calibri" w:hAnsi="Calibri" w:cs="Arial"/>
                <w:b/>
                <w:sz w:val="20"/>
                <w:szCs w:val="20"/>
              </w:rPr>
            </w:pPr>
          </w:p>
        </w:tc>
        <w:tc>
          <w:tcPr>
            <w:tcW w:w="1080" w:type="dxa"/>
            <w:vMerge/>
          </w:tcPr>
          <w:p w:rsidR="00693C4E" w:rsidRPr="00A21238" w:rsidRDefault="00693C4E" w:rsidP="00693C4E">
            <w:pPr>
              <w:jc w:val="center"/>
              <w:rPr>
                <w:rFonts w:ascii="Calibri" w:hAnsi="Calibri" w:cs="Arial"/>
                <w:b/>
                <w:sz w:val="20"/>
                <w:szCs w:val="20"/>
              </w:rPr>
            </w:pPr>
          </w:p>
        </w:tc>
      </w:tr>
      <w:tr w:rsidR="00693C4E" w:rsidRPr="00A21238" w:rsidTr="005E32CB">
        <w:trPr>
          <w:trHeight w:val="414"/>
        </w:trPr>
        <w:tc>
          <w:tcPr>
            <w:tcW w:w="3348" w:type="dxa"/>
          </w:tcPr>
          <w:p w:rsidR="00693C4E" w:rsidRPr="00A21238" w:rsidRDefault="00206751" w:rsidP="00693C4E">
            <w:pPr>
              <w:rPr>
                <w:rFonts w:ascii="Calibri" w:hAnsi="Calibri"/>
                <w:sz w:val="20"/>
                <w:szCs w:val="20"/>
              </w:rPr>
            </w:pPr>
            <w:r w:rsidRPr="00A21238">
              <w:rPr>
                <w:rFonts w:ascii="Calibri" w:hAnsi="Calibri"/>
                <w:sz w:val="20"/>
                <w:szCs w:val="20"/>
              </w:rPr>
              <w:t>Time to Progression/Progression Free Survival (m</w:t>
            </w:r>
            <w:r w:rsidR="00693C4E" w:rsidRPr="00A21238">
              <w:rPr>
                <w:rFonts w:ascii="Calibri" w:hAnsi="Calibri"/>
                <w:sz w:val="20"/>
                <w:szCs w:val="20"/>
              </w:rPr>
              <w:t>onths)</w:t>
            </w:r>
            <w:r w:rsidR="0002496E" w:rsidRPr="0002496E">
              <w:rPr>
                <w:rFonts w:ascii="Calibri" w:hAnsi="Calibri"/>
                <w:noProof/>
                <w:sz w:val="20"/>
                <w:szCs w:val="20"/>
                <w:vertAlign w:val="superscript"/>
              </w:rPr>
              <w:t>20, 26, 35, 37, 38, 44, 46, 54, 69-71, 73-75, 77, 78, 81, 83, 84, 87, 88, 90-92</w:t>
            </w:r>
          </w:p>
          <w:p w:rsidR="00693C4E" w:rsidRPr="00A21238" w:rsidRDefault="00693C4E" w:rsidP="00F558A0">
            <w:pPr>
              <w:pStyle w:val="ListParagraph"/>
              <w:ind w:left="360"/>
              <w:contextualSpacing/>
              <w:rPr>
                <w:rFonts w:cs="Arial"/>
                <w:sz w:val="20"/>
                <w:szCs w:val="20"/>
              </w:rPr>
            </w:pPr>
            <w:r w:rsidRPr="00A21238">
              <w:rPr>
                <w:rFonts w:cs="Arial"/>
                <w:sz w:val="20"/>
                <w:szCs w:val="20"/>
              </w:rPr>
              <w:t xml:space="preserve">Advanced disease (Stage III and IV) </w:t>
            </w:r>
          </w:p>
        </w:tc>
        <w:tc>
          <w:tcPr>
            <w:tcW w:w="1080" w:type="dxa"/>
            <w:vAlign w:val="bottom"/>
          </w:tcPr>
          <w:p w:rsidR="00693C4E" w:rsidRPr="00A21238" w:rsidRDefault="00693C4E" w:rsidP="00525241">
            <w:pPr>
              <w:jc w:val="center"/>
              <w:rPr>
                <w:rFonts w:ascii="Calibri" w:hAnsi="Calibri" w:cs="Arial"/>
                <w:sz w:val="20"/>
                <w:szCs w:val="20"/>
              </w:rPr>
            </w:pPr>
          </w:p>
          <w:p w:rsidR="00693C4E" w:rsidRPr="00A21238" w:rsidRDefault="00123D66" w:rsidP="008C16FB">
            <w:pPr>
              <w:jc w:val="center"/>
              <w:rPr>
                <w:rFonts w:ascii="Calibri" w:hAnsi="Calibri" w:cs="Arial"/>
                <w:sz w:val="20"/>
                <w:szCs w:val="20"/>
              </w:rPr>
            </w:pPr>
            <w:r>
              <w:rPr>
                <w:rFonts w:ascii="Calibri" w:hAnsi="Calibri" w:cs="Arial"/>
                <w:sz w:val="20"/>
                <w:szCs w:val="20"/>
              </w:rPr>
              <w:t>10.4</w:t>
            </w:r>
            <w:r w:rsidR="00693C4E" w:rsidRPr="00A21238">
              <w:rPr>
                <w:rFonts w:ascii="Calibri" w:hAnsi="Calibri" w:cs="Arial"/>
                <w:sz w:val="20"/>
                <w:szCs w:val="20"/>
                <w:u w:val="single"/>
              </w:rPr>
              <w:t>+</w:t>
            </w:r>
            <w:r w:rsidR="00F558A0" w:rsidRPr="00A21238">
              <w:rPr>
                <w:rFonts w:ascii="Calibri" w:hAnsi="Calibri" w:cs="Arial"/>
                <w:sz w:val="20"/>
                <w:szCs w:val="20"/>
              </w:rPr>
              <w:t xml:space="preserve"> </w:t>
            </w:r>
            <w:r w:rsidR="00611AE6">
              <w:rPr>
                <w:rFonts w:ascii="Calibri" w:hAnsi="Calibri" w:cs="Arial"/>
                <w:sz w:val="20"/>
                <w:szCs w:val="20"/>
              </w:rPr>
              <w:t>4.5</w:t>
            </w:r>
          </w:p>
        </w:tc>
        <w:tc>
          <w:tcPr>
            <w:tcW w:w="1170" w:type="dxa"/>
            <w:vAlign w:val="bottom"/>
          </w:tcPr>
          <w:p w:rsidR="00693C4E" w:rsidRPr="00A21238" w:rsidRDefault="00693C4E" w:rsidP="00525241">
            <w:pPr>
              <w:jc w:val="center"/>
              <w:rPr>
                <w:rFonts w:ascii="Calibri" w:hAnsi="Calibri" w:cs="Arial"/>
                <w:sz w:val="20"/>
                <w:szCs w:val="20"/>
              </w:rPr>
            </w:pPr>
          </w:p>
          <w:p w:rsidR="00693C4E" w:rsidRPr="00A21238" w:rsidRDefault="00123D66" w:rsidP="008C16FB">
            <w:pPr>
              <w:jc w:val="center"/>
              <w:rPr>
                <w:rFonts w:ascii="Calibri" w:hAnsi="Calibri" w:cs="Arial"/>
                <w:sz w:val="20"/>
                <w:szCs w:val="20"/>
              </w:rPr>
            </w:pPr>
            <w:r>
              <w:rPr>
                <w:rFonts w:ascii="Calibri" w:hAnsi="Calibri" w:cs="Arial"/>
                <w:sz w:val="20"/>
                <w:szCs w:val="20"/>
              </w:rPr>
              <w:t>2.9</w:t>
            </w:r>
            <w:r w:rsidR="00693C4E" w:rsidRPr="00A21238">
              <w:rPr>
                <w:rFonts w:ascii="Calibri" w:hAnsi="Calibri" w:cs="Arial"/>
                <w:sz w:val="20"/>
                <w:szCs w:val="20"/>
              </w:rPr>
              <w:t xml:space="preserve"> </w:t>
            </w:r>
            <w:r w:rsidR="00693C4E" w:rsidRPr="00A21238">
              <w:rPr>
                <w:rFonts w:ascii="Calibri" w:hAnsi="Calibri" w:cs="Arial"/>
                <w:sz w:val="20"/>
                <w:szCs w:val="20"/>
                <w:u w:val="single"/>
              </w:rPr>
              <w:t>+</w:t>
            </w:r>
            <w:r w:rsidR="00F558A0" w:rsidRPr="00A21238">
              <w:rPr>
                <w:rFonts w:ascii="Calibri" w:hAnsi="Calibri" w:cs="Arial"/>
                <w:sz w:val="20"/>
                <w:szCs w:val="20"/>
              </w:rPr>
              <w:t xml:space="preserve"> </w:t>
            </w:r>
            <w:r w:rsidR="00611AE6">
              <w:rPr>
                <w:rFonts w:ascii="Calibri" w:hAnsi="Calibri" w:cs="Arial"/>
                <w:sz w:val="20"/>
                <w:szCs w:val="20"/>
              </w:rPr>
              <w:t>1.5</w:t>
            </w:r>
          </w:p>
        </w:tc>
        <w:tc>
          <w:tcPr>
            <w:tcW w:w="1080" w:type="dxa"/>
            <w:vAlign w:val="bottom"/>
          </w:tcPr>
          <w:p w:rsidR="00693C4E" w:rsidRPr="00A21238" w:rsidRDefault="00693C4E" w:rsidP="00525241">
            <w:pPr>
              <w:jc w:val="center"/>
              <w:rPr>
                <w:rFonts w:ascii="Calibri" w:hAnsi="Calibri" w:cs="Arial"/>
                <w:sz w:val="20"/>
                <w:szCs w:val="20"/>
              </w:rPr>
            </w:pPr>
          </w:p>
          <w:p w:rsidR="00693C4E" w:rsidRPr="00A21238" w:rsidRDefault="00123D66" w:rsidP="00525241">
            <w:pPr>
              <w:jc w:val="center"/>
              <w:rPr>
                <w:rFonts w:ascii="Calibri" w:hAnsi="Calibri" w:cs="Arial"/>
                <w:sz w:val="20"/>
                <w:szCs w:val="20"/>
              </w:rPr>
            </w:pPr>
            <w:r>
              <w:rPr>
                <w:rFonts w:ascii="Calibri" w:hAnsi="Calibri" w:cs="Arial"/>
                <w:sz w:val="20"/>
                <w:szCs w:val="20"/>
              </w:rPr>
              <w:t>24(2238)</w:t>
            </w:r>
          </w:p>
        </w:tc>
        <w:tc>
          <w:tcPr>
            <w:tcW w:w="1980" w:type="dxa"/>
            <w:vAlign w:val="bottom"/>
          </w:tcPr>
          <w:p w:rsidR="00693C4E" w:rsidRPr="00A21238" w:rsidRDefault="00693C4E" w:rsidP="00525241">
            <w:pPr>
              <w:jc w:val="center"/>
              <w:rPr>
                <w:rFonts w:ascii="Calibri" w:hAnsi="Calibri" w:cs="Arial"/>
                <w:sz w:val="20"/>
                <w:szCs w:val="20"/>
              </w:rPr>
            </w:pPr>
          </w:p>
          <w:p w:rsidR="00693C4E" w:rsidRPr="00A21238" w:rsidRDefault="00123D66" w:rsidP="00525241">
            <w:pPr>
              <w:jc w:val="center"/>
              <w:rPr>
                <w:rFonts w:ascii="Calibri" w:hAnsi="Calibri" w:cs="Arial"/>
                <w:sz w:val="20"/>
                <w:szCs w:val="20"/>
              </w:rPr>
            </w:pPr>
            <w:r>
              <w:rPr>
                <w:rFonts w:ascii="Calibri" w:hAnsi="Calibri" w:cs="Arial"/>
                <w:sz w:val="20"/>
                <w:szCs w:val="20"/>
              </w:rPr>
              <w:t>7.48 [5.87, 9.08]</w:t>
            </w:r>
            <w:r w:rsidR="00F558A0" w:rsidRPr="00A21238">
              <w:rPr>
                <w:rFonts w:ascii="Calibri" w:hAnsi="Calibri" w:cs="Arial"/>
                <w:sz w:val="20"/>
                <w:szCs w:val="20"/>
              </w:rPr>
              <w:t>]</w:t>
            </w:r>
          </w:p>
        </w:tc>
        <w:tc>
          <w:tcPr>
            <w:tcW w:w="1080" w:type="dxa"/>
            <w:vAlign w:val="bottom"/>
          </w:tcPr>
          <w:p w:rsidR="00693C4E" w:rsidRPr="00A21238" w:rsidRDefault="00693C4E" w:rsidP="00525241">
            <w:pPr>
              <w:jc w:val="center"/>
              <w:rPr>
                <w:rFonts w:ascii="Calibri" w:hAnsi="Calibri" w:cs="Arial"/>
                <w:sz w:val="20"/>
                <w:szCs w:val="20"/>
              </w:rPr>
            </w:pPr>
          </w:p>
          <w:p w:rsidR="00693C4E" w:rsidRPr="00A21238" w:rsidRDefault="00244495" w:rsidP="00525241">
            <w:pPr>
              <w:jc w:val="center"/>
              <w:rPr>
                <w:rFonts w:ascii="Calibri" w:hAnsi="Calibri" w:cs="Arial"/>
                <w:sz w:val="20"/>
                <w:szCs w:val="20"/>
              </w:rPr>
            </w:pPr>
            <w:r w:rsidRPr="00A21238">
              <w:rPr>
                <w:rFonts w:asciiTheme="minorHAnsi" w:hAnsiTheme="minorHAnsi" w:cstheme="minorHAnsi"/>
                <w:b/>
                <w:bCs/>
                <w:i/>
                <w:sz w:val="20"/>
                <w:szCs w:val="20"/>
              </w:rPr>
              <w:t>P</w:t>
            </w:r>
            <w:r w:rsidRPr="00A21238">
              <w:rPr>
                <w:rFonts w:asciiTheme="minorHAnsi" w:hAnsiTheme="minorHAnsi" w:cstheme="minorHAnsi"/>
                <w:b/>
                <w:bCs/>
                <w:sz w:val="20"/>
                <w:szCs w:val="20"/>
              </w:rPr>
              <w:t>&lt;.001</w:t>
            </w:r>
          </w:p>
        </w:tc>
      </w:tr>
      <w:tr w:rsidR="00693C4E" w:rsidRPr="00A21238" w:rsidTr="005E32CB">
        <w:tc>
          <w:tcPr>
            <w:tcW w:w="3348" w:type="dxa"/>
          </w:tcPr>
          <w:p w:rsidR="00693C4E" w:rsidRPr="00A21238" w:rsidRDefault="00206751" w:rsidP="00693C4E">
            <w:pPr>
              <w:rPr>
                <w:rFonts w:ascii="Calibri" w:hAnsi="Calibri" w:cs="Arial"/>
                <w:sz w:val="20"/>
                <w:szCs w:val="20"/>
              </w:rPr>
            </w:pPr>
            <w:r w:rsidRPr="00A21238">
              <w:rPr>
                <w:rFonts w:ascii="Calibri" w:hAnsi="Calibri" w:cs="Arial"/>
                <w:sz w:val="20"/>
                <w:szCs w:val="20"/>
              </w:rPr>
              <w:t>Median Survival time (m</w:t>
            </w:r>
            <w:r w:rsidR="00693C4E" w:rsidRPr="00A21238">
              <w:rPr>
                <w:rFonts w:ascii="Calibri" w:hAnsi="Calibri" w:cs="Arial"/>
                <w:sz w:val="20"/>
                <w:szCs w:val="20"/>
              </w:rPr>
              <w:t>onths)</w:t>
            </w:r>
            <w:r w:rsidR="0002496E" w:rsidRPr="0002496E">
              <w:rPr>
                <w:rFonts w:ascii="Calibri" w:hAnsi="Calibri" w:cs="Arial"/>
                <w:noProof/>
                <w:sz w:val="20"/>
                <w:szCs w:val="20"/>
                <w:vertAlign w:val="superscript"/>
              </w:rPr>
              <w:t>20, 24, 31, 33, 37-39, 44, 46, 54, 69, 71, 74, 75, 77, 79-81, 83-87, 90, 93, 94</w:t>
            </w:r>
          </w:p>
          <w:p w:rsidR="00693C4E" w:rsidRPr="00A21238" w:rsidRDefault="00693C4E" w:rsidP="00F558A0">
            <w:pPr>
              <w:pStyle w:val="ListParagraph"/>
              <w:ind w:left="360"/>
              <w:contextualSpacing/>
              <w:rPr>
                <w:rFonts w:cs="Arial"/>
                <w:sz w:val="20"/>
                <w:szCs w:val="20"/>
              </w:rPr>
            </w:pPr>
            <w:r w:rsidRPr="00A21238">
              <w:rPr>
                <w:rFonts w:cs="Arial"/>
                <w:sz w:val="20"/>
                <w:szCs w:val="20"/>
              </w:rPr>
              <w:t xml:space="preserve">Advanced disease (Stage III and IV) </w:t>
            </w:r>
          </w:p>
        </w:tc>
        <w:tc>
          <w:tcPr>
            <w:tcW w:w="1080" w:type="dxa"/>
            <w:vAlign w:val="bottom"/>
          </w:tcPr>
          <w:p w:rsidR="00693C4E" w:rsidRPr="00A21238" w:rsidRDefault="00693C4E" w:rsidP="00525241">
            <w:pPr>
              <w:jc w:val="center"/>
              <w:rPr>
                <w:rFonts w:ascii="Calibri" w:hAnsi="Calibri" w:cs="Arial"/>
                <w:sz w:val="20"/>
                <w:szCs w:val="20"/>
              </w:rPr>
            </w:pPr>
          </w:p>
          <w:p w:rsidR="00693C4E" w:rsidRPr="00A21238" w:rsidRDefault="00693C4E" w:rsidP="00525241">
            <w:pPr>
              <w:jc w:val="center"/>
              <w:rPr>
                <w:rFonts w:ascii="Calibri" w:hAnsi="Calibri" w:cs="Arial"/>
                <w:sz w:val="20"/>
                <w:szCs w:val="20"/>
              </w:rPr>
            </w:pPr>
            <w:r w:rsidRPr="00A21238">
              <w:rPr>
                <w:rFonts w:ascii="Calibri" w:hAnsi="Calibri" w:cs="Arial"/>
                <w:sz w:val="20"/>
                <w:szCs w:val="20"/>
              </w:rPr>
              <w:t xml:space="preserve">20.5 </w:t>
            </w:r>
            <w:r w:rsidRPr="00A21238">
              <w:rPr>
                <w:rFonts w:ascii="Calibri" w:hAnsi="Calibri" w:cs="Arial"/>
                <w:sz w:val="20"/>
                <w:szCs w:val="20"/>
                <w:u w:val="single"/>
              </w:rPr>
              <w:t>+</w:t>
            </w:r>
            <w:r w:rsidR="00206751" w:rsidRPr="00A21238">
              <w:rPr>
                <w:rFonts w:ascii="Calibri" w:hAnsi="Calibri" w:cs="Arial"/>
                <w:sz w:val="20"/>
                <w:szCs w:val="20"/>
              </w:rPr>
              <w:t xml:space="preserve"> 6.6</w:t>
            </w:r>
          </w:p>
        </w:tc>
        <w:tc>
          <w:tcPr>
            <w:tcW w:w="1170" w:type="dxa"/>
            <w:vAlign w:val="bottom"/>
          </w:tcPr>
          <w:p w:rsidR="00693C4E" w:rsidRPr="00A21238" w:rsidRDefault="00693C4E" w:rsidP="00525241">
            <w:pPr>
              <w:jc w:val="center"/>
              <w:rPr>
                <w:rFonts w:ascii="Calibri" w:hAnsi="Calibri" w:cs="Arial"/>
                <w:sz w:val="20"/>
                <w:szCs w:val="20"/>
              </w:rPr>
            </w:pPr>
          </w:p>
          <w:p w:rsidR="00693C4E" w:rsidRPr="00A21238" w:rsidRDefault="00693C4E" w:rsidP="00525241">
            <w:pPr>
              <w:jc w:val="center"/>
              <w:rPr>
                <w:rFonts w:ascii="Calibri" w:hAnsi="Calibri" w:cs="Arial"/>
                <w:sz w:val="20"/>
                <w:szCs w:val="20"/>
              </w:rPr>
            </w:pPr>
            <w:r w:rsidRPr="00A21238">
              <w:rPr>
                <w:rFonts w:ascii="Calibri" w:hAnsi="Calibri" w:cs="Arial"/>
                <w:sz w:val="20"/>
                <w:szCs w:val="20"/>
              </w:rPr>
              <w:t xml:space="preserve">9.8 </w:t>
            </w:r>
            <w:r w:rsidRPr="00A21238">
              <w:rPr>
                <w:rFonts w:ascii="Calibri" w:hAnsi="Calibri" w:cs="Arial"/>
                <w:sz w:val="20"/>
                <w:szCs w:val="20"/>
                <w:u w:val="single"/>
              </w:rPr>
              <w:t>+</w:t>
            </w:r>
            <w:r w:rsidR="00206751" w:rsidRPr="00A21238">
              <w:rPr>
                <w:rFonts w:ascii="Calibri" w:hAnsi="Calibri" w:cs="Arial"/>
                <w:sz w:val="20"/>
                <w:szCs w:val="20"/>
              </w:rPr>
              <w:t xml:space="preserve"> 4.3</w:t>
            </w:r>
          </w:p>
        </w:tc>
        <w:tc>
          <w:tcPr>
            <w:tcW w:w="1080" w:type="dxa"/>
            <w:vAlign w:val="bottom"/>
          </w:tcPr>
          <w:p w:rsidR="00693C4E" w:rsidRPr="00A21238" w:rsidRDefault="00693C4E" w:rsidP="00525241">
            <w:pPr>
              <w:jc w:val="center"/>
              <w:rPr>
                <w:rFonts w:ascii="Calibri" w:hAnsi="Calibri" w:cs="Arial"/>
                <w:sz w:val="20"/>
                <w:szCs w:val="20"/>
              </w:rPr>
            </w:pPr>
          </w:p>
          <w:p w:rsidR="00693C4E" w:rsidRPr="00A21238" w:rsidRDefault="00693C4E" w:rsidP="00525241">
            <w:pPr>
              <w:jc w:val="center"/>
              <w:rPr>
                <w:rFonts w:ascii="Calibri" w:hAnsi="Calibri" w:cs="Arial"/>
                <w:sz w:val="20"/>
                <w:szCs w:val="20"/>
              </w:rPr>
            </w:pPr>
            <w:r w:rsidRPr="00A21238">
              <w:rPr>
                <w:rFonts w:ascii="Calibri" w:hAnsi="Calibri" w:cs="Arial"/>
                <w:sz w:val="20"/>
                <w:szCs w:val="20"/>
              </w:rPr>
              <w:t>26(2558)</w:t>
            </w:r>
          </w:p>
        </w:tc>
        <w:tc>
          <w:tcPr>
            <w:tcW w:w="1980" w:type="dxa"/>
            <w:vAlign w:val="bottom"/>
          </w:tcPr>
          <w:p w:rsidR="00693C4E" w:rsidRPr="00A21238" w:rsidRDefault="00693C4E" w:rsidP="00525241">
            <w:pPr>
              <w:jc w:val="center"/>
              <w:rPr>
                <w:rFonts w:ascii="Calibri" w:hAnsi="Calibri" w:cs="Arial"/>
                <w:sz w:val="20"/>
                <w:szCs w:val="20"/>
              </w:rPr>
            </w:pPr>
          </w:p>
          <w:p w:rsidR="00F558A0" w:rsidRPr="00A21238" w:rsidRDefault="00F558A0" w:rsidP="00525241">
            <w:pPr>
              <w:jc w:val="center"/>
              <w:rPr>
                <w:rFonts w:ascii="Calibri" w:hAnsi="Calibri" w:cs="Arial"/>
                <w:sz w:val="20"/>
                <w:szCs w:val="20"/>
              </w:rPr>
            </w:pPr>
            <w:r w:rsidRPr="00A21238">
              <w:rPr>
                <w:rFonts w:ascii="Calibri" w:hAnsi="Calibri" w:cs="Arial"/>
                <w:sz w:val="20"/>
                <w:szCs w:val="20"/>
              </w:rPr>
              <w:t>10.72 [8.63,</w:t>
            </w:r>
            <w:r w:rsidR="00611C73">
              <w:rPr>
                <w:rFonts w:ascii="Calibri" w:hAnsi="Calibri" w:cs="Arial"/>
                <w:sz w:val="20"/>
                <w:szCs w:val="20"/>
              </w:rPr>
              <w:t xml:space="preserve"> </w:t>
            </w:r>
            <w:r w:rsidRPr="00A21238">
              <w:rPr>
                <w:rFonts w:ascii="Calibri" w:hAnsi="Calibri" w:cs="Arial"/>
                <w:sz w:val="20"/>
                <w:szCs w:val="20"/>
              </w:rPr>
              <w:t>12.8]</w:t>
            </w:r>
          </w:p>
        </w:tc>
        <w:tc>
          <w:tcPr>
            <w:tcW w:w="1080" w:type="dxa"/>
            <w:vAlign w:val="bottom"/>
          </w:tcPr>
          <w:p w:rsidR="00693C4E" w:rsidRPr="00A21238" w:rsidRDefault="00693C4E" w:rsidP="00525241">
            <w:pPr>
              <w:jc w:val="center"/>
              <w:rPr>
                <w:rFonts w:ascii="Calibri" w:hAnsi="Calibri" w:cs="Arial"/>
                <w:sz w:val="20"/>
                <w:szCs w:val="20"/>
              </w:rPr>
            </w:pPr>
          </w:p>
          <w:p w:rsidR="00693C4E" w:rsidRPr="00A21238" w:rsidRDefault="00244495" w:rsidP="00525241">
            <w:pPr>
              <w:jc w:val="center"/>
              <w:rPr>
                <w:rFonts w:ascii="Calibri" w:hAnsi="Calibri" w:cs="Arial"/>
                <w:sz w:val="20"/>
                <w:szCs w:val="20"/>
              </w:rPr>
            </w:pPr>
            <w:r w:rsidRPr="00A21238">
              <w:rPr>
                <w:rFonts w:asciiTheme="minorHAnsi" w:hAnsiTheme="minorHAnsi" w:cstheme="minorHAnsi"/>
                <w:b/>
                <w:bCs/>
                <w:i/>
                <w:sz w:val="20"/>
                <w:szCs w:val="20"/>
              </w:rPr>
              <w:t>P</w:t>
            </w:r>
            <w:r w:rsidRPr="00A21238">
              <w:rPr>
                <w:rFonts w:asciiTheme="minorHAnsi" w:hAnsiTheme="minorHAnsi" w:cstheme="minorHAnsi"/>
                <w:b/>
                <w:bCs/>
                <w:sz w:val="20"/>
                <w:szCs w:val="20"/>
              </w:rPr>
              <w:t>&lt;.001</w:t>
            </w:r>
          </w:p>
        </w:tc>
      </w:tr>
    </w:tbl>
    <w:p w:rsidR="00693C4E" w:rsidRPr="00A52683" w:rsidRDefault="00437895" w:rsidP="00A26FF8">
      <w:pPr>
        <w:ind w:left="-90"/>
        <w:rPr>
          <w:rFonts w:asciiTheme="minorHAnsi" w:hAnsiTheme="minorHAnsi" w:cs="Arial"/>
          <w:b/>
          <w:sz w:val="18"/>
          <w:szCs w:val="18"/>
        </w:rPr>
      </w:pPr>
      <w:r>
        <w:rPr>
          <w:rFonts w:ascii="Calibri" w:hAnsi="Calibri"/>
          <w:sz w:val="18"/>
          <w:szCs w:val="18"/>
        </w:rPr>
        <w:t xml:space="preserve">Abbreviations: </w:t>
      </w:r>
      <w:r w:rsidR="00693C4E" w:rsidRPr="00A52683">
        <w:rPr>
          <w:rFonts w:ascii="Calibri" w:hAnsi="Calibri"/>
          <w:sz w:val="18"/>
          <w:szCs w:val="18"/>
        </w:rPr>
        <w:t>CI</w:t>
      </w:r>
      <w:r w:rsidR="00470CE4">
        <w:rPr>
          <w:rFonts w:ascii="Calibri" w:hAnsi="Calibri"/>
          <w:sz w:val="18"/>
          <w:szCs w:val="18"/>
        </w:rPr>
        <w:t>,</w:t>
      </w:r>
      <w:r w:rsidR="00693C4E" w:rsidRPr="00A52683">
        <w:rPr>
          <w:rFonts w:ascii="Calibri" w:hAnsi="Calibri"/>
          <w:sz w:val="18"/>
          <w:szCs w:val="18"/>
        </w:rPr>
        <w:t xml:space="preserve"> Confidence interval; n</w:t>
      </w:r>
      <w:r w:rsidR="00470CE4">
        <w:rPr>
          <w:rFonts w:ascii="Calibri" w:hAnsi="Calibri"/>
          <w:sz w:val="18"/>
          <w:szCs w:val="18"/>
        </w:rPr>
        <w:t>,</w:t>
      </w:r>
      <w:r w:rsidR="00693C4E" w:rsidRPr="00A52683">
        <w:rPr>
          <w:rFonts w:ascii="Calibri" w:hAnsi="Calibri"/>
          <w:sz w:val="18"/>
          <w:szCs w:val="18"/>
        </w:rPr>
        <w:t xml:space="preserve"> Number of studies; N</w:t>
      </w:r>
      <w:r w:rsidR="00470CE4">
        <w:rPr>
          <w:rFonts w:ascii="Calibri" w:hAnsi="Calibri"/>
          <w:sz w:val="18"/>
          <w:szCs w:val="18"/>
        </w:rPr>
        <w:t>,</w:t>
      </w:r>
      <w:r w:rsidR="00693C4E" w:rsidRPr="00A52683">
        <w:rPr>
          <w:rFonts w:ascii="Calibri" w:hAnsi="Calibri"/>
          <w:sz w:val="18"/>
          <w:szCs w:val="18"/>
        </w:rPr>
        <w:t xml:space="preserve"> Number of</w:t>
      </w:r>
      <w:r w:rsidR="00206751" w:rsidRPr="00A52683">
        <w:rPr>
          <w:rFonts w:ascii="Calibri" w:hAnsi="Calibri"/>
          <w:sz w:val="18"/>
          <w:szCs w:val="18"/>
        </w:rPr>
        <w:t xml:space="preserve"> patients; RR</w:t>
      </w:r>
      <w:r w:rsidR="00470CE4">
        <w:rPr>
          <w:rFonts w:ascii="Calibri" w:hAnsi="Calibri"/>
          <w:sz w:val="18"/>
          <w:szCs w:val="18"/>
        </w:rPr>
        <w:t>,</w:t>
      </w:r>
      <w:r w:rsidR="00206751" w:rsidRPr="00A52683">
        <w:rPr>
          <w:rFonts w:ascii="Calibri" w:hAnsi="Calibri"/>
          <w:sz w:val="18"/>
          <w:szCs w:val="18"/>
        </w:rPr>
        <w:t xml:space="preserve"> Relative risk</w:t>
      </w:r>
      <w:r w:rsidR="00693C4E" w:rsidRPr="00A52683">
        <w:rPr>
          <w:rFonts w:ascii="Calibri" w:hAnsi="Calibri"/>
          <w:sz w:val="18"/>
          <w:szCs w:val="18"/>
        </w:rPr>
        <w:t>; WMD</w:t>
      </w:r>
      <w:r w:rsidR="00470CE4">
        <w:rPr>
          <w:rFonts w:ascii="Calibri" w:hAnsi="Calibri"/>
          <w:sz w:val="18"/>
          <w:szCs w:val="18"/>
        </w:rPr>
        <w:t>,</w:t>
      </w:r>
      <w:r w:rsidR="00693C4E" w:rsidRPr="00A52683">
        <w:rPr>
          <w:rFonts w:ascii="Calibri" w:hAnsi="Calibri"/>
          <w:sz w:val="18"/>
          <w:szCs w:val="18"/>
        </w:rPr>
        <w:t xml:space="preserve"> Weighted mean difference</w:t>
      </w:r>
    </w:p>
    <w:p w:rsidR="006609E3" w:rsidRPr="00A21238" w:rsidRDefault="006609E3">
      <w:pPr>
        <w:rPr>
          <w:rFonts w:ascii="Century Gothic" w:hAnsi="Century Gothic" w:cs="Arial"/>
          <w:b/>
          <w:sz w:val="20"/>
          <w:szCs w:val="20"/>
        </w:rPr>
      </w:pPr>
      <w:r w:rsidRPr="00A21238">
        <w:rPr>
          <w:rFonts w:ascii="Century Gothic" w:hAnsi="Century Gothic" w:cs="Arial"/>
          <w:b/>
          <w:sz w:val="20"/>
          <w:szCs w:val="20"/>
        </w:rPr>
        <w:br w:type="page"/>
      </w:r>
    </w:p>
    <w:p w:rsidR="007C2737" w:rsidRPr="00A21238" w:rsidRDefault="007C2737" w:rsidP="0000434F">
      <w:pPr>
        <w:rPr>
          <w:rFonts w:ascii="Century Gothic" w:hAnsi="Century Gothic" w:cs="Arial"/>
          <w:b/>
          <w:sz w:val="20"/>
          <w:szCs w:val="20"/>
        </w:rPr>
      </w:pPr>
    </w:p>
    <w:p w:rsidR="0000434F" w:rsidRPr="00A52683" w:rsidRDefault="000E2454" w:rsidP="0000434F">
      <w:pPr>
        <w:rPr>
          <w:b/>
          <w:sz w:val="22"/>
          <w:szCs w:val="22"/>
        </w:rPr>
      </w:pPr>
      <w:r w:rsidRPr="00A52683">
        <w:rPr>
          <w:b/>
          <w:sz w:val="22"/>
          <w:szCs w:val="22"/>
        </w:rPr>
        <w:t xml:space="preserve">Table </w:t>
      </w:r>
      <w:r w:rsidR="00027452" w:rsidRPr="00A52683">
        <w:rPr>
          <w:b/>
          <w:sz w:val="22"/>
          <w:szCs w:val="22"/>
        </w:rPr>
        <w:t>1</w:t>
      </w:r>
      <w:r w:rsidR="00A566D8" w:rsidRPr="00A52683">
        <w:rPr>
          <w:b/>
          <w:sz w:val="22"/>
          <w:szCs w:val="22"/>
        </w:rPr>
        <w:t>7</w:t>
      </w:r>
      <w:r w:rsidR="00BE3833" w:rsidRPr="00A52683">
        <w:rPr>
          <w:b/>
          <w:sz w:val="22"/>
          <w:szCs w:val="22"/>
        </w:rPr>
        <w:t xml:space="preserve">: </w:t>
      </w:r>
      <w:r w:rsidR="0000434F" w:rsidRPr="00A52683">
        <w:rPr>
          <w:b/>
          <w:sz w:val="22"/>
          <w:szCs w:val="22"/>
        </w:rPr>
        <w:t xml:space="preserve">Different outcomes in advanced disease (stage III and IV) lung cancer patients with </w:t>
      </w:r>
      <w:r w:rsidR="0000434F" w:rsidRPr="00A52683">
        <w:rPr>
          <w:b/>
          <w:i/>
          <w:sz w:val="22"/>
          <w:szCs w:val="22"/>
        </w:rPr>
        <w:t>EGFR</w:t>
      </w:r>
      <w:r w:rsidR="0000434F" w:rsidRPr="00A52683">
        <w:rPr>
          <w:b/>
          <w:sz w:val="22"/>
          <w:szCs w:val="22"/>
        </w:rPr>
        <w:t xml:space="preserve"> mutations, treated with Tyrosine Kinase Inhibitor (TKI) Therapy or Chemotherapy, Data from RCTs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2"/>
        <w:gridCol w:w="1246"/>
        <w:gridCol w:w="1260"/>
        <w:gridCol w:w="900"/>
        <w:gridCol w:w="1800"/>
        <w:gridCol w:w="1008"/>
      </w:tblGrid>
      <w:tr w:rsidR="005B1187" w:rsidRPr="00A21238" w:rsidTr="005E32CB">
        <w:tc>
          <w:tcPr>
            <w:tcW w:w="3362" w:type="dxa"/>
            <w:vMerge w:val="restart"/>
            <w:vAlign w:val="bottom"/>
          </w:tcPr>
          <w:p w:rsidR="0000434F" w:rsidRPr="00A21238" w:rsidRDefault="0000434F" w:rsidP="00EB03FC">
            <w:pPr>
              <w:rPr>
                <w:rFonts w:ascii="Calibri" w:hAnsi="Calibri" w:cs="Arial"/>
                <w:b/>
                <w:sz w:val="20"/>
                <w:szCs w:val="20"/>
              </w:rPr>
            </w:pPr>
            <w:r w:rsidRPr="00A21238">
              <w:rPr>
                <w:rFonts w:ascii="Calibri" w:hAnsi="Calibri" w:cs="Arial"/>
                <w:b/>
                <w:sz w:val="20"/>
                <w:szCs w:val="20"/>
              </w:rPr>
              <w:t>Outcome</w:t>
            </w:r>
          </w:p>
        </w:tc>
        <w:tc>
          <w:tcPr>
            <w:tcW w:w="2506" w:type="dxa"/>
            <w:gridSpan w:val="2"/>
          </w:tcPr>
          <w:p w:rsidR="0000434F" w:rsidRPr="00A21238" w:rsidRDefault="007C2737" w:rsidP="006B5899">
            <w:pPr>
              <w:jc w:val="center"/>
              <w:rPr>
                <w:rFonts w:ascii="Calibri" w:hAnsi="Calibri" w:cs="Arial"/>
                <w:b/>
                <w:sz w:val="20"/>
                <w:szCs w:val="20"/>
              </w:rPr>
            </w:pPr>
            <w:r w:rsidRPr="00A21238">
              <w:rPr>
                <w:rFonts w:ascii="Calibri" w:hAnsi="Calibri" w:cs="Arial"/>
                <w:b/>
                <w:sz w:val="20"/>
                <w:szCs w:val="20"/>
              </w:rPr>
              <w:t>Percentage</w:t>
            </w:r>
          </w:p>
        </w:tc>
        <w:tc>
          <w:tcPr>
            <w:tcW w:w="900" w:type="dxa"/>
            <w:vMerge w:val="restart"/>
            <w:vAlign w:val="bottom"/>
          </w:tcPr>
          <w:p w:rsidR="0000434F" w:rsidRPr="00A21238" w:rsidRDefault="0000434F" w:rsidP="00525241">
            <w:pPr>
              <w:jc w:val="center"/>
              <w:rPr>
                <w:rFonts w:ascii="Calibri" w:hAnsi="Calibri" w:cs="Arial"/>
                <w:b/>
                <w:sz w:val="20"/>
                <w:szCs w:val="20"/>
              </w:rPr>
            </w:pPr>
            <w:r w:rsidRPr="00A21238">
              <w:rPr>
                <w:rFonts w:ascii="Calibri" w:hAnsi="Calibri" w:cs="Arial"/>
                <w:b/>
                <w:sz w:val="20"/>
                <w:szCs w:val="20"/>
              </w:rPr>
              <w:t>n (N)</w:t>
            </w:r>
          </w:p>
        </w:tc>
        <w:tc>
          <w:tcPr>
            <w:tcW w:w="1800" w:type="dxa"/>
            <w:vMerge w:val="restart"/>
            <w:vAlign w:val="bottom"/>
          </w:tcPr>
          <w:p w:rsidR="0000434F" w:rsidRPr="00A21238" w:rsidRDefault="0000434F" w:rsidP="00525241">
            <w:pPr>
              <w:jc w:val="center"/>
              <w:rPr>
                <w:rFonts w:ascii="Calibri" w:hAnsi="Calibri" w:cs="Arial"/>
                <w:b/>
                <w:sz w:val="20"/>
                <w:szCs w:val="20"/>
                <w:lang w:val="fr-CA"/>
              </w:rPr>
            </w:pPr>
            <w:r w:rsidRPr="00A21238">
              <w:rPr>
                <w:rFonts w:ascii="Calibri" w:hAnsi="Calibri" w:cs="Arial"/>
                <w:b/>
                <w:sz w:val="20"/>
                <w:szCs w:val="20"/>
                <w:lang w:val="fr-CA"/>
              </w:rPr>
              <w:t>RR [95% CI] or</w:t>
            </w:r>
          </w:p>
          <w:p w:rsidR="0000434F" w:rsidRPr="00A21238" w:rsidRDefault="0000434F" w:rsidP="00525241">
            <w:pPr>
              <w:jc w:val="center"/>
              <w:rPr>
                <w:rFonts w:ascii="Calibri" w:hAnsi="Calibri" w:cs="Arial"/>
                <w:b/>
                <w:sz w:val="20"/>
                <w:szCs w:val="20"/>
                <w:lang w:val="fr-CA"/>
              </w:rPr>
            </w:pPr>
            <w:r w:rsidRPr="00A21238">
              <w:rPr>
                <w:rFonts w:ascii="Calibri" w:hAnsi="Calibri" w:cs="Arial"/>
                <w:b/>
                <w:sz w:val="20"/>
                <w:szCs w:val="20"/>
                <w:lang w:val="fr-CA"/>
              </w:rPr>
              <w:t>WMD [95% CI]</w:t>
            </w:r>
          </w:p>
        </w:tc>
        <w:tc>
          <w:tcPr>
            <w:tcW w:w="1008" w:type="dxa"/>
            <w:vMerge w:val="restart"/>
            <w:vAlign w:val="bottom"/>
          </w:tcPr>
          <w:p w:rsidR="0000434F" w:rsidRPr="00A21238" w:rsidRDefault="00244495" w:rsidP="00525241">
            <w:pPr>
              <w:jc w:val="center"/>
              <w:rPr>
                <w:rFonts w:ascii="Calibri" w:hAnsi="Calibri" w:cs="Arial"/>
                <w:b/>
                <w:sz w:val="20"/>
                <w:szCs w:val="20"/>
              </w:rPr>
            </w:pPr>
            <w:r w:rsidRPr="00A21238">
              <w:rPr>
                <w:rFonts w:ascii="Calibri" w:hAnsi="Calibri" w:cs="Arial"/>
                <w:b/>
                <w:i/>
                <w:sz w:val="20"/>
                <w:szCs w:val="20"/>
              </w:rPr>
              <w:t>P</w:t>
            </w:r>
            <w:r w:rsidR="0000434F" w:rsidRPr="00A21238">
              <w:rPr>
                <w:rFonts w:ascii="Calibri" w:hAnsi="Calibri" w:cs="Arial"/>
                <w:b/>
                <w:sz w:val="20"/>
                <w:szCs w:val="20"/>
              </w:rPr>
              <w:t xml:space="preserve"> value</w:t>
            </w:r>
          </w:p>
        </w:tc>
      </w:tr>
      <w:tr w:rsidR="005B1187" w:rsidRPr="00A21238" w:rsidTr="00350536">
        <w:trPr>
          <w:trHeight w:val="394"/>
        </w:trPr>
        <w:tc>
          <w:tcPr>
            <w:tcW w:w="3362" w:type="dxa"/>
            <w:vMerge/>
          </w:tcPr>
          <w:p w:rsidR="0000434F" w:rsidRPr="00A21238" w:rsidRDefault="0000434F" w:rsidP="006B5899">
            <w:pPr>
              <w:jc w:val="center"/>
              <w:rPr>
                <w:rFonts w:ascii="Calibri" w:hAnsi="Calibri" w:cs="Arial"/>
                <w:b/>
                <w:sz w:val="20"/>
                <w:szCs w:val="20"/>
              </w:rPr>
            </w:pPr>
          </w:p>
        </w:tc>
        <w:tc>
          <w:tcPr>
            <w:tcW w:w="1246" w:type="dxa"/>
            <w:vAlign w:val="bottom"/>
          </w:tcPr>
          <w:p w:rsidR="00350536" w:rsidRDefault="0000434F" w:rsidP="00350536">
            <w:pPr>
              <w:jc w:val="center"/>
              <w:rPr>
                <w:rFonts w:ascii="Calibri" w:hAnsi="Calibri" w:cs="Arial"/>
                <w:b/>
                <w:sz w:val="20"/>
                <w:szCs w:val="20"/>
              </w:rPr>
            </w:pPr>
            <w:r w:rsidRPr="00A21238">
              <w:rPr>
                <w:rFonts w:ascii="Calibri" w:hAnsi="Calibri" w:cs="Arial"/>
                <w:b/>
                <w:sz w:val="20"/>
                <w:szCs w:val="20"/>
              </w:rPr>
              <w:t>TKI</w:t>
            </w:r>
          </w:p>
          <w:p w:rsidR="0000434F" w:rsidRPr="00A21238" w:rsidRDefault="0000434F" w:rsidP="00350536">
            <w:pPr>
              <w:jc w:val="center"/>
              <w:rPr>
                <w:rFonts w:ascii="Calibri" w:hAnsi="Calibri" w:cs="Arial"/>
                <w:b/>
                <w:sz w:val="20"/>
                <w:szCs w:val="20"/>
              </w:rPr>
            </w:pPr>
            <w:r w:rsidRPr="00A21238">
              <w:rPr>
                <w:rFonts w:ascii="Calibri" w:hAnsi="Calibri" w:cs="Arial"/>
                <w:b/>
                <w:sz w:val="20"/>
                <w:szCs w:val="20"/>
              </w:rPr>
              <w:t xml:space="preserve"> Therapy</w:t>
            </w:r>
          </w:p>
        </w:tc>
        <w:tc>
          <w:tcPr>
            <w:tcW w:w="1260" w:type="dxa"/>
          </w:tcPr>
          <w:p w:rsidR="0000434F" w:rsidRPr="00A21238" w:rsidRDefault="0000434F" w:rsidP="006B5899">
            <w:pPr>
              <w:jc w:val="center"/>
              <w:rPr>
                <w:rFonts w:ascii="Calibri" w:hAnsi="Calibri" w:cs="Arial"/>
                <w:b/>
                <w:sz w:val="20"/>
                <w:szCs w:val="20"/>
              </w:rPr>
            </w:pPr>
            <w:r w:rsidRPr="00A21238">
              <w:rPr>
                <w:rFonts w:ascii="Calibri" w:hAnsi="Calibri" w:cs="Arial"/>
                <w:b/>
                <w:sz w:val="20"/>
                <w:szCs w:val="20"/>
              </w:rPr>
              <w:t>Chemo-therapy</w:t>
            </w:r>
          </w:p>
        </w:tc>
        <w:tc>
          <w:tcPr>
            <w:tcW w:w="900" w:type="dxa"/>
            <w:vMerge/>
          </w:tcPr>
          <w:p w:rsidR="0000434F" w:rsidRPr="00A21238" w:rsidRDefault="0000434F" w:rsidP="006B5899">
            <w:pPr>
              <w:jc w:val="center"/>
              <w:rPr>
                <w:rFonts w:ascii="Calibri" w:hAnsi="Calibri" w:cs="Arial"/>
                <w:b/>
                <w:sz w:val="20"/>
                <w:szCs w:val="20"/>
              </w:rPr>
            </w:pPr>
          </w:p>
        </w:tc>
        <w:tc>
          <w:tcPr>
            <w:tcW w:w="1800" w:type="dxa"/>
            <w:vMerge/>
          </w:tcPr>
          <w:p w:rsidR="0000434F" w:rsidRPr="00A21238" w:rsidRDefault="0000434F" w:rsidP="006B5899">
            <w:pPr>
              <w:jc w:val="center"/>
              <w:rPr>
                <w:rFonts w:ascii="Calibri" w:hAnsi="Calibri" w:cs="Arial"/>
                <w:b/>
                <w:sz w:val="20"/>
                <w:szCs w:val="20"/>
              </w:rPr>
            </w:pPr>
          </w:p>
        </w:tc>
        <w:tc>
          <w:tcPr>
            <w:tcW w:w="1008" w:type="dxa"/>
            <w:vMerge/>
          </w:tcPr>
          <w:p w:rsidR="0000434F" w:rsidRPr="00A21238" w:rsidRDefault="0000434F" w:rsidP="006B5899">
            <w:pPr>
              <w:jc w:val="center"/>
              <w:rPr>
                <w:rFonts w:ascii="Calibri" w:hAnsi="Calibri" w:cs="Arial"/>
                <w:b/>
                <w:sz w:val="20"/>
                <w:szCs w:val="20"/>
              </w:rPr>
            </w:pPr>
          </w:p>
        </w:tc>
      </w:tr>
      <w:tr w:rsidR="005B1187" w:rsidRPr="00A21238" w:rsidTr="005E32CB">
        <w:trPr>
          <w:trHeight w:val="341"/>
        </w:trPr>
        <w:tc>
          <w:tcPr>
            <w:tcW w:w="3362" w:type="dxa"/>
          </w:tcPr>
          <w:p w:rsidR="0000434F" w:rsidRPr="00A21238" w:rsidRDefault="0000434F" w:rsidP="006B5899">
            <w:pPr>
              <w:rPr>
                <w:rFonts w:asciiTheme="minorHAnsi" w:hAnsiTheme="minorHAnsi" w:cstheme="minorHAnsi"/>
                <w:sz w:val="20"/>
                <w:szCs w:val="20"/>
              </w:rPr>
            </w:pPr>
            <w:r w:rsidRPr="00A21238">
              <w:rPr>
                <w:rFonts w:asciiTheme="minorHAnsi" w:hAnsiTheme="minorHAnsi" w:cstheme="minorHAnsi"/>
                <w:sz w:val="20"/>
                <w:szCs w:val="20"/>
              </w:rPr>
              <w:t>Response rate (%)</w:t>
            </w:r>
            <w:r w:rsidR="0002496E" w:rsidRPr="0002496E">
              <w:rPr>
                <w:rFonts w:asciiTheme="minorHAnsi" w:hAnsiTheme="minorHAnsi" w:cstheme="minorHAnsi"/>
                <w:noProof/>
                <w:sz w:val="20"/>
                <w:szCs w:val="20"/>
                <w:vertAlign w:val="superscript"/>
              </w:rPr>
              <w:t>21, 75, 77, 95-98</w:t>
            </w:r>
          </w:p>
          <w:p w:rsidR="0000434F" w:rsidRPr="00A21238" w:rsidRDefault="0000434F" w:rsidP="00FB3561">
            <w:pPr>
              <w:pStyle w:val="ListParagraph"/>
              <w:ind w:left="360"/>
              <w:contextualSpacing/>
              <w:rPr>
                <w:rFonts w:asciiTheme="minorHAnsi" w:hAnsiTheme="minorHAnsi" w:cstheme="minorHAnsi"/>
                <w:sz w:val="20"/>
                <w:szCs w:val="20"/>
              </w:rPr>
            </w:pPr>
            <w:r w:rsidRPr="00A21238">
              <w:rPr>
                <w:rFonts w:asciiTheme="minorHAnsi" w:hAnsiTheme="minorHAnsi" w:cstheme="minorHAnsi"/>
                <w:sz w:val="20"/>
                <w:szCs w:val="20"/>
              </w:rPr>
              <w:t xml:space="preserve">Advanced disease (Stage III and IV) </w:t>
            </w:r>
          </w:p>
        </w:tc>
        <w:tc>
          <w:tcPr>
            <w:tcW w:w="1246" w:type="dxa"/>
            <w:vAlign w:val="bottom"/>
          </w:tcPr>
          <w:p w:rsidR="0000434F" w:rsidRPr="00A21238" w:rsidRDefault="0000434F" w:rsidP="00525241">
            <w:pPr>
              <w:jc w:val="center"/>
              <w:rPr>
                <w:rFonts w:asciiTheme="minorHAnsi" w:hAnsiTheme="minorHAnsi" w:cstheme="minorHAnsi"/>
                <w:sz w:val="20"/>
                <w:szCs w:val="20"/>
              </w:rPr>
            </w:pPr>
          </w:p>
          <w:p w:rsidR="0000434F" w:rsidRPr="00A21238" w:rsidRDefault="00797149" w:rsidP="00525241">
            <w:pPr>
              <w:jc w:val="center"/>
              <w:rPr>
                <w:rFonts w:asciiTheme="minorHAnsi" w:hAnsiTheme="minorHAnsi" w:cstheme="minorHAnsi"/>
                <w:sz w:val="20"/>
                <w:szCs w:val="20"/>
              </w:rPr>
            </w:pPr>
            <w:r w:rsidRPr="00A21238">
              <w:rPr>
                <w:rFonts w:asciiTheme="minorHAnsi" w:hAnsiTheme="minorHAnsi" w:cstheme="minorHAnsi"/>
                <w:sz w:val="20"/>
                <w:szCs w:val="20"/>
              </w:rPr>
              <w:t>70%</w:t>
            </w:r>
          </w:p>
        </w:tc>
        <w:tc>
          <w:tcPr>
            <w:tcW w:w="1260" w:type="dxa"/>
            <w:vAlign w:val="bottom"/>
          </w:tcPr>
          <w:p w:rsidR="0000434F" w:rsidRPr="00A21238" w:rsidRDefault="0000434F" w:rsidP="00525241">
            <w:pPr>
              <w:jc w:val="center"/>
              <w:rPr>
                <w:rFonts w:asciiTheme="minorHAnsi" w:hAnsiTheme="minorHAnsi" w:cstheme="minorHAnsi"/>
                <w:sz w:val="20"/>
                <w:szCs w:val="20"/>
              </w:rPr>
            </w:pPr>
          </w:p>
          <w:p w:rsidR="0000434F" w:rsidRPr="00A21238" w:rsidRDefault="00797149" w:rsidP="00525241">
            <w:pPr>
              <w:jc w:val="center"/>
              <w:rPr>
                <w:rFonts w:asciiTheme="minorHAnsi" w:hAnsiTheme="minorHAnsi" w:cstheme="minorHAnsi"/>
                <w:sz w:val="20"/>
                <w:szCs w:val="20"/>
              </w:rPr>
            </w:pPr>
            <w:r w:rsidRPr="00A21238">
              <w:rPr>
                <w:rFonts w:asciiTheme="minorHAnsi" w:hAnsiTheme="minorHAnsi" w:cstheme="minorHAnsi"/>
                <w:sz w:val="20"/>
                <w:szCs w:val="20"/>
              </w:rPr>
              <w:t>33%</w:t>
            </w:r>
          </w:p>
        </w:tc>
        <w:tc>
          <w:tcPr>
            <w:tcW w:w="900" w:type="dxa"/>
            <w:vAlign w:val="bottom"/>
          </w:tcPr>
          <w:p w:rsidR="0000434F" w:rsidRPr="00A21238" w:rsidRDefault="0000434F" w:rsidP="00525241">
            <w:pPr>
              <w:jc w:val="center"/>
              <w:rPr>
                <w:rFonts w:asciiTheme="minorHAnsi" w:hAnsiTheme="minorHAnsi" w:cstheme="minorHAnsi"/>
                <w:sz w:val="20"/>
                <w:szCs w:val="20"/>
              </w:rPr>
            </w:pPr>
          </w:p>
          <w:p w:rsidR="0000434F" w:rsidRPr="00A21238" w:rsidRDefault="00797149" w:rsidP="00525241">
            <w:pPr>
              <w:jc w:val="center"/>
              <w:rPr>
                <w:rFonts w:asciiTheme="minorHAnsi" w:hAnsiTheme="minorHAnsi" w:cstheme="minorHAnsi"/>
                <w:sz w:val="20"/>
                <w:szCs w:val="20"/>
              </w:rPr>
            </w:pPr>
            <w:r w:rsidRPr="00A21238">
              <w:rPr>
                <w:rFonts w:asciiTheme="minorHAnsi" w:hAnsiTheme="minorHAnsi" w:cstheme="minorHAnsi"/>
                <w:sz w:val="20"/>
                <w:szCs w:val="20"/>
              </w:rPr>
              <w:t>7(1013)</w:t>
            </w:r>
          </w:p>
        </w:tc>
        <w:tc>
          <w:tcPr>
            <w:tcW w:w="1800" w:type="dxa"/>
            <w:vAlign w:val="bottom"/>
          </w:tcPr>
          <w:p w:rsidR="0000434F" w:rsidRPr="00A21238" w:rsidRDefault="0000434F" w:rsidP="00525241">
            <w:pPr>
              <w:jc w:val="center"/>
              <w:rPr>
                <w:rFonts w:asciiTheme="minorHAnsi" w:hAnsiTheme="minorHAnsi" w:cstheme="minorHAnsi"/>
                <w:sz w:val="20"/>
                <w:szCs w:val="20"/>
              </w:rPr>
            </w:pPr>
          </w:p>
          <w:p w:rsidR="0000434F" w:rsidRPr="00A21238" w:rsidRDefault="00FB3561" w:rsidP="00525241">
            <w:pPr>
              <w:jc w:val="center"/>
              <w:rPr>
                <w:rFonts w:asciiTheme="minorHAnsi" w:hAnsiTheme="minorHAnsi" w:cstheme="minorHAnsi"/>
                <w:sz w:val="20"/>
                <w:szCs w:val="20"/>
              </w:rPr>
            </w:pPr>
            <w:r w:rsidRPr="00A21238">
              <w:rPr>
                <w:rFonts w:asciiTheme="minorHAnsi" w:hAnsiTheme="minorHAnsi" w:cstheme="minorHAnsi"/>
                <w:sz w:val="20"/>
                <w:szCs w:val="20"/>
              </w:rPr>
              <w:t>2.17[1.69,2.78]</w:t>
            </w:r>
          </w:p>
        </w:tc>
        <w:tc>
          <w:tcPr>
            <w:tcW w:w="1008" w:type="dxa"/>
            <w:vAlign w:val="bottom"/>
          </w:tcPr>
          <w:p w:rsidR="0000434F" w:rsidRPr="00A21238" w:rsidRDefault="00244495" w:rsidP="00525241">
            <w:pPr>
              <w:jc w:val="center"/>
              <w:rPr>
                <w:rFonts w:asciiTheme="minorHAnsi" w:hAnsiTheme="minorHAnsi" w:cstheme="minorHAnsi"/>
                <w:sz w:val="20"/>
                <w:szCs w:val="20"/>
              </w:rPr>
            </w:pPr>
            <w:r w:rsidRPr="00A21238">
              <w:rPr>
                <w:rFonts w:asciiTheme="minorHAnsi" w:hAnsiTheme="minorHAnsi" w:cstheme="minorHAnsi"/>
                <w:b/>
                <w:bCs/>
                <w:i/>
                <w:sz w:val="20"/>
                <w:szCs w:val="20"/>
              </w:rPr>
              <w:t>P</w:t>
            </w:r>
            <w:r w:rsidRPr="00A21238">
              <w:rPr>
                <w:rFonts w:asciiTheme="minorHAnsi" w:hAnsiTheme="minorHAnsi" w:cstheme="minorHAnsi"/>
                <w:b/>
                <w:bCs/>
                <w:sz w:val="20"/>
                <w:szCs w:val="20"/>
              </w:rPr>
              <w:t>&lt;.001</w:t>
            </w:r>
          </w:p>
        </w:tc>
      </w:tr>
      <w:tr w:rsidR="005B1187" w:rsidRPr="00A21238" w:rsidTr="005E32CB">
        <w:tc>
          <w:tcPr>
            <w:tcW w:w="3362" w:type="dxa"/>
          </w:tcPr>
          <w:p w:rsidR="0000434F" w:rsidRPr="00A21238" w:rsidRDefault="0000434F" w:rsidP="006B5899">
            <w:pPr>
              <w:rPr>
                <w:rFonts w:asciiTheme="minorHAnsi" w:hAnsiTheme="minorHAnsi" w:cstheme="minorHAnsi"/>
                <w:sz w:val="20"/>
                <w:szCs w:val="20"/>
              </w:rPr>
            </w:pPr>
            <w:r w:rsidRPr="00A21238">
              <w:rPr>
                <w:rFonts w:asciiTheme="minorHAnsi" w:hAnsiTheme="minorHAnsi" w:cstheme="minorHAnsi"/>
                <w:sz w:val="20"/>
                <w:szCs w:val="20"/>
              </w:rPr>
              <w:t>Disease control rate (%)</w:t>
            </w:r>
            <w:r w:rsidR="0002496E" w:rsidRPr="0002496E">
              <w:rPr>
                <w:rFonts w:asciiTheme="minorHAnsi" w:hAnsiTheme="minorHAnsi" w:cstheme="minorHAnsi"/>
                <w:noProof/>
                <w:sz w:val="20"/>
                <w:szCs w:val="20"/>
                <w:vertAlign w:val="superscript"/>
              </w:rPr>
              <w:t>21, 96-98</w:t>
            </w:r>
          </w:p>
          <w:p w:rsidR="0000434F" w:rsidRPr="00A21238" w:rsidRDefault="0000434F" w:rsidP="00FB3561">
            <w:pPr>
              <w:pStyle w:val="ListParagraph"/>
              <w:ind w:left="360"/>
              <w:contextualSpacing/>
              <w:rPr>
                <w:rFonts w:asciiTheme="minorHAnsi" w:hAnsiTheme="minorHAnsi" w:cstheme="minorHAnsi"/>
                <w:sz w:val="20"/>
                <w:szCs w:val="20"/>
              </w:rPr>
            </w:pPr>
            <w:r w:rsidRPr="00A21238">
              <w:rPr>
                <w:rFonts w:asciiTheme="minorHAnsi" w:hAnsiTheme="minorHAnsi" w:cstheme="minorHAnsi"/>
                <w:sz w:val="20"/>
                <w:szCs w:val="20"/>
              </w:rPr>
              <w:t>Advanced disease (Stage III and IV)</w:t>
            </w:r>
          </w:p>
        </w:tc>
        <w:tc>
          <w:tcPr>
            <w:tcW w:w="1246" w:type="dxa"/>
            <w:vAlign w:val="bottom"/>
          </w:tcPr>
          <w:p w:rsidR="0000434F" w:rsidRPr="00A21238" w:rsidRDefault="0000434F" w:rsidP="00525241">
            <w:pPr>
              <w:jc w:val="center"/>
              <w:rPr>
                <w:rFonts w:asciiTheme="minorHAnsi" w:hAnsiTheme="minorHAnsi" w:cstheme="minorHAnsi"/>
                <w:sz w:val="20"/>
                <w:szCs w:val="20"/>
              </w:rPr>
            </w:pPr>
          </w:p>
          <w:p w:rsidR="0000434F" w:rsidRPr="00A21238" w:rsidRDefault="00797149" w:rsidP="00525241">
            <w:pPr>
              <w:jc w:val="center"/>
              <w:rPr>
                <w:rFonts w:asciiTheme="minorHAnsi" w:hAnsiTheme="minorHAnsi" w:cstheme="minorHAnsi"/>
                <w:sz w:val="20"/>
                <w:szCs w:val="20"/>
              </w:rPr>
            </w:pPr>
            <w:r w:rsidRPr="00A21238">
              <w:rPr>
                <w:rFonts w:asciiTheme="minorHAnsi" w:hAnsiTheme="minorHAnsi" w:cstheme="minorHAnsi"/>
                <w:sz w:val="20"/>
                <w:szCs w:val="20"/>
              </w:rPr>
              <w:t>90%</w:t>
            </w:r>
          </w:p>
        </w:tc>
        <w:tc>
          <w:tcPr>
            <w:tcW w:w="1260" w:type="dxa"/>
            <w:vAlign w:val="bottom"/>
          </w:tcPr>
          <w:p w:rsidR="00FB3561" w:rsidRPr="00A21238" w:rsidRDefault="00FB3561" w:rsidP="00525241">
            <w:pPr>
              <w:jc w:val="center"/>
              <w:rPr>
                <w:rFonts w:asciiTheme="minorHAnsi" w:hAnsiTheme="minorHAnsi" w:cstheme="minorHAnsi"/>
                <w:sz w:val="20"/>
                <w:szCs w:val="20"/>
              </w:rPr>
            </w:pPr>
          </w:p>
          <w:p w:rsidR="0000434F" w:rsidRPr="00A21238" w:rsidRDefault="00797149" w:rsidP="00525241">
            <w:pPr>
              <w:jc w:val="center"/>
              <w:rPr>
                <w:rFonts w:asciiTheme="minorHAnsi" w:hAnsiTheme="minorHAnsi" w:cstheme="minorHAnsi"/>
                <w:sz w:val="20"/>
                <w:szCs w:val="20"/>
              </w:rPr>
            </w:pPr>
            <w:r w:rsidRPr="00A21238">
              <w:rPr>
                <w:rFonts w:asciiTheme="minorHAnsi" w:hAnsiTheme="minorHAnsi" w:cstheme="minorHAnsi"/>
                <w:sz w:val="20"/>
                <w:szCs w:val="20"/>
              </w:rPr>
              <w:t>79%</w:t>
            </w:r>
          </w:p>
        </w:tc>
        <w:tc>
          <w:tcPr>
            <w:tcW w:w="900" w:type="dxa"/>
            <w:vAlign w:val="bottom"/>
          </w:tcPr>
          <w:p w:rsidR="0000434F" w:rsidRPr="00A21238" w:rsidRDefault="0000434F" w:rsidP="00525241">
            <w:pPr>
              <w:jc w:val="center"/>
              <w:rPr>
                <w:rFonts w:asciiTheme="minorHAnsi" w:hAnsiTheme="minorHAnsi" w:cstheme="minorHAnsi"/>
                <w:sz w:val="20"/>
                <w:szCs w:val="20"/>
              </w:rPr>
            </w:pPr>
          </w:p>
          <w:p w:rsidR="0000434F" w:rsidRPr="00A21238" w:rsidRDefault="00797149" w:rsidP="00525241">
            <w:pPr>
              <w:jc w:val="center"/>
              <w:rPr>
                <w:rFonts w:asciiTheme="minorHAnsi" w:hAnsiTheme="minorHAnsi" w:cstheme="minorHAnsi"/>
                <w:sz w:val="20"/>
                <w:szCs w:val="20"/>
              </w:rPr>
            </w:pPr>
            <w:r w:rsidRPr="00A21238">
              <w:rPr>
                <w:rFonts w:asciiTheme="minorHAnsi" w:hAnsiTheme="minorHAnsi" w:cstheme="minorHAnsi"/>
                <w:sz w:val="20"/>
                <w:szCs w:val="20"/>
              </w:rPr>
              <w:t>4(705)</w:t>
            </w:r>
          </w:p>
        </w:tc>
        <w:tc>
          <w:tcPr>
            <w:tcW w:w="1800" w:type="dxa"/>
            <w:vAlign w:val="bottom"/>
          </w:tcPr>
          <w:p w:rsidR="0000434F" w:rsidRPr="00A21238" w:rsidRDefault="0000434F" w:rsidP="00525241">
            <w:pPr>
              <w:jc w:val="center"/>
              <w:rPr>
                <w:rFonts w:asciiTheme="minorHAnsi" w:hAnsiTheme="minorHAnsi" w:cstheme="minorHAnsi"/>
                <w:sz w:val="20"/>
                <w:szCs w:val="20"/>
              </w:rPr>
            </w:pPr>
          </w:p>
          <w:p w:rsidR="0000434F" w:rsidRPr="00A21238" w:rsidRDefault="00FB3561" w:rsidP="00525241">
            <w:pPr>
              <w:jc w:val="center"/>
              <w:rPr>
                <w:rFonts w:asciiTheme="minorHAnsi" w:hAnsiTheme="minorHAnsi" w:cstheme="minorHAnsi"/>
                <w:sz w:val="20"/>
                <w:szCs w:val="20"/>
              </w:rPr>
            </w:pPr>
            <w:r w:rsidRPr="00A21238">
              <w:rPr>
                <w:rFonts w:asciiTheme="minorHAnsi" w:hAnsiTheme="minorHAnsi" w:cstheme="minorHAnsi"/>
                <w:sz w:val="20"/>
                <w:szCs w:val="20"/>
              </w:rPr>
              <w:t>1.13[1.04,1.22]</w:t>
            </w:r>
          </w:p>
        </w:tc>
        <w:tc>
          <w:tcPr>
            <w:tcW w:w="1008" w:type="dxa"/>
            <w:vAlign w:val="bottom"/>
          </w:tcPr>
          <w:p w:rsidR="0000434F" w:rsidRPr="00A21238" w:rsidRDefault="0000434F" w:rsidP="00525241">
            <w:pPr>
              <w:jc w:val="center"/>
              <w:rPr>
                <w:rFonts w:asciiTheme="minorHAnsi" w:hAnsiTheme="minorHAnsi" w:cstheme="minorHAnsi"/>
                <w:sz w:val="20"/>
                <w:szCs w:val="20"/>
              </w:rPr>
            </w:pPr>
          </w:p>
          <w:p w:rsidR="0000434F" w:rsidRPr="00A21238" w:rsidRDefault="00244495" w:rsidP="00525241">
            <w:pPr>
              <w:jc w:val="center"/>
              <w:rPr>
                <w:rFonts w:asciiTheme="minorHAnsi" w:hAnsiTheme="minorHAnsi" w:cstheme="minorHAnsi"/>
                <w:sz w:val="20"/>
                <w:szCs w:val="20"/>
              </w:rPr>
            </w:pPr>
            <w:r w:rsidRPr="00A21238">
              <w:rPr>
                <w:rFonts w:asciiTheme="minorHAnsi" w:hAnsiTheme="minorHAnsi" w:cstheme="minorHAnsi"/>
                <w:i/>
                <w:sz w:val="20"/>
                <w:szCs w:val="20"/>
              </w:rPr>
              <w:t>P</w:t>
            </w:r>
            <w:r w:rsidR="00FB3561" w:rsidRPr="00A21238">
              <w:rPr>
                <w:rFonts w:asciiTheme="minorHAnsi" w:hAnsiTheme="minorHAnsi" w:cstheme="minorHAnsi"/>
                <w:sz w:val="20"/>
                <w:szCs w:val="20"/>
              </w:rPr>
              <w:t>=.002</w:t>
            </w:r>
          </w:p>
        </w:tc>
      </w:tr>
      <w:tr w:rsidR="005B1187" w:rsidRPr="00A21238" w:rsidTr="005E32CB">
        <w:tc>
          <w:tcPr>
            <w:tcW w:w="3362" w:type="dxa"/>
          </w:tcPr>
          <w:p w:rsidR="0000434F" w:rsidRPr="00A21238" w:rsidRDefault="00FB3561" w:rsidP="006B5899">
            <w:pPr>
              <w:rPr>
                <w:rFonts w:asciiTheme="minorHAnsi" w:hAnsiTheme="minorHAnsi" w:cstheme="minorHAnsi"/>
                <w:sz w:val="20"/>
                <w:szCs w:val="20"/>
              </w:rPr>
            </w:pPr>
            <w:r w:rsidRPr="00A21238">
              <w:rPr>
                <w:rFonts w:asciiTheme="minorHAnsi" w:hAnsiTheme="minorHAnsi" w:cstheme="minorHAnsi"/>
                <w:sz w:val="20"/>
                <w:szCs w:val="20"/>
              </w:rPr>
              <w:t>Time to Progression/Progression Free Survival</w:t>
            </w:r>
            <w:r w:rsidR="006C1708" w:rsidRPr="00A21238">
              <w:rPr>
                <w:rFonts w:asciiTheme="minorHAnsi" w:hAnsiTheme="minorHAnsi" w:cstheme="minorHAnsi"/>
                <w:sz w:val="20"/>
                <w:szCs w:val="20"/>
              </w:rPr>
              <w:t xml:space="preserve"> </w:t>
            </w:r>
            <w:r w:rsidR="0000434F" w:rsidRPr="00A21238">
              <w:rPr>
                <w:rFonts w:asciiTheme="minorHAnsi" w:hAnsiTheme="minorHAnsi" w:cstheme="minorHAnsi"/>
                <w:sz w:val="20"/>
                <w:szCs w:val="20"/>
              </w:rPr>
              <w:t>(%)</w:t>
            </w:r>
          </w:p>
          <w:p w:rsidR="0000434F" w:rsidRPr="00A21238" w:rsidRDefault="0000434F" w:rsidP="006B5899">
            <w:pPr>
              <w:pStyle w:val="ListParagraph"/>
              <w:ind w:left="360"/>
              <w:contextualSpacing/>
              <w:rPr>
                <w:rFonts w:asciiTheme="minorHAnsi" w:hAnsiTheme="minorHAnsi" w:cstheme="minorHAnsi"/>
                <w:sz w:val="20"/>
                <w:szCs w:val="20"/>
              </w:rPr>
            </w:pPr>
            <w:r w:rsidRPr="00A21238">
              <w:rPr>
                <w:rFonts w:asciiTheme="minorHAnsi" w:hAnsiTheme="minorHAnsi" w:cstheme="minorHAnsi"/>
                <w:sz w:val="20"/>
                <w:szCs w:val="20"/>
              </w:rPr>
              <w:t>Advanced disease (Stage III and IV)</w:t>
            </w:r>
          </w:p>
          <w:p w:rsidR="0000434F" w:rsidRPr="00A21238" w:rsidRDefault="0000434F" w:rsidP="0000434F">
            <w:pPr>
              <w:pStyle w:val="ListParagraph"/>
              <w:numPr>
                <w:ilvl w:val="1"/>
                <w:numId w:val="8"/>
              </w:numPr>
              <w:contextualSpacing/>
              <w:rPr>
                <w:rFonts w:asciiTheme="minorHAnsi" w:hAnsiTheme="minorHAnsi" w:cstheme="minorHAnsi"/>
                <w:sz w:val="20"/>
                <w:szCs w:val="20"/>
              </w:rPr>
            </w:pPr>
            <w:r w:rsidRPr="00A21238">
              <w:rPr>
                <w:rFonts w:asciiTheme="minorHAnsi" w:hAnsiTheme="minorHAnsi" w:cstheme="minorHAnsi"/>
                <w:sz w:val="20"/>
                <w:szCs w:val="20"/>
              </w:rPr>
              <w:t>1 year</w:t>
            </w:r>
            <w:r w:rsidR="0002496E" w:rsidRPr="0002496E">
              <w:rPr>
                <w:rFonts w:asciiTheme="minorHAnsi" w:hAnsiTheme="minorHAnsi" w:cstheme="minorHAnsi"/>
                <w:noProof/>
                <w:sz w:val="20"/>
                <w:szCs w:val="20"/>
                <w:vertAlign w:val="superscript"/>
              </w:rPr>
              <w:t>21, 96, 97</w:t>
            </w:r>
            <w:r w:rsidRPr="00A21238">
              <w:rPr>
                <w:rFonts w:asciiTheme="minorHAnsi" w:hAnsiTheme="minorHAnsi" w:cstheme="minorHAnsi"/>
                <w:sz w:val="20"/>
                <w:szCs w:val="20"/>
              </w:rPr>
              <w:t xml:space="preserve"> </w:t>
            </w:r>
          </w:p>
          <w:p w:rsidR="0000434F" w:rsidRPr="00A21238" w:rsidRDefault="0000434F" w:rsidP="0002496E">
            <w:pPr>
              <w:pStyle w:val="ListParagraph"/>
              <w:numPr>
                <w:ilvl w:val="1"/>
                <w:numId w:val="8"/>
              </w:numPr>
              <w:contextualSpacing/>
              <w:rPr>
                <w:rFonts w:asciiTheme="minorHAnsi" w:hAnsiTheme="minorHAnsi" w:cstheme="minorHAnsi"/>
                <w:sz w:val="20"/>
                <w:szCs w:val="20"/>
              </w:rPr>
            </w:pPr>
            <w:r w:rsidRPr="00A21238">
              <w:rPr>
                <w:rFonts w:asciiTheme="minorHAnsi" w:hAnsiTheme="minorHAnsi" w:cstheme="minorHAnsi"/>
                <w:sz w:val="20"/>
                <w:szCs w:val="20"/>
              </w:rPr>
              <w:t>2 years</w:t>
            </w:r>
            <w:r w:rsidR="0002496E" w:rsidRPr="0002496E">
              <w:rPr>
                <w:rFonts w:asciiTheme="minorHAnsi" w:hAnsiTheme="minorHAnsi" w:cstheme="minorHAnsi"/>
                <w:noProof/>
                <w:sz w:val="20"/>
                <w:szCs w:val="20"/>
                <w:vertAlign w:val="superscript"/>
              </w:rPr>
              <w:t>96, 97</w:t>
            </w:r>
            <w:r w:rsidRPr="00A21238">
              <w:rPr>
                <w:rFonts w:asciiTheme="minorHAnsi" w:hAnsiTheme="minorHAnsi" w:cstheme="minorHAnsi"/>
                <w:sz w:val="20"/>
                <w:szCs w:val="20"/>
              </w:rPr>
              <w:t xml:space="preserve"> </w:t>
            </w:r>
          </w:p>
        </w:tc>
        <w:tc>
          <w:tcPr>
            <w:tcW w:w="1246" w:type="dxa"/>
            <w:vAlign w:val="bottom"/>
          </w:tcPr>
          <w:p w:rsidR="0000434F" w:rsidRPr="00A21238" w:rsidRDefault="0000434F" w:rsidP="00525241">
            <w:pPr>
              <w:jc w:val="center"/>
              <w:rPr>
                <w:rFonts w:asciiTheme="minorHAnsi" w:hAnsiTheme="minorHAnsi" w:cstheme="minorHAnsi"/>
                <w:sz w:val="20"/>
                <w:szCs w:val="20"/>
              </w:rPr>
            </w:pPr>
          </w:p>
          <w:p w:rsidR="0000434F" w:rsidRPr="00A21238" w:rsidRDefault="0000434F" w:rsidP="00525241">
            <w:pPr>
              <w:jc w:val="center"/>
              <w:rPr>
                <w:rFonts w:asciiTheme="minorHAnsi" w:hAnsiTheme="minorHAnsi" w:cstheme="minorHAnsi"/>
                <w:sz w:val="20"/>
                <w:szCs w:val="20"/>
              </w:rPr>
            </w:pPr>
          </w:p>
          <w:p w:rsidR="0000434F" w:rsidRPr="00A21238" w:rsidRDefault="0000434F" w:rsidP="00525241">
            <w:pPr>
              <w:jc w:val="center"/>
              <w:rPr>
                <w:rFonts w:asciiTheme="minorHAnsi" w:hAnsiTheme="minorHAnsi" w:cstheme="minorHAnsi"/>
                <w:sz w:val="20"/>
                <w:szCs w:val="20"/>
              </w:rPr>
            </w:pPr>
          </w:p>
          <w:p w:rsidR="0000434F" w:rsidRPr="00A21238" w:rsidRDefault="00FB3561" w:rsidP="00525241">
            <w:pPr>
              <w:jc w:val="center"/>
              <w:rPr>
                <w:rFonts w:asciiTheme="minorHAnsi" w:hAnsiTheme="minorHAnsi" w:cstheme="minorHAnsi"/>
                <w:sz w:val="20"/>
                <w:szCs w:val="20"/>
              </w:rPr>
            </w:pPr>
            <w:r w:rsidRPr="00A21238">
              <w:rPr>
                <w:rFonts w:asciiTheme="minorHAnsi" w:hAnsiTheme="minorHAnsi" w:cstheme="minorHAnsi"/>
                <w:sz w:val="20"/>
                <w:szCs w:val="20"/>
              </w:rPr>
              <w:t>30%</w:t>
            </w:r>
          </w:p>
          <w:p w:rsidR="00FB3561" w:rsidRPr="00A21238" w:rsidRDefault="00FB3561" w:rsidP="00525241">
            <w:pPr>
              <w:jc w:val="center"/>
              <w:rPr>
                <w:rFonts w:asciiTheme="minorHAnsi" w:hAnsiTheme="minorHAnsi" w:cstheme="minorHAnsi"/>
                <w:sz w:val="20"/>
                <w:szCs w:val="20"/>
              </w:rPr>
            </w:pPr>
            <w:r w:rsidRPr="00A21238">
              <w:rPr>
                <w:rFonts w:asciiTheme="minorHAnsi" w:hAnsiTheme="minorHAnsi" w:cstheme="minorHAnsi"/>
                <w:sz w:val="20"/>
                <w:szCs w:val="20"/>
              </w:rPr>
              <w:t>7%</w:t>
            </w:r>
          </w:p>
        </w:tc>
        <w:tc>
          <w:tcPr>
            <w:tcW w:w="1260" w:type="dxa"/>
            <w:vAlign w:val="bottom"/>
          </w:tcPr>
          <w:p w:rsidR="0000434F" w:rsidRPr="00A21238" w:rsidRDefault="0000434F" w:rsidP="00525241">
            <w:pPr>
              <w:jc w:val="center"/>
              <w:rPr>
                <w:rFonts w:asciiTheme="minorHAnsi" w:hAnsiTheme="minorHAnsi" w:cstheme="minorHAnsi"/>
                <w:sz w:val="20"/>
                <w:szCs w:val="20"/>
              </w:rPr>
            </w:pPr>
          </w:p>
          <w:p w:rsidR="0000434F" w:rsidRPr="00A21238" w:rsidRDefault="0000434F" w:rsidP="00525241">
            <w:pPr>
              <w:jc w:val="center"/>
              <w:rPr>
                <w:rFonts w:asciiTheme="minorHAnsi" w:hAnsiTheme="minorHAnsi" w:cstheme="minorHAnsi"/>
                <w:sz w:val="20"/>
                <w:szCs w:val="20"/>
              </w:rPr>
            </w:pPr>
          </w:p>
          <w:p w:rsidR="0000434F" w:rsidRPr="00A21238" w:rsidRDefault="0000434F" w:rsidP="00525241">
            <w:pPr>
              <w:jc w:val="center"/>
              <w:rPr>
                <w:rFonts w:asciiTheme="minorHAnsi" w:hAnsiTheme="minorHAnsi" w:cstheme="minorHAnsi"/>
                <w:sz w:val="20"/>
                <w:szCs w:val="20"/>
              </w:rPr>
            </w:pPr>
          </w:p>
          <w:p w:rsidR="0000434F" w:rsidRPr="00A21238" w:rsidRDefault="00FB3561" w:rsidP="00525241">
            <w:pPr>
              <w:jc w:val="center"/>
              <w:rPr>
                <w:rFonts w:asciiTheme="minorHAnsi" w:hAnsiTheme="minorHAnsi" w:cstheme="minorHAnsi"/>
                <w:sz w:val="20"/>
                <w:szCs w:val="20"/>
              </w:rPr>
            </w:pPr>
            <w:r w:rsidRPr="00A21238">
              <w:rPr>
                <w:rFonts w:asciiTheme="minorHAnsi" w:hAnsiTheme="minorHAnsi" w:cstheme="minorHAnsi"/>
                <w:sz w:val="20"/>
                <w:szCs w:val="20"/>
              </w:rPr>
              <w:t>5%</w:t>
            </w:r>
          </w:p>
          <w:p w:rsidR="00FB3561" w:rsidRPr="00A21238" w:rsidRDefault="00FB3561" w:rsidP="00525241">
            <w:pPr>
              <w:jc w:val="center"/>
              <w:rPr>
                <w:rFonts w:asciiTheme="minorHAnsi" w:hAnsiTheme="minorHAnsi" w:cstheme="minorHAnsi"/>
                <w:sz w:val="20"/>
                <w:szCs w:val="20"/>
              </w:rPr>
            </w:pPr>
            <w:r w:rsidRPr="00A21238">
              <w:rPr>
                <w:rFonts w:asciiTheme="minorHAnsi" w:hAnsiTheme="minorHAnsi" w:cstheme="minorHAnsi"/>
                <w:sz w:val="20"/>
                <w:szCs w:val="20"/>
              </w:rPr>
              <w:t>0%</w:t>
            </w:r>
          </w:p>
        </w:tc>
        <w:tc>
          <w:tcPr>
            <w:tcW w:w="900" w:type="dxa"/>
            <w:vAlign w:val="bottom"/>
          </w:tcPr>
          <w:p w:rsidR="0000434F" w:rsidRPr="00A21238" w:rsidRDefault="0000434F" w:rsidP="00525241">
            <w:pPr>
              <w:jc w:val="center"/>
              <w:rPr>
                <w:rFonts w:asciiTheme="minorHAnsi" w:hAnsiTheme="minorHAnsi" w:cstheme="minorHAnsi"/>
                <w:sz w:val="20"/>
                <w:szCs w:val="20"/>
              </w:rPr>
            </w:pPr>
          </w:p>
          <w:p w:rsidR="0000434F" w:rsidRPr="00A21238" w:rsidRDefault="0000434F" w:rsidP="00525241">
            <w:pPr>
              <w:jc w:val="center"/>
              <w:rPr>
                <w:rFonts w:asciiTheme="minorHAnsi" w:hAnsiTheme="minorHAnsi" w:cstheme="minorHAnsi"/>
                <w:sz w:val="20"/>
                <w:szCs w:val="20"/>
              </w:rPr>
            </w:pPr>
          </w:p>
          <w:p w:rsidR="0000434F" w:rsidRPr="00A21238" w:rsidRDefault="0000434F" w:rsidP="00525241">
            <w:pPr>
              <w:jc w:val="center"/>
              <w:rPr>
                <w:rFonts w:asciiTheme="minorHAnsi" w:hAnsiTheme="minorHAnsi" w:cstheme="minorHAnsi"/>
                <w:sz w:val="20"/>
                <w:szCs w:val="20"/>
              </w:rPr>
            </w:pPr>
          </w:p>
          <w:p w:rsidR="0000434F" w:rsidRPr="00A21238" w:rsidRDefault="00FB3561" w:rsidP="00525241">
            <w:pPr>
              <w:jc w:val="center"/>
              <w:rPr>
                <w:rFonts w:asciiTheme="minorHAnsi" w:hAnsiTheme="minorHAnsi" w:cstheme="minorHAnsi"/>
                <w:sz w:val="20"/>
                <w:szCs w:val="20"/>
              </w:rPr>
            </w:pPr>
            <w:r w:rsidRPr="00A21238">
              <w:rPr>
                <w:rFonts w:asciiTheme="minorHAnsi" w:hAnsiTheme="minorHAnsi" w:cstheme="minorHAnsi"/>
                <w:sz w:val="20"/>
                <w:szCs w:val="20"/>
              </w:rPr>
              <w:t>3(658)</w:t>
            </w:r>
          </w:p>
          <w:p w:rsidR="00FB3561" w:rsidRPr="00A21238" w:rsidRDefault="00FB3561" w:rsidP="00525241">
            <w:pPr>
              <w:jc w:val="center"/>
              <w:rPr>
                <w:rFonts w:asciiTheme="minorHAnsi" w:hAnsiTheme="minorHAnsi" w:cstheme="minorHAnsi"/>
                <w:sz w:val="20"/>
                <w:szCs w:val="20"/>
              </w:rPr>
            </w:pPr>
            <w:r w:rsidRPr="00A21238">
              <w:rPr>
                <w:rFonts w:asciiTheme="minorHAnsi" w:hAnsiTheme="minorHAnsi" w:cstheme="minorHAnsi"/>
                <w:sz w:val="20"/>
                <w:szCs w:val="20"/>
              </w:rPr>
              <w:t>2(397)</w:t>
            </w:r>
          </w:p>
        </w:tc>
        <w:tc>
          <w:tcPr>
            <w:tcW w:w="1800" w:type="dxa"/>
            <w:vAlign w:val="bottom"/>
          </w:tcPr>
          <w:p w:rsidR="0000434F" w:rsidRPr="00A21238" w:rsidRDefault="0000434F" w:rsidP="00525241">
            <w:pPr>
              <w:jc w:val="center"/>
              <w:rPr>
                <w:rFonts w:asciiTheme="minorHAnsi" w:hAnsiTheme="minorHAnsi" w:cstheme="minorHAnsi"/>
                <w:sz w:val="20"/>
                <w:szCs w:val="20"/>
              </w:rPr>
            </w:pPr>
          </w:p>
          <w:p w:rsidR="0000434F" w:rsidRPr="00A21238" w:rsidRDefault="0000434F" w:rsidP="00525241">
            <w:pPr>
              <w:jc w:val="center"/>
              <w:rPr>
                <w:rFonts w:asciiTheme="minorHAnsi" w:hAnsiTheme="minorHAnsi" w:cstheme="minorHAnsi"/>
                <w:sz w:val="20"/>
                <w:szCs w:val="20"/>
              </w:rPr>
            </w:pPr>
          </w:p>
          <w:p w:rsidR="0000434F" w:rsidRPr="00A21238" w:rsidRDefault="0000434F" w:rsidP="00525241">
            <w:pPr>
              <w:jc w:val="center"/>
              <w:rPr>
                <w:rFonts w:asciiTheme="minorHAnsi" w:hAnsiTheme="minorHAnsi" w:cstheme="minorHAnsi"/>
                <w:sz w:val="20"/>
                <w:szCs w:val="20"/>
              </w:rPr>
            </w:pPr>
          </w:p>
          <w:p w:rsidR="0000434F" w:rsidRPr="00A21238" w:rsidRDefault="00FB3561" w:rsidP="00525241">
            <w:pPr>
              <w:jc w:val="center"/>
              <w:rPr>
                <w:rFonts w:asciiTheme="minorHAnsi" w:hAnsiTheme="minorHAnsi" w:cstheme="minorHAnsi"/>
                <w:sz w:val="20"/>
                <w:szCs w:val="20"/>
              </w:rPr>
            </w:pPr>
            <w:r w:rsidRPr="00A21238">
              <w:rPr>
                <w:rFonts w:asciiTheme="minorHAnsi" w:hAnsiTheme="minorHAnsi" w:cstheme="minorHAnsi"/>
                <w:sz w:val="20"/>
                <w:szCs w:val="20"/>
              </w:rPr>
              <w:t>5.72[3.06,10.72]</w:t>
            </w:r>
          </w:p>
          <w:p w:rsidR="00FB3561" w:rsidRPr="00A21238" w:rsidRDefault="00FB3561" w:rsidP="00525241">
            <w:pPr>
              <w:jc w:val="center"/>
              <w:rPr>
                <w:rFonts w:asciiTheme="minorHAnsi" w:hAnsiTheme="minorHAnsi" w:cstheme="minorHAnsi"/>
                <w:sz w:val="20"/>
                <w:szCs w:val="20"/>
              </w:rPr>
            </w:pPr>
            <w:r w:rsidRPr="00A21238">
              <w:rPr>
                <w:rFonts w:asciiTheme="minorHAnsi" w:hAnsiTheme="minorHAnsi" w:cstheme="minorHAnsi"/>
                <w:sz w:val="20"/>
                <w:szCs w:val="20"/>
              </w:rPr>
              <w:t>13.74[1.81,104.18]</w:t>
            </w:r>
          </w:p>
        </w:tc>
        <w:tc>
          <w:tcPr>
            <w:tcW w:w="1008" w:type="dxa"/>
            <w:vAlign w:val="bottom"/>
          </w:tcPr>
          <w:p w:rsidR="0000434F" w:rsidRPr="00A21238" w:rsidRDefault="0000434F" w:rsidP="00525241">
            <w:pPr>
              <w:jc w:val="center"/>
              <w:rPr>
                <w:rFonts w:asciiTheme="minorHAnsi" w:hAnsiTheme="minorHAnsi" w:cstheme="minorHAnsi"/>
                <w:sz w:val="20"/>
                <w:szCs w:val="20"/>
              </w:rPr>
            </w:pPr>
          </w:p>
          <w:p w:rsidR="0000434F" w:rsidRPr="00A21238" w:rsidRDefault="0000434F" w:rsidP="00525241">
            <w:pPr>
              <w:jc w:val="center"/>
              <w:rPr>
                <w:rFonts w:asciiTheme="minorHAnsi" w:hAnsiTheme="minorHAnsi" w:cstheme="minorHAnsi"/>
                <w:sz w:val="20"/>
                <w:szCs w:val="20"/>
              </w:rPr>
            </w:pPr>
          </w:p>
          <w:p w:rsidR="0000434F" w:rsidRPr="00A21238" w:rsidRDefault="0000434F" w:rsidP="00525241">
            <w:pPr>
              <w:jc w:val="center"/>
              <w:rPr>
                <w:rFonts w:asciiTheme="minorHAnsi" w:hAnsiTheme="minorHAnsi" w:cstheme="minorHAnsi"/>
                <w:sz w:val="20"/>
                <w:szCs w:val="20"/>
              </w:rPr>
            </w:pPr>
          </w:p>
          <w:p w:rsidR="00DF6A2E" w:rsidRDefault="00244495" w:rsidP="00525241">
            <w:pPr>
              <w:jc w:val="center"/>
              <w:rPr>
                <w:rFonts w:asciiTheme="minorHAnsi" w:hAnsiTheme="minorHAnsi" w:cstheme="minorHAnsi"/>
                <w:b/>
                <w:bCs/>
                <w:sz w:val="20"/>
                <w:szCs w:val="20"/>
              </w:rPr>
            </w:pPr>
            <w:r w:rsidRPr="00A21238">
              <w:rPr>
                <w:rFonts w:asciiTheme="minorHAnsi" w:hAnsiTheme="minorHAnsi" w:cstheme="minorHAnsi"/>
                <w:b/>
                <w:bCs/>
                <w:i/>
                <w:sz w:val="20"/>
                <w:szCs w:val="20"/>
              </w:rPr>
              <w:t>P</w:t>
            </w:r>
            <w:r w:rsidRPr="00A21238">
              <w:rPr>
                <w:rFonts w:asciiTheme="minorHAnsi" w:hAnsiTheme="minorHAnsi" w:cstheme="minorHAnsi"/>
                <w:b/>
                <w:bCs/>
                <w:sz w:val="20"/>
                <w:szCs w:val="20"/>
              </w:rPr>
              <w:t>&lt;.001</w:t>
            </w:r>
          </w:p>
          <w:p w:rsidR="0000434F" w:rsidRPr="00A21238" w:rsidRDefault="00244495" w:rsidP="00525241">
            <w:pPr>
              <w:jc w:val="center"/>
              <w:rPr>
                <w:rFonts w:asciiTheme="minorHAnsi" w:hAnsiTheme="minorHAnsi" w:cstheme="minorHAnsi"/>
                <w:sz w:val="20"/>
                <w:szCs w:val="20"/>
              </w:rPr>
            </w:pPr>
            <w:r w:rsidRPr="00A21238">
              <w:rPr>
                <w:rFonts w:asciiTheme="minorHAnsi" w:hAnsiTheme="minorHAnsi" w:cstheme="minorHAnsi"/>
                <w:i/>
                <w:sz w:val="20"/>
                <w:szCs w:val="20"/>
              </w:rPr>
              <w:t>P</w:t>
            </w:r>
            <w:r w:rsidR="00FB3561" w:rsidRPr="00A21238">
              <w:rPr>
                <w:rFonts w:asciiTheme="minorHAnsi" w:hAnsiTheme="minorHAnsi" w:cstheme="minorHAnsi"/>
                <w:sz w:val="20"/>
                <w:szCs w:val="20"/>
              </w:rPr>
              <w:t>=.01</w:t>
            </w:r>
          </w:p>
        </w:tc>
      </w:tr>
      <w:tr w:rsidR="005B1187" w:rsidRPr="00A21238" w:rsidTr="005E32CB">
        <w:tc>
          <w:tcPr>
            <w:tcW w:w="3362" w:type="dxa"/>
          </w:tcPr>
          <w:p w:rsidR="0000434F" w:rsidRPr="00A21238" w:rsidRDefault="00FB3561" w:rsidP="006B5899">
            <w:pPr>
              <w:rPr>
                <w:rFonts w:asciiTheme="minorHAnsi" w:hAnsiTheme="minorHAnsi" w:cstheme="minorHAnsi"/>
                <w:sz w:val="20"/>
                <w:szCs w:val="20"/>
              </w:rPr>
            </w:pPr>
            <w:r w:rsidRPr="00A21238">
              <w:rPr>
                <w:rFonts w:asciiTheme="minorHAnsi" w:hAnsiTheme="minorHAnsi" w:cstheme="minorHAnsi"/>
                <w:sz w:val="20"/>
                <w:szCs w:val="20"/>
              </w:rPr>
              <w:t xml:space="preserve">Overall </w:t>
            </w:r>
            <w:r w:rsidR="0000434F" w:rsidRPr="00A21238">
              <w:rPr>
                <w:rFonts w:asciiTheme="minorHAnsi" w:hAnsiTheme="minorHAnsi" w:cstheme="minorHAnsi"/>
                <w:sz w:val="20"/>
                <w:szCs w:val="20"/>
              </w:rPr>
              <w:t>Survival (%)</w:t>
            </w:r>
          </w:p>
          <w:p w:rsidR="0000434F" w:rsidRPr="00A21238" w:rsidRDefault="0000434F" w:rsidP="006B5899">
            <w:pPr>
              <w:pStyle w:val="ListParagraph"/>
              <w:ind w:left="360"/>
              <w:contextualSpacing/>
              <w:rPr>
                <w:rFonts w:asciiTheme="minorHAnsi" w:hAnsiTheme="minorHAnsi" w:cstheme="minorHAnsi"/>
                <w:sz w:val="20"/>
                <w:szCs w:val="20"/>
              </w:rPr>
            </w:pPr>
            <w:r w:rsidRPr="00A21238">
              <w:rPr>
                <w:rFonts w:asciiTheme="minorHAnsi" w:hAnsiTheme="minorHAnsi" w:cstheme="minorHAnsi"/>
                <w:sz w:val="20"/>
                <w:szCs w:val="20"/>
              </w:rPr>
              <w:t>Advanced disease (Stage III and IV)</w:t>
            </w:r>
          </w:p>
          <w:p w:rsidR="0000434F" w:rsidRPr="00A21238" w:rsidRDefault="0000434F" w:rsidP="0000434F">
            <w:pPr>
              <w:pStyle w:val="ListParagraph"/>
              <w:numPr>
                <w:ilvl w:val="1"/>
                <w:numId w:val="8"/>
              </w:numPr>
              <w:contextualSpacing/>
              <w:rPr>
                <w:rFonts w:asciiTheme="minorHAnsi" w:hAnsiTheme="minorHAnsi" w:cstheme="minorHAnsi"/>
                <w:sz w:val="20"/>
                <w:szCs w:val="20"/>
              </w:rPr>
            </w:pPr>
            <w:r w:rsidRPr="00A21238">
              <w:rPr>
                <w:rFonts w:asciiTheme="minorHAnsi" w:hAnsiTheme="minorHAnsi" w:cstheme="minorHAnsi"/>
                <w:sz w:val="20"/>
                <w:szCs w:val="20"/>
              </w:rPr>
              <w:t>1 year</w:t>
            </w:r>
            <w:r w:rsidR="0002496E" w:rsidRPr="0002496E">
              <w:rPr>
                <w:rFonts w:asciiTheme="minorHAnsi" w:hAnsiTheme="minorHAnsi" w:cstheme="minorHAnsi"/>
                <w:noProof/>
                <w:sz w:val="20"/>
                <w:szCs w:val="20"/>
                <w:vertAlign w:val="superscript"/>
              </w:rPr>
              <w:t>98</w:t>
            </w:r>
          </w:p>
          <w:p w:rsidR="0000434F" w:rsidRPr="00A21238" w:rsidRDefault="0000434F" w:rsidP="0002496E">
            <w:pPr>
              <w:pStyle w:val="ListParagraph"/>
              <w:numPr>
                <w:ilvl w:val="1"/>
                <w:numId w:val="8"/>
              </w:numPr>
              <w:contextualSpacing/>
              <w:rPr>
                <w:rFonts w:asciiTheme="minorHAnsi" w:hAnsiTheme="minorHAnsi" w:cstheme="minorHAnsi"/>
                <w:sz w:val="20"/>
                <w:szCs w:val="20"/>
              </w:rPr>
            </w:pPr>
            <w:r w:rsidRPr="00A21238">
              <w:rPr>
                <w:rFonts w:asciiTheme="minorHAnsi" w:hAnsiTheme="minorHAnsi" w:cstheme="minorHAnsi"/>
                <w:sz w:val="20"/>
                <w:szCs w:val="20"/>
              </w:rPr>
              <w:t>2 years</w:t>
            </w:r>
            <w:r w:rsidR="0002496E" w:rsidRPr="0002496E">
              <w:rPr>
                <w:rFonts w:asciiTheme="minorHAnsi" w:hAnsiTheme="minorHAnsi" w:cstheme="minorHAnsi"/>
                <w:noProof/>
                <w:sz w:val="20"/>
                <w:szCs w:val="20"/>
                <w:vertAlign w:val="superscript"/>
              </w:rPr>
              <w:t>93, 95, 97</w:t>
            </w:r>
          </w:p>
        </w:tc>
        <w:tc>
          <w:tcPr>
            <w:tcW w:w="1246" w:type="dxa"/>
            <w:vAlign w:val="bottom"/>
          </w:tcPr>
          <w:p w:rsidR="0000434F" w:rsidRPr="00A21238" w:rsidRDefault="0000434F" w:rsidP="00525241">
            <w:pPr>
              <w:jc w:val="center"/>
              <w:rPr>
                <w:rFonts w:asciiTheme="minorHAnsi" w:hAnsiTheme="minorHAnsi" w:cstheme="minorHAnsi"/>
                <w:sz w:val="20"/>
                <w:szCs w:val="20"/>
              </w:rPr>
            </w:pPr>
          </w:p>
          <w:p w:rsidR="0000434F" w:rsidRPr="00A21238" w:rsidRDefault="0000434F" w:rsidP="00525241">
            <w:pPr>
              <w:jc w:val="center"/>
              <w:rPr>
                <w:rFonts w:asciiTheme="minorHAnsi" w:hAnsiTheme="minorHAnsi" w:cstheme="minorHAnsi"/>
                <w:sz w:val="20"/>
                <w:szCs w:val="20"/>
              </w:rPr>
            </w:pPr>
          </w:p>
          <w:p w:rsidR="0000434F" w:rsidRPr="00A21238" w:rsidRDefault="00FB3561" w:rsidP="00525241">
            <w:pPr>
              <w:jc w:val="center"/>
              <w:rPr>
                <w:rFonts w:asciiTheme="minorHAnsi" w:hAnsiTheme="minorHAnsi" w:cstheme="minorHAnsi"/>
                <w:sz w:val="20"/>
                <w:szCs w:val="20"/>
              </w:rPr>
            </w:pPr>
            <w:r w:rsidRPr="00A21238">
              <w:rPr>
                <w:rFonts w:asciiTheme="minorHAnsi" w:hAnsiTheme="minorHAnsi" w:cstheme="minorHAnsi"/>
                <w:sz w:val="20"/>
                <w:szCs w:val="20"/>
              </w:rPr>
              <w:t>80%</w:t>
            </w:r>
          </w:p>
          <w:p w:rsidR="0000434F" w:rsidRPr="00A21238" w:rsidRDefault="00FB3561" w:rsidP="00525241">
            <w:pPr>
              <w:jc w:val="center"/>
              <w:rPr>
                <w:rFonts w:asciiTheme="minorHAnsi" w:hAnsiTheme="minorHAnsi" w:cstheme="minorHAnsi"/>
                <w:sz w:val="20"/>
                <w:szCs w:val="20"/>
              </w:rPr>
            </w:pPr>
            <w:r w:rsidRPr="00A21238">
              <w:rPr>
                <w:rFonts w:asciiTheme="minorHAnsi" w:hAnsiTheme="minorHAnsi" w:cstheme="minorHAnsi"/>
                <w:sz w:val="20"/>
                <w:szCs w:val="20"/>
              </w:rPr>
              <w:t>42%</w:t>
            </w:r>
          </w:p>
        </w:tc>
        <w:tc>
          <w:tcPr>
            <w:tcW w:w="1260" w:type="dxa"/>
            <w:vAlign w:val="bottom"/>
          </w:tcPr>
          <w:p w:rsidR="0000434F" w:rsidRPr="00A21238" w:rsidRDefault="0000434F" w:rsidP="00525241">
            <w:pPr>
              <w:jc w:val="center"/>
              <w:rPr>
                <w:rFonts w:asciiTheme="minorHAnsi" w:hAnsiTheme="minorHAnsi" w:cstheme="minorHAnsi"/>
                <w:sz w:val="20"/>
                <w:szCs w:val="20"/>
              </w:rPr>
            </w:pPr>
          </w:p>
          <w:p w:rsidR="0000434F" w:rsidRPr="00A21238" w:rsidRDefault="0000434F" w:rsidP="00525241">
            <w:pPr>
              <w:jc w:val="center"/>
              <w:rPr>
                <w:rFonts w:asciiTheme="minorHAnsi" w:hAnsiTheme="minorHAnsi" w:cstheme="minorHAnsi"/>
                <w:sz w:val="20"/>
                <w:szCs w:val="20"/>
              </w:rPr>
            </w:pPr>
          </w:p>
          <w:p w:rsidR="0000434F" w:rsidRPr="00A21238" w:rsidRDefault="00FB3561" w:rsidP="00525241">
            <w:pPr>
              <w:jc w:val="center"/>
              <w:rPr>
                <w:rFonts w:asciiTheme="minorHAnsi" w:hAnsiTheme="minorHAnsi" w:cstheme="minorHAnsi"/>
                <w:sz w:val="20"/>
                <w:szCs w:val="20"/>
              </w:rPr>
            </w:pPr>
            <w:r w:rsidRPr="00A21238">
              <w:rPr>
                <w:rFonts w:asciiTheme="minorHAnsi" w:hAnsiTheme="minorHAnsi" w:cstheme="minorHAnsi"/>
                <w:sz w:val="20"/>
                <w:szCs w:val="20"/>
              </w:rPr>
              <w:t>83%</w:t>
            </w:r>
          </w:p>
          <w:p w:rsidR="0000434F" w:rsidRPr="00A21238" w:rsidRDefault="00FB3561" w:rsidP="00525241">
            <w:pPr>
              <w:jc w:val="center"/>
              <w:rPr>
                <w:rFonts w:asciiTheme="minorHAnsi" w:hAnsiTheme="minorHAnsi" w:cstheme="minorHAnsi"/>
                <w:sz w:val="20"/>
                <w:szCs w:val="20"/>
              </w:rPr>
            </w:pPr>
            <w:r w:rsidRPr="00A21238">
              <w:rPr>
                <w:rFonts w:asciiTheme="minorHAnsi" w:hAnsiTheme="minorHAnsi" w:cstheme="minorHAnsi"/>
                <w:sz w:val="20"/>
                <w:szCs w:val="20"/>
              </w:rPr>
              <w:t>35%</w:t>
            </w:r>
          </w:p>
        </w:tc>
        <w:tc>
          <w:tcPr>
            <w:tcW w:w="900" w:type="dxa"/>
            <w:vAlign w:val="bottom"/>
          </w:tcPr>
          <w:p w:rsidR="0000434F" w:rsidRPr="00A21238" w:rsidRDefault="0000434F" w:rsidP="00525241">
            <w:pPr>
              <w:jc w:val="center"/>
              <w:rPr>
                <w:rFonts w:asciiTheme="minorHAnsi" w:hAnsiTheme="minorHAnsi" w:cstheme="minorHAnsi"/>
                <w:sz w:val="20"/>
                <w:szCs w:val="20"/>
              </w:rPr>
            </w:pPr>
          </w:p>
          <w:p w:rsidR="0000434F" w:rsidRPr="00A21238" w:rsidRDefault="0000434F" w:rsidP="00525241">
            <w:pPr>
              <w:jc w:val="center"/>
              <w:rPr>
                <w:rFonts w:asciiTheme="minorHAnsi" w:hAnsiTheme="minorHAnsi" w:cstheme="minorHAnsi"/>
                <w:sz w:val="20"/>
                <w:szCs w:val="20"/>
              </w:rPr>
            </w:pPr>
          </w:p>
          <w:p w:rsidR="0000434F" w:rsidRPr="00A21238" w:rsidRDefault="00FB3561" w:rsidP="00525241">
            <w:pPr>
              <w:jc w:val="center"/>
              <w:rPr>
                <w:rFonts w:asciiTheme="minorHAnsi" w:hAnsiTheme="minorHAnsi" w:cstheme="minorHAnsi"/>
                <w:sz w:val="20"/>
                <w:szCs w:val="20"/>
              </w:rPr>
            </w:pPr>
            <w:r w:rsidRPr="00A21238">
              <w:rPr>
                <w:rFonts w:asciiTheme="minorHAnsi" w:hAnsiTheme="minorHAnsi" w:cstheme="minorHAnsi"/>
                <w:sz w:val="20"/>
                <w:szCs w:val="20"/>
              </w:rPr>
              <w:t>1(154)</w:t>
            </w:r>
          </w:p>
          <w:p w:rsidR="0000434F" w:rsidRPr="00A21238" w:rsidRDefault="00FB3561" w:rsidP="00525241">
            <w:pPr>
              <w:jc w:val="center"/>
              <w:rPr>
                <w:rFonts w:asciiTheme="minorHAnsi" w:hAnsiTheme="minorHAnsi" w:cstheme="minorHAnsi"/>
                <w:sz w:val="20"/>
                <w:szCs w:val="20"/>
              </w:rPr>
            </w:pPr>
            <w:r w:rsidRPr="00A21238">
              <w:rPr>
                <w:rFonts w:asciiTheme="minorHAnsi" w:hAnsiTheme="minorHAnsi" w:cstheme="minorHAnsi"/>
                <w:sz w:val="20"/>
                <w:szCs w:val="20"/>
              </w:rPr>
              <w:t>3(662)</w:t>
            </w:r>
          </w:p>
        </w:tc>
        <w:tc>
          <w:tcPr>
            <w:tcW w:w="1800" w:type="dxa"/>
            <w:vAlign w:val="bottom"/>
          </w:tcPr>
          <w:p w:rsidR="0000434F" w:rsidRPr="00A21238" w:rsidRDefault="0000434F" w:rsidP="00525241">
            <w:pPr>
              <w:jc w:val="center"/>
              <w:rPr>
                <w:rFonts w:asciiTheme="minorHAnsi" w:hAnsiTheme="minorHAnsi" w:cstheme="minorHAnsi"/>
                <w:sz w:val="20"/>
                <w:szCs w:val="20"/>
              </w:rPr>
            </w:pPr>
          </w:p>
          <w:p w:rsidR="0000434F" w:rsidRPr="00A21238" w:rsidRDefault="0000434F" w:rsidP="00525241">
            <w:pPr>
              <w:jc w:val="center"/>
              <w:rPr>
                <w:rFonts w:asciiTheme="minorHAnsi" w:hAnsiTheme="minorHAnsi" w:cstheme="minorHAnsi"/>
                <w:sz w:val="20"/>
                <w:szCs w:val="20"/>
              </w:rPr>
            </w:pPr>
          </w:p>
          <w:p w:rsidR="0000434F" w:rsidRPr="00A21238" w:rsidRDefault="00FB3561" w:rsidP="00525241">
            <w:pPr>
              <w:jc w:val="center"/>
              <w:rPr>
                <w:rFonts w:asciiTheme="minorHAnsi" w:hAnsiTheme="minorHAnsi" w:cstheme="minorHAnsi"/>
                <w:sz w:val="20"/>
                <w:szCs w:val="20"/>
              </w:rPr>
            </w:pPr>
            <w:r w:rsidRPr="00A21238">
              <w:rPr>
                <w:rFonts w:asciiTheme="minorHAnsi" w:hAnsiTheme="minorHAnsi" w:cstheme="minorHAnsi"/>
                <w:sz w:val="20"/>
                <w:szCs w:val="20"/>
              </w:rPr>
              <w:t>0.97[0.83, 1.12]</w:t>
            </w:r>
          </w:p>
          <w:p w:rsidR="00FB3561" w:rsidRPr="00A21238" w:rsidRDefault="00FB3561" w:rsidP="00525241">
            <w:pPr>
              <w:jc w:val="center"/>
              <w:rPr>
                <w:rFonts w:asciiTheme="minorHAnsi" w:hAnsiTheme="minorHAnsi" w:cstheme="minorHAnsi"/>
                <w:sz w:val="20"/>
                <w:szCs w:val="20"/>
              </w:rPr>
            </w:pPr>
            <w:r w:rsidRPr="00A21238">
              <w:rPr>
                <w:rFonts w:asciiTheme="minorHAnsi" w:hAnsiTheme="minorHAnsi" w:cstheme="minorHAnsi"/>
                <w:sz w:val="20"/>
                <w:szCs w:val="20"/>
              </w:rPr>
              <w:t>1.20 [1.00, 1.44]</w:t>
            </w:r>
          </w:p>
        </w:tc>
        <w:tc>
          <w:tcPr>
            <w:tcW w:w="1008" w:type="dxa"/>
            <w:vAlign w:val="bottom"/>
          </w:tcPr>
          <w:p w:rsidR="0000434F" w:rsidRPr="00A21238" w:rsidRDefault="0000434F" w:rsidP="00525241">
            <w:pPr>
              <w:jc w:val="center"/>
              <w:rPr>
                <w:rFonts w:asciiTheme="minorHAnsi" w:hAnsiTheme="minorHAnsi" w:cstheme="minorHAnsi"/>
                <w:sz w:val="20"/>
                <w:szCs w:val="20"/>
              </w:rPr>
            </w:pPr>
          </w:p>
          <w:p w:rsidR="0000434F" w:rsidRPr="00A21238" w:rsidRDefault="0000434F" w:rsidP="00525241">
            <w:pPr>
              <w:jc w:val="center"/>
              <w:rPr>
                <w:rFonts w:asciiTheme="minorHAnsi" w:hAnsiTheme="minorHAnsi" w:cstheme="minorHAnsi"/>
                <w:sz w:val="20"/>
                <w:szCs w:val="20"/>
              </w:rPr>
            </w:pPr>
          </w:p>
          <w:p w:rsidR="00FB3561" w:rsidRPr="00A21238" w:rsidRDefault="00244495" w:rsidP="00525241">
            <w:pPr>
              <w:jc w:val="center"/>
              <w:rPr>
                <w:rFonts w:asciiTheme="minorHAnsi" w:hAnsiTheme="minorHAnsi" w:cstheme="minorHAnsi"/>
                <w:sz w:val="20"/>
                <w:szCs w:val="20"/>
              </w:rPr>
            </w:pPr>
            <w:r w:rsidRPr="00A21238">
              <w:rPr>
                <w:rFonts w:asciiTheme="minorHAnsi" w:hAnsiTheme="minorHAnsi" w:cstheme="minorHAnsi"/>
                <w:i/>
                <w:sz w:val="20"/>
                <w:szCs w:val="20"/>
              </w:rPr>
              <w:t>P</w:t>
            </w:r>
            <w:r w:rsidR="00FB3561" w:rsidRPr="00A21238">
              <w:rPr>
                <w:rFonts w:asciiTheme="minorHAnsi" w:hAnsiTheme="minorHAnsi" w:cstheme="minorHAnsi"/>
                <w:sz w:val="20"/>
                <w:szCs w:val="20"/>
              </w:rPr>
              <w:t>=.65</w:t>
            </w:r>
          </w:p>
          <w:p w:rsidR="0000434F" w:rsidRPr="00A21238" w:rsidRDefault="00244495" w:rsidP="00525241">
            <w:pPr>
              <w:jc w:val="center"/>
              <w:rPr>
                <w:rFonts w:asciiTheme="minorHAnsi" w:hAnsiTheme="minorHAnsi" w:cstheme="minorHAnsi"/>
                <w:sz w:val="20"/>
                <w:szCs w:val="20"/>
              </w:rPr>
            </w:pPr>
            <w:r w:rsidRPr="00A21238">
              <w:rPr>
                <w:rFonts w:asciiTheme="minorHAnsi" w:hAnsiTheme="minorHAnsi" w:cstheme="minorHAnsi"/>
                <w:i/>
                <w:sz w:val="20"/>
                <w:szCs w:val="20"/>
              </w:rPr>
              <w:t>P</w:t>
            </w:r>
            <w:r w:rsidR="00FB3561" w:rsidRPr="00A21238">
              <w:rPr>
                <w:rFonts w:asciiTheme="minorHAnsi" w:hAnsiTheme="minorHAnsi" w:cstheme="minorHAnsi"/>
                <w:sz w:val="20"/>
                <w:szCs w:val="20"/>
              </w:rPr>
              <w:t>=.05</w:t>
            </w:r>
          </w:p>
        </w:tc>
      </w:tr>
    </w:tbl>
    <w:p w:rsidR="0000434F" w:rsidRPr="00A21238" w:rsidRDefault="0000434F" w:rsidP="0000434F">
      <w:pPr>
        <w:rPr>
          <w:rFonts w:ascii="Calibri" w:hAnsi="Calibri"/>
          <w:sz w:val="20"/>
          <w:szCs w:val="20"/>
        </w:rPr>
      </w:pPr>
    </w:p>
    <w:p w:rsidR="00162FCA" w:rsidRPr="00A21238" w:rsidRDefault="00162FCA" w:rsidP="0000434F">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1170"/>
        <w:gridCol w:w="1260"/>
        <w:gridCol w:w="900"/>
        <w:gridCol w:w="1800"/>
        <w:gridCol w:w="1008"/>
      </w:tblGrid>
      <w:tr w:rsidR="00FB3561" w:rsidRPr="00A21238" w:rsidTr="005E32CB">
        <w:tc>
          <w:tcPr>
            <w:tcW w:w="3438" w:type="dxa"/>
            <w:vMerge w:val="restart"/>
            <w:vAlign w:val="bottom"/>
          </w:tcPr>
          <w:p w:rsidR="00FB3561" w:rsidRPr="00A21238" w:rsidRDefault="00FB3561" w:rsidP="00EB03FC">
            <w:pPr>
              <w:rPr>
                <w:rFonts w:ascii="Calibri" w:hAnsi="Calibri" w:cs="Arial"/>
                <w:b/>
                <w:sz w:val="20"/>
                <w:szCs w:val="20"/>
              </w:rPr>
            </w:pPr>
            <w:r w:rsidRPr="00A21238">
              <w:rPr>
                <w:rFonts w:ascii="Calibri" w:hAnsi="Calibri" w:cs="Arial"/>
                <w:b/>
                <w:sz w:val="20"/>
                <w:szCs w:val="20"/>
              </w:rPr>
              <w:t>Outcome</w:t>
            </w:r>
          </w:p>
        </w:tc>
        <w:tc>
          <w:tcPr>
            <w:tcW w:w="2430" w:type="dxa"/>
            <w:gridSpan w:val="2"/>
          </w:tcPr>
          <w:p w:rsidR="00FB3561" w:rsidRPr="00A21238" w:rsidRDefault="00FB3561" w:rsidP="007C2737">
            <w:pPr>
              <w:jc w:val="center"/>
              <w:rPr>
                <w:rFonts w:ascii="Calibri" w:hAnsi="Calibri" w:cs="Arial"/>
                <w:b/>
                <w:sz w:val="20"/>
                <w:szCs w:val="20"/>
              </w:rPr>
            </w:pPr>
            <w:r w:rsidRPr="00A21238">
              <w:rPr>
                <w:rFonts w:ascii="Calibri" w:hAnsi="Calibri" w:cs="Arial"/>
                <w:b/>
                <w:sz w:val="20"/>
                <w:szCs w:val="20"/>
              </w:rPr>
              <w:t>Mean ± SD</w:t>
            </w:r>
          </w:p>
        </w:tc>
        <w:tc>
          <w:tcPr>
            <w:tcW w:w="900" w:type="dxa"/>
            <w:vMerge w:val="restart"/>
            <w:vAlign w:val="bottom"/>
          </w:tcPr>
          <w:p w:rsidR="00FB3561" w:rsidRPr="00A21238" w:rsidRDefault="00FB3561" w:rsidP="00525241">
            <w:pPr>
              <w:jc w:val="center"/>
              <w:rPr>
                <w:rFonts w:ascii="Calibri" w:hAnsi="Calibri" w:cs="Arial"/>
                <w:b/>
                <w:sz w:val="20"/>
                <w:szCs w:val="20"/>
              </w:rPr>
            </w:pPr>
            <w:r w:rsidRPr="00A21238">
              <w:rPr>
                <w:rFonts w:ascii="Calibri" w:hAnsi="Calibri" w:cs="Arial"/>
                <w:b/>
                <w:sz w:val="20"/>
                <w:szCs w:val="20"/>
              </w:rPr>
              <w:t>n (N)</w:t>
            </w:r>
          </w:p>
        </w:tc>
        <w:tc>
          <w:tcPr>
            <w:tcW w:w="1800" w:type="dxa"/>
            <w:vMerge w:val="restart"/>
            <w:vAlign w:val="bottom"/>
          </w:tcPr>
          <w:p w:rsidR="00FB3561" w:rsidRPr="00A21238" w:rsidRDefault="00FB3561" w:rsidP="00525241">
            <w:pPr>
              <w:jc w:val="center"/>
              <w:rPr>
                <w:rFonts w:ascii="Calibri" w:hAnsi="Calibri" w:cs="Arial"/>
                <w:b/>
                <w:sz w:val="20"/>
                <w:szCs w:val="20"/>
                <w:lang w:val="fr-CA"/>
              </w:rPr>
            </w:pPr>
            <w:r w:rsidRPr="00A21238">
              <w:rPr>
                <w:rFonts w:ascii="Calibri" w:hAnsi="Calibri" w:cs="Arial"/>
                <w:b/>
                <w:sz w:val="20"/>
                <w:szCs w:val="20"/>
                <w:lang w:val="fr-CA"/>
              </w:rPr>
              <w:t>RR [95% CI] or</w:t>
            </w:r>
          </w:p>
          <w:p w:rsidR="00FB3561" w:rsidRPr="00A21238" w:rsidRDefault="00FB3561" w:rsidP="00525241">
            <w:pPr>
              <w:jc w:val="center"/>
              <w:rPr>
                <w:rFonts w:ascii="Calibri" w:hAnsi="Calibri" w:cs="Arial"/>
                <w:b/>
                <w:sz w:val="20"/>
                <w:szCs w:val="20"/>
                <w:lang w:val="fr-CA"/>
              </w:rPr>
            </w:pPr>
            <w:r w:rsidRPr="00A21238">
              <w:rPr>
                <w:rFonts w:ascii="Calibri" w:hAnsi="Calibri" w:cs="Arial"/>
                <w:b/>
                <w:sz w:val="20"/>
                <w:szCs w:val="20"/>
                <w:lang w:val="fr-CA"/>
              </w:rPr>
              <w:t>WMD [95% CI]</w:t>
            </w:r>
          </w:p>
        </w:tc>
        <w:tc>
          <w:tcPr>
            <w:tcW w:w="1008" w:type="dxa"/>
            <w:vMerge w:val="restart"/>
            <w:vAlign w:val="bottom"/>
          </w:tcPr>
          <w:p w:rsidR="00FB3561" w:rsidRPr="00A21238" w:rsidRDefault="00244495" w:rsidP="00525241">
            <w:pPr>
              <w:jc w:val="center"/>
              <w:rPr>
                <w:rFonts w:ascii="Calibri" w:hAnsi="Calibri" w:cs="Arial"/>
                <w:b/>
                <w:sz w:val="20"/>
                <w:szCs w:val="20"/>
              </w:rPr>
            </w:pPr>
            <w:r w:rsidRPr="00A21238">
              <w:rPr>
                <w:rFonts w:ascii="Calibri" w:hAnsi="Calibri" w:cs="Arial"/>
                <w:b/>
                <w:i/>
                <w:sz w:val="20"/>
                <w:szCs w:val="20"/>
              </w:rPr>
              <w:t>P</w:t>
            </w:r>
            <w:r w:rsidR="00FB3561" w:rsidRPr="00A21238">
              <w:rPr>
                <w:rFonts w:ascii="Calibri" w:hAnsi="Calibri" w:cs="Arial"/>
                <w:b/>
                <w:sz w:val="20"/>
                <w:szCs w:val="20"/>
              </w:rPr>
              <w:t xml:space="preserve"> value</w:t>
            </w:r>
          </w:p>
        </w:tc>
      </w:tr>
      <w:tr w:rsidR="00FB3561" w:rsidRPr="00A21238" w:rsidTr="005E32CB">
        <w:trPr>
          <w:trHeight w:val="394"/>
        </w:trPr>
        <w:tc>
          <w:tcPr>
            <w:tcW w:w="3438" w:type="dxa"/>
            <w:vMerge/>
          </w:tcPr>
          <w:p w:rsidR="00FB3561" w:rsidRPr="00A21238" w:rsidRDefault="00FB3561" w:rsidP="00FB3561">
            <w:pPr>
              <w:jc w:val="center"/>
              <w:rPr>
                <w:rFonts w:ascii="Calibri" w:hAnsi="Calibri" w:cs="Arial"/>
                <w:b/>
                <w:sz w:val="20"/>
                <w:szCs w:val="20"/>
              </w:rPr>
            </w:pPr>
          </w:p>
        </w:tc>
        <w:tc>
          <w:tcPr>
            <w:tcW w:w="1170" w:type="dxa"/>
          </w:tcPr>
          <w:p w:rsidR="00FB3561" w:rsidRPr="00A21238" w:rsidRDefault="00FB3561" w:rsidP="00FB3561">
            <w:pPr>
              <w:jc w:val="center"/>
              <w:rPr>
                <w:rFonts w:ascii="Calibri" w:hAnsi="Calibri" w:cs="Arial"/>
                <w:b/>
                <w:sz w:val="20"/>
                <w:szCs w:val="20"/>
              </w:rPr>
            </w:pPr>
            <w:r w:rsidRPr="00A21238">
              <w:rPr>
                <w:rFonts w:ascii="Calibri" w:hAnsi="Calibri" w:cs="Arial"/>
                <w:b/>
                <w:sz w:val="20"/>
                <w:szCs w:val="20"/>
              </w:rPr>
              <w:t>TKI Therapy</w:t>
            </w:r>
          </w:p>
        </w:tc>
        <w:tc>
          <w:tcPr>
            <w:tcW w:w="1260" w:type="dxa"/>
          </w:tcPr>
          <w:p w:rsidR="00FB3561" w:rsidRPr="00A21238" w:rsidRDefault="00FB3561" w:rsidP="00FB3561">
            <w:pPr>
              <w:jc w:val="center"/>
              <w:rPr>
                <w:rFonts w:ascii="Calibri" w:hAnsi="Calibri" w:cs="Arial"/>
                <w:b/>
                <w:sz w:val="20"/>
                <w:szCs w:val="20"/>
              </w:rPr>
            </w:pPr>
            <w:r w:rsidRPr="00A21238">
              <w:rPr>
                <w:rFonts w:ascii="Calibri" w:hAnsi="Calibri" w:cs="Arial"/>
                <w:b/>
                <w:sz w:val="20"/>
                <w:szCs w:val="20"/>
              </w:rPr>
              <w:t>Chemo-therapy</w:t>
            </w:r>
          </w:p>
        </w:tc>
        <w:tc>
          <w:tcPr>
            <w:tcW w:w="900" w:type="dxa"/>
            <w:vMerge/>
          </w:tcPr>
          <w:p w:rsidR="00FB3561" w:rsidRPr="00A21238" w:rsidRDefault="00FB3561" w:rsidP="00FB3561">
            <w:pPr>
              <w:jc w:val="center"/>
              <w:rPr>
                <w:rFonts w:ascii="Calibri" w:hAnsi="Calibri" w:cs="Arial"/>
                <w:b/>
                <w:sz w:val="20"/>
                <w:szCs w:val="20"/>
              </w:rPr>
            </w:pPr>
          </w:p>
        </w:tc>
        <w:tc>
          <w:tcPr>
            <w:tcW w:w="1800" w:type="dxa"/>
            <w:vMerge/>
          </w:tcPr>
          <w:p w:rsidR="00FB3561" w:rsidRPr="00A21238" w:rsidRDefault="00FB3561" w:rsidP="00FB3561">
            <w:pPr>
              <w:jc w:val="center"/>
              <w:rPr>
                <w:rFonts w:ascii="Calibri" w:hAnsi="Calibri" w:cs="Arial"/>
                <w:b/>
                <w:sz w:val="20"/>
                <w:szCs w:val="20"/>
              </w:rPr>
            </w:pPr>
          </w:p>
        </w:tc>
        <w:tc>
          <w:tcPr>
            <w:tcW w:w="1008" w:type="dxa"/>
            <w:vMerge/>
          </w:tcPr>
          <w:p w:rsidR="00FB3561" w:rsidRPr="00A21238" w:rsidRDefault="00FB3561" w:rsidP="00FB3561">
            <w:pPr>
              <w:jc w:val="center"/>
              <w:rPr>
                <w:rFonts w:ascii="Calibri" w:hAnsi="Calibri" w:cs="Arial"/>
                <w:b/>
                <w:sz w:val="20"/>
                <w:szCs w:val="20"/>
              </w:rPr>
            </w:pPr>
          </w:p>
        </w:tc>
      </w:tr>
      <w:tr w:rsidR="00FB3561" w:rsidRPr="00A21238" w:rsidTr="005E32CB">
        <w:trPr>
          <w:trHeight w:val="414"/>
        </w:trPr>
        <w:tc>
          <w:tcPr>
            <w:tcW w:w="3438" w:type="dxa"/>
          </w:tcPr>
          <w:p w:rsidR="00FB3561" w:rsidRPr="00A21238" w:rsidRDefault="00FB3561" w:rsidP="00FB3561">
            <w:pPr>
              <w:rPr>
                <w:rFonts w:ascii="Calibri" w:hAnsi="Calibri"/>
                <w:sz w:val="20"/>
                <w:szCs w:val="20"/>
              </w:rPr>
            </w:pPr>
            <w:r w:rsidRPr="00A21238">
              <w:rPr>
                <w:rFonts w:ascii="Calibri" w:hAnsi="Calibri"/>
                <w:sz w:val="20"/>
                <w:szCs w:val="20"/>
              </w:rPr>
              <w:t>Time to Progression / Progression Free Survival (months)</w:t>
            </w:r>
            <w:r w:rsidR="0002496E" w:rsidRPr="0002496E">
              <w:rPr>
                <w:rFonts w:ascii="Calibri" w:hAnsi="Calibri"/>
                <w:noProof/>
                <w:sz w:val="20"/>
                <w:szCs w:val="20"/>
                <w:vertAlign w:val="superscript"/>
              </w:rPr>
              <w:t>75, 77, 93, 95-97</w:t>
            </w:r>
          </w:p>
          <w:p w:rsidR="00FB3561" w:rsidRPr="00A21238" w:rsidRDefault="00FB3561" w:rsidP="00FB3561">
            <w:pPr>
              <w:pStyle w:val="ListParagraph"/>
              <w:ind w:left="360"/>
              <w:contextualSpacing/>
              <w:rPr>
                <w:rFonts w:cs="Arial"/>
                <w:sz w:val="20"/>
                <w:szCs w:val="20"/>
              </w:rPr>
            </w:pPr>
            <w:r w:rsidRPr="00A21238">
              <w:rPr>
                <w:rFonts w:cs="Arial"/>
                <w:sz w:val="20"/>
                <w:szCs w:val="20"/>
              </w:rPr>
              <w:t>Advanced disease (Stage III and IV)</w:t>
            </w:r>
          </w:p>
        </w:tc>
        <w:tc>
          <w:tcPr>
            <w:tcW w:w="1170" w:type="dxa"/>
            <w:vAlign w:val="bottom"/>
          </w:tcPr>
          <w:p w:rsidR="00FB3561" w:rsidRPr="00A21238" w:rsidRDefault="00FB3561" w:rsidP="00525241">
            <w:pPr>
              <w:jc w:val="center"/>
              <w:rPr>
                <w:rFonts w:ascii="Calibri" w:hAnsi="Calibri" w:cs="Arial"/>
                <w:sz w:val="20"/>
                <w:szCs w:val="20"/>
              </w:rPr>
            </w:pPr>
          </w:p>
          <w:p w:rsidR="007C2737" w:rsidRPr="00A21238" w:rsidRDefault="007C2737" w:rsidP="00525241">
            <w:pPr>
              <w:jc w:val="center"/>
              <w:rPr>
                <w:rFonts w:ascii="Calibri" w:hAnsi="Calibri"/>
                <w:sz w:val="20"/>
                <w:szCs w:val="20"/>
              </w:rPr>
            </w:pPr>
          </w:p>
          <w:p w:rsidR="00FB3561" w:rsidRPr="00A21238" w:rsidRDefault="007C2737" w:rsidP="00525241">
            <w:pPr>
              <w:jc w:val="center"/>
              <w:rPr>
                <w:rFonts w:ascii="Calibri" w:hAnsi="Calibri" w:cs="Arial"/>
                <w:sz w:val="20"/>
                <w:szCs w:val="20"/>
              </w:rPr>
            </w:pPr>
            <w:r w:rsidRPr="00A21238">
              <w:rPr>
                <w:rFonts w:ascii="Calibri" w:hAnsi="Calibri"/>
                <w:sz w:val="20"/>
                <w:szCs w:val="20"/>
              </w:rPr>
              <w:t xml:space="preserve">9 </w:t>
            </w:r>
            <w:r w:rsidRPr="00A21238">
              <w:rPr>
                <w:rFonts w:ascii="Calibri" w:hAnsi="Calibri"/>
                <w:sz w:val="20"/>
                <w:szCs w:val="20"/>
                <w:u w:val="single"/>
              </w:rPr>
              <w:t>+</w:t>
            </w:r>
            <w:r w:rsidRPr="00A21238">
              <w:rPr>
                <w:rFonts w:ascii="Calibri" w:hAnsi="Calibri"/>
                <w:sz w:val="20"/>
                <w:szCs w:val="20"/>
              </w:rPr>
              <w:t xml:space="preserve"> 1.24</w:t>
            </w:r>
          </w:p>
        </w:tc>
        <w:tc>
          <w:tcPr>
            <w:tcW w:w="1260" w:type="dxa"/>
            <w:vAlign w:val="bottom"/>
          </w:tcPr>
          <w:p w:rsidR="00FB3561" w:rsidRPr="00A21238" w:rsidRDefault="00FB3561" w:rsidP="00525241">
            <w:pPr>
              <w:jc w:val="center"/>
              <w:rPr>
                <w:rFonts w:ascii="Calibri" w:hAnsi="Calibri" w:cs="Arial"/>
                <w:sz w:val="20"/>
                <w:szCs w:val="20"/>
              </w:rPr>
            </w:pPr>
          </w:p>
          <w:p w:rsidR="007C2737" w:rsidRPr="00A21238" w:rsidRDefault="007C2737" w:rsidP="00525241">
            <w:pPr>
              <w:jc w:val="center"/>
              <w:rPr>
                <w:rFonts w:ascii="Calibri" w:hAnsi="Calibri" w:cs="Arial"/>
                <w:sz w:val="20"/>
                <w:szCs w:val="20"/>
              </w:rPr>
            </w:pPr>
          </w:p>
          <w:p w:rsidR="007C2737" w:rsidRPr="00A21238" w:rsidRDefault="007C2737" w:rsidP="00525241">
            <w:pPr>
              <w:jc w:val="center"/>
              <w:rPr>
                <w:rFonts w:ascii="Calibri" w:hAnsi="Calibri" w:cs="Arial"/>
                <w:sz w:val="20"/>
                <w:szCs w:val="20"/>
              </w:rPr>
            </w:pPr>
            <w:r w:rsidRPr="00A21238">
              <w:rPr>
                <w:rFonts w:ascii="Calibri" w:hAnsi="Calibri" w:cs="Arial"/>
                <w:sz w:val="20"/>
                <w:szCs w:val="20"/>
              </w:rPr>
              <w:t xml:space="preserve">5.6 </w:t>
            </w:r>
            <w:r w:rsidRPr="00A21238">
              <w:rPr>
                <w:rFonts w:ascii="Calibri" w:hAnsi="Calibri" w:cs="Arial"/>
                <w:sz w:val="20"/>
                <w:szCs w:val="20"/>
                <w:u w:val="single"/>
              </w:rPr>
              <w:t>+</w:t>
            </w:r>
            <w:r w:rsidRPr="00A21238">
              <w:rPr>
                <w:rFonts w:ascii="Calibri" w:hAnsi="Calibri" w:cs="Arial"/>
                <w:sz w:val="20"/>
                <w:szCs w:val="20"/>
              </w:rPr>
              <w:t xml:space="preserve"> 0.88</w:t>
            </w:r>
          </w:p>
        </w:tc>
        <w:tc>
          <w:tcPr>
            <w:tcW w:w="900" w:type="dxa"/>
            <w:vAlign w:val="bottom"/>
          </w:tcPr>
          <w:p w:rsidR="00FB3561" w:rsidRPr="00A21238" w:rsidRDefault="00FB3561" w:rsidP="00525241">
            <w:pPr>
              <w:jc w:val="center"/>
              <w:rPr>
                <w:rFonts w:ascii="Calibri" w:hAnsi="Calibri" w:cs="Arial"/>
                <w:sz w:val="20"/>
                <w:szCs w:val="20"/>
              </w:rPr>
            </w:pPr>
          </w:p>
          <w:p w:rsidR="00FB3561" w:rsidRPr="00A21238" w:rsidRDefault="00FB3561" w:rsidP="00525241">
            <w:pPr>
              <w:jc w:val="center"/>
              <w:rPr>
                <w:rFonts w:ascii="Calibri" w:hAnsi="Calibri" w:cs="Arial"/>
                <w:sz w:val="20"/>
                <w:szCs w:val="20"/>
              </w:rPr>
            </w:pPr>
          </w:p>
          <w:p w:rsidR="007C2737" w:rsidRPr="00A21238" w:rsidRDefault="007C2737" w:rsidP="00525241">
            <w:pPr>
              <w:jc w:val="center"/>
              <w:rPr>
                <w:rFonts w:ascii="Calibri" w:hAnsi="Calibri" w:cs="Arial"/>
                <w:sz w:val="20"/>
                <w:szCs w:val="20"/>
              </w:rPr>
            </w:pPr>
            <w:r w:rsidRPr="00A21238">
              <w:rPr>
                <w:rFonts w:ascii="Calibri" w:hAnsi="Calibri" w:cs="Arial"/>
                <w:sz w:val="20"/>
                <w:szCs w:val="20"/>
              </w:rPr>
              <w:t>6(910)</w:t>
            </w:r>
          </w:p>
        </w:tc>
        <w:tc>
          <w:tcPr>
            <w:tcW w:w="1800" w:type="dxa"/>
            <w:vAlign w:val="bottom"/>
          </w:tcPr>
          <w:p w:rsidR="00FB3561" w:rsidRPr="00A21238" w:rsidRDefault="00FB3561" w:rsidP="00525241">
            <w:pPr>
              <w:jc w:val="center"/>
              <w:rPr>
                <w:rFonts w:ascii="Calibri" w:hAnsi="Calibri"/>
                <w:sz w:val="20"/>
                <w:szCs w:val="20"/>
              </w:rPr>
            </w:pPr>
          </w:p>
          <w:p w:rsidR="00FB3561" w:rsidRPr="00A21238" w:rsidRDefault="00FB3561" w:rsidP="00525241">
            <w:pPr>
              <w:jc w:val="center"/>
              <w:rPr>
                <w:rFonts w:ascii="Calibri" w:hAnsi="Calibri" w:cs="Arial"/>
                <w:sz w:val="20"/>
                <w:szCs w:val="20"/>
              </w:rPr>
            </w:pPr>
          </w:p>
          <w:p w:rsidR="007C2737" w:rsidRPr="00A21238" w:rsidRDefault="007C2737" w:rsidP="00525241">
            <w:pPr>
              <w:jc w:val="center"/>
              <w:rPr>
                <w:rFonts w:ascii="Calibri" w:hAnsi="Calibri" w:cs="Arial"/>
                <w:sz w:val="20"/>
                <w:szCs w:val="20"/>
              </w:rPr>
            </w:pPr>
            <w:r w:rsidRPr="00A21238">
              <w:rPr>
                <w:rFonts w:ascii="Calibri" w:hAnsi="Calibri" w:cs="Arial"/>
                <w:sz w:val="20"/>
                <w:szCs w:val="20"/>
              </w:rPr>
              <w:t>3.38 [2.52, 4.23]</w:t>
            </w:r>
          </w:p>
        </w:tc>
        <w:tc>
          <w:tcPr>
            <w:tcW w:w="1008" w:type="dxa"/>
            <w:vAlign w:val="bottom"/>
          </w:tcPr>
          <w:p w:rsidR="00FB3561" w:rsidRPr="00A21238" w:rsidRDefault="00FB3561" w:rsidP="00525241">
            <w:pPr>
              <w:jc w:val="center"/>
              <w:rPr>
                <w:rFonts w:ascii="Calibri" w:hAnsi="Calibri" w:cs="Arial"/>
                <w:sz w:val="20"/>
                <w:szCs w:val="20"/>
              </w:rPr>
            </w:pPr>
          </w:p>
          <w:p w:rsidR="00FB3561" w:rsidRPr="00A21238" w:rsidRDefault="00FB3561" w:rsidP="00525241">
            <w:pPr>
              <w:jc w:val="center"/>
              <w:rPr>
                <w:rFonts w:ascii="Calibri" w:hAnsi="Calibri" w:cs="Arial"/>
                <w:sz w:val="20"/>
                <w:szCs w:val="20"/>
              </w:rPr>
            </w:pPr>
          </w:p>
          <w:p w:rsidR="007C2737" w:rsidRPr="00A21238" w:rsidRDefault="00244495" w:rsidP="00525241">
            <w:pPr>
              <w:jc w:val="center"/>
              <w:rPr>
                <w:rFonts w:ascii="Calibri" w:hAnsi="Calibri" w:cs="Arial"/>
                <w:sz w:val="20"/>
                <w:szCs w:val="20"/>
              </w:rPr>
            </w:pPr>
            <w:r w:rsidRPr="00A21238">
              <w:rPr>
                <w:rFonts w:asciiTheme="minorHAnsi" w:hAnsiTheme="minorHAnsi" w:cstheme="minorHAnsi"/>
                <w:b/>
                <w:bCs/>
                <w:i/>
                <w:sz w:val="20"/>
                <w:szCs w:val="20"/>
              </w:rPr>
              <w:t>P</w:t>
            </w:r>
            <w:r w:rsidRPr="00A21238">
              <w:rPr>
                <w:rFonts w:asciiTheme="minorHAnsi" w:hAnsiTheme="minorHAnsi" w:cstheme="minorHAnsi"/>
                <w:b/>
                <w:bCs/>
                <w:sz w:val="20"/>
                <w:szCs w:val="20"/>
              </w:rPr>
              <w:t>&lt;.001</w:t>
            </w:r>
          </w:p>
        </w:tc>
      </w:tr>
      <w:tr w:rsidR="00FB3561" w:rsidRPr="00A21238" w:rsidTr="005E32CB">
        <w:tc>
          <w:tcPr>
            <w:tcW w:w="3438" w:type="dxa"/>
          </w:tcPr>
          <w:p w:rsidR="00FB3561" w:rsidRPr="00A21238" w:rsidRDefault="00FB3561" w:rsidP="00FB3561">
            <w:pPr>
              <w:rPr>
                <w:rFonts w:ascii="Calibri" w:hAnsi="Calibri" w:cs="Arial"/>
                <w:sz w:val="20"/>
                <w:szCs w:val="20"/>
              </w:rPr>
            </w:pPr>
            <w:r w:rsidRPr="00A21238">
              <w:rPr>
                <w:rFonts w:ascii="Calibri" w:hAnsi="Calibri" w:cs="Arial"/>
                <w:sz w:val="20"/>
                <w:szCs w:val="20"/>
              </w:rPr>
              <w:t>Median survival time (Months)</w:t>
            </w:r>
            <w:r w:rsidR="0002496E" w:rsidRPr="0002496E">
              <w:rPr>
                <w:rFonts w:ascii="Calibri" w:hAnsi="Calibri" w:cs="Arial"/>
                <w:noProof/>
                <w:sz w:val="20"/>
                <w:szCs w:val="20"/>
                <w:vertAlign w:val="superscript"/>
              </w:rPr>
              <w:t>75, 77, 93, 95, 97</w:t>
            </w:r>
          </w:p>
          <w:p w:rsidR="00FB3561" w:rsidRPr="00A21238" w:rsidRDefault="00FB3561" w:rsidP="00FB3561">
            <w:pPr>
              <w:pStyle w:val="ListParagraph"/>
              <w:ind w:left="360"/>
              <w:contextualSpacing/>
              <w:rPr>
                <w:rFonts w:cs="Arial"/>
                <w:sz w:val="20"/>
                <w:szCs w:val="20"/>
              </w:rPr>
            </w:pPr>
            <w:r w:rsidRPr="00A21238">
              <w:rPr>
                <w:rFonts w:cs="Arial"/>
                <w:sz w:val="20"/>
                <w:szCs w:val="20"/>
              </w:rPr>
              <w:t xml:space="preserve">Advanced disease (Stage III and IV) </w:t>
            </w:r>
          </w:p>
        </w:tc>
        <w:tc>
          <w:tcPr>
            <w:tcW w:w="1170" w:type="dxa"/>
            <w:vAlign w:val="bottom"/>
          </w:tcPr>
          <w:p w:rsidR="00FB3561" w:rsidRPr="00A21238" w:rsidRDefault="00FB3561" w:rsidP="00525241">
            <w:pPr>
              <w:jc w:val="center"/>
              <w:rPr>
                <w:rFonts w:ascii="Calibri" w:hAnsi="Calibri" w:cs="Arial"/>
                <w:sz w:val="20"/>
                <w:szCs w:val="20"/>
              </w:rPr>
            </w:pPr>
          </w:p>
          <w:p w:rsidR="00FB3561" w:rsidRPr="00A21238" w:rsidRDefault="007C2737" w:rsidP="00525241">
            <w:pPr>
              <w:jc w:val="center"/>
              <w:rPr>
                <w:rFonts w:ascii="Calibri" w:hAnsi="Calibri" w:cs="Arial"/>
                <w:sz w:val="20"/>
                <w:szCs w:val="20"/>
              </w:rPr>
            </w:pPr>
            <w:r w:rsidRPr="00A21238">
              <w:rPr>
                <w:rFonts w:ascii="Calibri" w:hAnsi="Calibri" w:cs="Arial"/>
                <w:sz w:val="20"/>
                <w:szCs w:val="20"/>
              </w:rPr>
              <w:t xml:space="preserve">22.6 </w:t>
            </w:r>
            <w:r w:rsidRPr="00A21238">
              <w:rPr>
                <w:rFonts w:ascii="Calibri" w:hAnsi="Calibri" w:cs="Arial"/>
                <w:sz w:val="20"/>
                <w:szCs w:val="20"/>
                <w:u w:val="single"/>
              </w:rPr>
              <w:t>+</w:t>
            </w:r>
            <w:r w:rsidRPr="00A21238">
              <w:rPr>
                <w:rFonts w:ascii="Calibri" w:hAnsi="Calibri" w:cs="Arial"/>
                <w:sz w:val="20"/>
                <w:szCs w:val="20"/>
              </w:rPr>
              <w:t xml:space="preserve"> 6.44</w:t>
            </w:r>
          </w:p>
        </w:tc>
        <w:tc>
          <w:tcPr>
            <w:tcW w:w="1260" w:type="dxa"/>
            <w:vAlign w:val="bottom"/>
          </w:tcPr>
          <w:p w:rsidR="00FB3561" w:rsidRPr="00A21238" w:rsidRDefault="00FB3561" w:rsidP="00525241">
            <w:pPr>
              <w:jc w:val="center"/>
              <w:rPr>
                <w:rFonts w:ascii="Calibri" w:hAnsi="Calibri" w:cs="Arial"/>
                <w:sz w:val="20"/>
                <w:szCs w:val="20"/>
              </w:rPr>
            </w:pPr>
          </w:p>
          <w:p w:rsidR="00FB3561" w:rsidRPr="00A21238" w:rsidRDefault="007C2737" w:rsidP="00525241">
            <w:pPr>
              <w:jc w:val="center"/>
              <w:rPr>
                <w:rFonts w:ascii="Calibri" w:hAnsi="Calibri" w:cs="Arial"/>
                <w:sz w:val="20"/>
                <w:szCs w:val="20"/>
              </w:rPr>
            </w:pPr>
            <w:r w:rsidRPr="00A21238">
              <w:rPr>
                <w:rFonts w:ascii="Calibri" w:hAnsi="Calibri" w:cs="Arial"/>
                <w:sz w:val="20"/>
                <w:szCs w:val="20"/>
              </w:rPr>
              <w:t>21.4</w:t>
            </w:r>
            <w:r w:rsidRPr="00A21238">
              <w:rPr>
                <w:rFonts w:ascii="Calibri" w:hAnsi="Calibri" w:cs="Arial"/>
                <w:sz w:val="20"/>
                <w:szCs w:val="20"/>
                <w:u w:val="single"/>
              </w:rPr>
              <w:t xml:space="preserve"> +</w:t>
            </w:r>
            <w:r w:rsidRPr="00A21238">
              <w:rPr>
                <w:rFonts w:ascii="Calibri" w:hAnsi="Calibri" w:cs="Arial"/>
                <w:sz w:val="20"/>
                <w:szCs w:val="20"/>
              </w:rPr>
              <w:t xml:space="preserve"> 3.51</w:t>
            </w:r>
          </w:p>
        </w:tc>
        <w:tc>
          <w:tcPr>
            <w:tcW w:w="900" w:type="dxa"/>
            <w:vAlign w:val="bottom"/>
          </w:tcPr>
          <w:p w:rsidR="00FB3561" w:rsidRPr="00A21238" w:rsidRDefault="00FB3561" w:rsidP="00525241">
            <w:pPr>
              <w:jc w:val="center"/>
              <w:rPr>
                <w:rFonts w:ascii="Calibri" w:hAnsi="Calibri" w:cs="Arial"/>
                <w:sz w:val="20"/>
                <w:szCs w:val="20"/>
              </w:rPr>
            </w:pPr>
          </w:p>
          <w:p w:rsidR="007C2737" w:rsidRPr="00A21238" w:rsidRDefault="007C2737" w:rsidP="00525241">
            <w:pPr>
              <w:jc w:val="center"/>
              <w:rPr>
                <w:rFonts w:ascii="Calibri" w:hAnsi="Calibri" w:cs="Arial"/>
                <w:sz w:val="20"/>
                <w:szCs w:val="20"/>
              </w:rPr>
            </w:pPr>
            <w:r w:rsidRPr="00A21238">
              <w:rPr>
                <w:rFonts w:ascii="Calibri" w:hAnsi="Calibri" w:cs="Arial"/>
                <w:sz w:val="20"/>
                <w:szCs w:val="20"/>
              </w:rPr>
              <w:t>5(744)</w:t>
            </w:r>
          </w:p>
        </w:tc>
        <w:tc>
          <w:tcPr>
            <w:tcW w:w="1800" w:type="dxa"/>
            <w:vAlign w:val="bottom"/>
          </w:tcPr>
          <w:p w:rsidR="00FB3561" w:rsidRPr="00A21238" w:rsidRDefault="00FB3561" w:rsidP="00525241">
            <w:pPr>
              <w:jc w:val="center"/>
              <w:rPr>
                <w:rFonts w:ascii="Calibri" w:hAnsi="Calibri" w:cs="Arial"/>
                <w:sz w:val="20"/>
                <w:szCs w:val="20"/>
              </w:rPr>
            </w:pPr>
          </w:p>
          <w:p w:rsidR="007C2737" w:rsidRPr="00A21238" w:rsidRDefault="007C2737" w:rsidP="00525241">
            <w:pPr>
              <w:jc w:val="center"/>
              <w:rPr>
                <w:rFonts w:ascii="Calibri" w:hAnsi="Calibri" w:cs="Arial"/>
                <w:sz w:val="20"/>
                <w:szCs w:val="20"/>
              </w:rPr>
            </w:pPr>
            <w:r w:rsidRPr="00A21238">
              <w:rPr>
                <w:rFonts w:ascii="Calibri" w:hAnsi="Calibri" w:cs="Arial"/>
                <w:sz w:val="20"/>
                <w:szCs w:val="20"/>
              </w:rPr>
              <w:t>1.19 [-2.3, 4.70]</w:t>
            </w:r>
          </w:p>
        </w:tc>
        <w:tc>
          <w:tcPr>
            <w:tcW w:w="1008" w:type="dxa"/>
            <w:vAlign w:val="bottom"/>
          </w:tcPr>
          <w:p w:rsidR="00FB3561" w:rsidRPr="00A21238" w:rsidRDefault="00FB3561" w:rsidP="00525241">
            <w:pPr>
              <w:jc w:val="center"/>
              <w:rPr>
                <w:rFonts w:ascii="Calibri" w:hAnsi="Calibri" w:cs="Arial"/>
                <w:sz w:val="20"/>
                <w:szCs w:val="20"/>
              </w:rPr>
            </w:pPr>
          </w:p>
          <w:p w:rsidR="007C2737" w:rsidRPr="00A21238" w:rsidRDefault="00244495" w:rsidP="00525241">
            <w:pPr>
              <w:jc w:val="center"/>
              <w:rPr>
                <w:rFonts w:ascii="Calibri" w:hAnsi="Calibri" w:cs="Arial"/>
                <w:sz w:val="20"/>
                <w:szCs w:val="20"/>
              </w:rPr>
            </w:pPr>
            <w:r w:rsidRPr="00A21238">
              <w:rPr>
                <w:rFonts w:ascii="Calibri" w:hAnsi="Calibri" w:cs="Arial"/>
                <w:i/>
                <w:sz w:val="20"/>
                <w:szCs w:val="20"/>
              </w:rPr>
              <w:t>P</w:t>
            </w:r>
            <w:r w:rsidR="007C2737" w:rsidRPr="00A21238">
              <w:rPr>
                <w:rFonts w:ascii="Calibri" w:hAnsi="Calibri" w:cs="Arial"/>
                <w:sz w:val="20"/>
                <w:szCs w:val="20"/>
              </w:rPr>
              <w:t>=.50</w:t>
            </w:r>
          </w:p>
        </w:tc>
      </w:tr>
    </w:tbl>
    <w:p w:rsidR="00FB3561" w:rsidRPr="00A52683" w:rsidRDefault="00437895" w:rsidP="00A26FF8">
      <w:pPr>
        <w:ind w:left="-90"/>
        <w:rPr>
          <w:rFonts w:ascii="Calibri" w:hAnsi="Calibri" w:cs="Arial"/>
          <w:b/>
          <w:sz w:val="18"/>
          <w:szCs w:val="18"/>
        </w:rPr>
      </w:pPr>
      <w:r>
        <w:rPr>
          <w:rFonts w:ascii="Calibri" w:hAnsi="Calibri"/>
          <w:sz w:val="18"/>
          <w:szCs w:val="18"/>
        </w:rPr>
        <w:t xml:space="preserve">Abbreviations: </w:t>
      </w:r>
      <w:r w:rsidR="00FB3561" w:rsidRPr="00A52683">
        <w:rPr>
          <w:rFonts w:ascii="Calibri" w:hAnsi="Calibri"/>
          <w:sz w:val="18"/>
          <w:szCs w:val="18"/>
        </w:rPr>
        <w:t>CI</w:t>
      </w:r>
      <w:r w:rsidR="00470CE4">
        <w:rPr>
          <w:rFonts w:ascii="Calibri" w:hAnsi="Calibri"/>
          <w:sz w:val="18"/>
          <w:szCs w:val="18"/>
        </w:rPr>
        <w:t>,</w:t>
      </w:r>
      <w:r w:rsidR="00FB3561" w:rsidRPr="00A52683">
        <w:rPr>
          <w:rFonts w:ascii="Calibri" w:hAnsi="Calibri"/>
          <w:sz w:val="18"/>
          <w:szCs w:val="18"/>
        </w:rPr>
        <w:t xml:space="preserve"> Confidence interval; n</w:t>
      </w:r>
      <w:r w:rsidR="00470CE4">
        <w:rPr>
          <w:rFonts w:ascii="Calibri" w:hAnsi="Calibri"/>
          <w:sz w:val="18"/>
          <w:szCs w:val="18"/>
        </w:rPr>
        <w:t>,</w:t>
      </w:r>
      <w:r w:rsidR="00FB3561" w:rsidRPr="00A52683">
        <w:rPr>
          <w:rFonts w:ascii="Calibri" w:hAnsi="Calibri"/>
          <w:sz w:val="18"/>
          <w:szCs w:val="18"/>
        </w:rPr>
        <w:t xml:space="preserve"> Number of studies; N</w:t>
      </w:r>
      <w:r w:rsidR="00470CE4">
        <w:rPr>
          <w:rFonts w:ascii="Calibri" w:hAnsi="Calibri"/>
          <w:sz w:val="18"/>
          <w:szCs w:val="18"/>
        </w:rPr>
        <w:t>,</w:t>
      </w:r>
      <w:r w:rsidR="00FB3561" w:rsidRPr="00A52683">
        <w:rPr>
          <w:rFonts w:ascii="Calibri" w:hAnsi="Calibri"/>
          <w:sz w:val="18"/>
          <w:szCs w:val="18"/>
        </w:rPr>
        <w:t xml:space="preserve"> Number of patients;</w:t>
      </w:r>
      <w:r w:rsidR="007605EA" w:rsidRPr="00A52683">
        <w:rPr>
          <w:rFonts w:ascii="Calibri" w:hAnsi="Calibri"/>
          <w:sz w:val="18"/>
          <w:szCs w:val="18"/>
        </w:rPr>
        <w:t xml:space="preserve"> </w:t>
      </w:r>
      <w:r w:rsidR="00FB3561" w:rsidRPr="00A52683">
        <w:rPr>
          <w:rFonts w:ascii="Calibri" w:hAnsi="Calibri"/>
          <w:sz w:val="18"/>
          <w:szCs w:val="18"/>
        </w:rPr>
        <w:t>RCT</w:t>
      </w:r>
      <w:r w:rsidR="00470CE4">
        <w:rPr>
          <w:rFonts w:ascii="Calibri" w:hAnsi="Calibri"/>
          <w:sz w:val="18"/>
          <w:szCs w:val="18"/>
        </w:rPr>
        <w:t>,</w:t>
      </w:r>
      <w:r w:rsidR="00FB3561" w:rsidRPr="00A52683">
        <w:rPr>
          <w:rFonts w:ascii="Calibri" w:hAnsi="Calibri"/>
          <w:sz w:val="18"/>
          <w:szCs w:val="18"/>
        </w:rPr>
        <w:t xml:space="preserve"> Randomized controlled trial; RR</w:t>
      </w:r>
      <w:r w:rsidR="00470CE4">
        <w:rPr>
          <w:rFonts w:ascii="Calibri" w:hAnsi="Calibri"/>
          <w:sz w:val="18"/>
          <w:szCs w:val="18"/>
        </w:rPr>
        <w:t>,</w:t>
      </w:r>
      <w:r w:rsidR="00FB3561" w:rsidRPr="00A52683">
        <w:rPr>
          <w:rFonts w:ascii="Calibri" w:hAnsi="Calibri"/>
          <w:sz w:val="18"/>
          <w:szCs w:val="18"/>
        </w:rPr>
        <w:t xml:space="preserve"> Relative risk; WMD</w:t>
      </w:r>
      <w:r w:rsidR="00470CE4">
        <w:rPr>
          <w:rFonts w:ascii="Calibri" w:hAnsi="Calibri"/>
          <w:sz w:val="18"/>
          <w:szCs w:val="18"/>
        </w:rPr>
        <w:t>,</w:t>
      </w:r>
      <w:r w:rsidR="00FB3561" w:rsidRPr="00A52683">
        <w:rPr>
          <w:rFonts w:ascii="Calibri" w:hAnsi="Calibri"/>
          <w:sz w:val="18"/>
          <w:szCs w:val="18"/>
        </w:rPr>
        <w:t xml:space="preserve"> Weighted mean difference</w:t>
      </w:r>
    </w:p>
    <w:p w:rsidR="006A0A8F" w:rsidRPr="00A52683" w:rsidRDefault="006A0A8F" w:rsidP="00162FCA">
      <w:pPr>
        <w:rPr>
          <w:rFonts w:asciiTheme="minorHAnsi" w:hAnsiTheme="minorHAnsi"/>
          <w:sz w:val="18"/>
          <w:szCs w:val="18"/>
        </w:rPr>
      </w:pPr>
      <w:r w:rsidRPr="00A52683">
        <w:rPr>
          <w:rFonts w:asciiTheme="minorHAnsi" w:hAnsiTheme="minorHAnsi"/>
          <w:sz w:val="18"/>
          <w:szCs w:val="18"/>
        </w:rPr>
        <w:br w:type="page"/>
      </w:r>
    </w:p>
    <w:p w:rsidR="00BE3833" w:rsidRPr="00A52683" w:rsidRDefault="000E2454" w:rsidP="00BE3833">
      <w:pPr>
        <w:rPr>
          <w:b/>
          <w:sz w:val="22"/>
          <w:szCs w:val="22"/>
        </w:rPr>
      </w:pPr>
      <w:r w:rsidRPr="00A52683">
        <w:rPr>
          <w:b/>
          <w:sz w:val="22"/>
          <w:szCs w:val="22"/>
        </w:rPr>
        <w:lastRenderedPageBreak/>
        <w:t xml:space="preserve">Table </w:t>
      </w:r>
      <w:r w:rsidR="00027452" w:rsidRPr="00A52683">
        <w:rPr>
          <w:b/>
          <w:sz w:val="22"/>
          <w:szCs w:val="22"/>
        </w:rPr>
        <w:t>1</w:t>
      </w:r>
      <w:r w:rsidR="00A566D8" w:rsidRPr="00A52683">
        <w:rPr>
          <w:b/>
          <w:sz w:val="22"/>
          <w:szCs w:val="22"/>
        </w:rPr>
        <w:t>8</w:t>
      </w:r>
      <w:r w:rsidR="00BE3833" w:rsidRPr="00A52683">
        <w:rPr>
          <w:b/>
          <w:sz w:val="22"/>
          <w:szCs w:val="22"/>
        </w:rPr>
        <w:t xml:space="preserve">: Different outcomes in advanced disease patients without </w:t>
      </w:r>
      <w:r w:rsidR="007550B2" w:rsidRPr="00A52683">
        <w:rPr>
          <w:b/>
          <w:i/>
          <w:sz w:val="22"/>
          <w:szCs w:val="22"/>
        </w:rPr>
        <w:t>EGFR</w:t>
      </w:r>
      <w:r w:rsidR="00BE3833" w:rsidRPr="00A52683">
        <w:rPr>
          <w:b/>
          <w:sz w:val="22"/>
          <w:szCs w:val="22"/>
        </w:rPr>
        <w:t xml:space="preserve"> mutations </w:t>
      </w:r>
      <w:r w:rsidR="006C0415" w:rsidRPr="00A52683">
        <w:rPr>
          <w:b/>
          <w:sz w:val="22"/>
          <w:szCs w:val="22"/>
        </w:rPr>
        <w:t>treated with</w:t>
      </w:r>
      <w:r w:rsidR="007F53D6" w:rsidRPr="00A52683">
        <w:rPr>
          <w:b/>
          <w:sz w:val="22"/>
          <w:szCs w:val="22"/>
        </w:rPr>
        <w:t xml:space="preserve"> </w:t>
      </w:r>
      <w:r w:rsidR="00BE3833" w:rsidRPr="00A52683">
        <w:rPr>
          <w:b/>
          <w:sz w:val="22"/>
          <w:szCs w:val="22"/>
        </w:rPr>
        <w:t xml:space="preserve">Tyrosine Kinase Inhibitor Therapy or Chemotherapy, Data from RCTs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8"/>
        <w:gridCol w:w="1080"/>
        <w:gridCol w:w="1450"/>
        <w:gridCol w:w="800"/>
        <w:gridCol w:w="1620"/>
        <w:gridCol w:w="1080"/>
      </w:tblGrid>
      <w:tr w:rsidR="007605EA" w:rsidRPr="00A21238" w:rsidTr="00EB03FC">
        <w:tc>
          <w:tcPr>
            <w:tcW w:w="3618" w:type="dxa"/>
            <w:vMerge w:val="restart"/>
            <w:vAlign w:val="bottom"/>
          </w:tcPr>
          <w:p w:rsidR="00BE3833" w:rsidRPr="00A21238" w:rsidRDefault="00BE3833" w:rsidP="00EB03FC">
            <w:pPr>
              <w:rPr>
                <w:rFonts w:asciiTheme="minorHAnsi" w:hAnsiTheme="minorHAnsi" w:cstheme="minorHAnsi"/>
                <w:b/>
                <w:sz w:val="20"/>
                <w:szCs w:val="20"/>
              </w:rPr>
            </w:pPr>
            <w:r w:rsidRPr="00A21238">
              <w:rPr>
                <w:rFonts w:asciiTheme="minorHAnsi" w:hAnsiTheme="minorHAnsi" w:cstheme="minorHAnsi"/>
                <w:b/>
                <w:sz w:val="20"/>
                <w:szCs w:val="20"/>
              </w:rPr>
              <w:t>Outcome</w:t>
            </w:r>
          </w:p>
        </w:tc>
        <w:tc>
          <w:tcPr>
            <w:tcW w:w="2530" w:type="dxa"/>
            <w:gridSpan w:val="2"/>
          </w:tcPr>
          <w:p w:rsidR="00BE3833" w:rsidRPr="00A21238" w:rsidRDefault="002E7F19" w:rsidP="00962B84">
            <w:pPr>
              <w:jc w:val="center"/>
              <w:rPr>
                <w:rFonts w:asciiTheme="minorHAnsi" w:hAnsiTheme="minorHAnsi" w:cstheme="minorHAnsi"/>
                <w:b/>
                <w:sz w:val="20"/>
                <w:szCs w:val="20"/>
              </w:rPr>
            </w:pPr>
            <w:r w:rsidRPr="00A21238">
              <w:rPr>
                <w:rFonts w:asciiTheme="minorHAnsi" w:hAnsiTheme="minorHAnsi" w:cstheme="minorHAnsi"/>
                <w:b/>
                <w:sz w:val="20"/>
                <w:szCs w:val="20"/>
              </w:rPr>
              <w:t>Percentage</w:t>
            </w:r>
          </w:p>
        </w:tc>
        <w:tc>
          <w:tcPr>
            <w:tcW w:w="800" w:type="dxa"/>
            <w:vMerge w:val="restart"/>
            <w:vAlign w:val="bottom"/>
          </w:tcPr>
          <w:p w:rsidR="00BE3833" w:rsidRPr="00A21238" w:rsidRDefault="009B5AB3" w:rsidP="00525241">
            <w:pPr>
              <w:jc w:val="center"/>
              <w:rPr>
                <w:rFonts w:asciiTheme="minorHAnsi" w:hAnsiTheme="minorHAnsi" w:cstheme="minorHAnsi"/>
                <w:b/>
                <w:sz w:val="20"/>
                <w:szCs w:val="20"/>
              </w:rPr>
            </w:pPr>
            <w:r w:rsidRPr="00A21238">
              <w:rPr>
                <w:rFonts w:asciiTheme="minorHAnsi" w:hAnsiTheme="minorHAnsi" w:cstheme="minorHAnsi"/>
                <w:b/>
                <w:sz w:val="20"/>
                <w:szCs w:val="20"/>
              </w:rPr>
              <w:t>n (N)</w:t>
            </w:r>
          </w:p>
        </w:tc>
        <w:tc>
          <w:tcPr>
            <w:tcW w:w="1620" w:type="dxa"/>
            <w:vMerge w:val="restart"/>
            <w:vAlign w:val="bottom"/>
          </w:tcPr>
          <w:p w:rsidR="00BE3833" w:rsidRPr="00A21238" w:rsidRDefault="009B5AB3" w:rsidP="00525241">
            <w:pPr>
              <w:jc w:val="center"/>
              <w:rPr>
                <w:rFonts w:asciiTheme="minorHAnsi" w:hAnsiTheme="minorHAnsi" w:cstheme="minorHAnsi"/>
                <w:b/>
                <w:sz w:val="20"/>
                <w:szCs w:val="20"/>
                <w:lang w:val="fr-CA"/>
              </w:rPr>
            </w:pPr>
            <w:r w:rsidRPr="00A21238">
              <w:rPr>
                <w:rFonts w:asciiTheme="minorHAnsi" w:hAnsiTheme="minorHAnsi" w:cstheme="minorHAnsi"/>
                <w:b/>
                <w:sz w:val="20"/>
                <w:szCs w:val="20"/>
                <w:lang w:val="fr-CA"/>
              </w:rPr>
              <w:t>RR [95% CI] or</w:t>
            </w:r>
          </w:p>
          <w:p w:rsidR="00BE3833" w:rsidRPr="00A21238" w:rsidRDefault="009B5AB3" w:rsidP="00525241">
            <w:pPr>
              <w:jc w:val="center"/>
              <w:rPr>
                <w:rFonts w:asciiTheme="minorHAnsi" w:hAnsiTheme="minorHAnsi" w:cstheme="minorHAnsi"/>
                <w:b/>
                <w:sz w:val="20"/>
                <w:szCs w:val="20"/>
                <w:lang w:val="fr-CA"/>
              </w:rPr>
            </w:pPr>
            <w:r w:rsidRPr="00A21238">
              <w:rPr>
                <w:rFonts w:asciiTheme="minorHAnsi" w:hAnsiTheme="minorHAnsi" w:cstheme="minorHAnsi"/>
                <w:b/>
                <w:sz w:val="20"/>
                <w:szCs w:val="20"/>
                <w:lang w:val="fr-CA"/>
              </w:rPr>
              <w:t>WMD [95% CI]</w:t>
            </w:r>
          </w:p>
        </w:tc>
        <w:tc>
          <w:tcPr>
            <w:tcW w:w="1080" w:type="dxa"/>
            <w:vMerge w:val="restart"/>
            <w:vAlign w:val="bottom"/>
          </w:tcPr>
          <w:p w:rsidR="00BE3833" w:rsidRPr="00A21238" w:rsidRDefault="000824F7" w:rsidP="00525241">
            <w:pPr>
              <w:jc w:val="center"/>
              <w:rPr>
                <w:rFonts w:asciiTheme="minorHAnsi" w:hAnsiTheme="minorHAnsi" w:cstheme="minorHAnsi"/>
                <w:b/>
                <w:sz w:val="20"/>
                <w:szCs w:val="20"/>
              </w:rPr>
            </w:pPr>
            <w:r w:rsidRPr="00A21238">
              <w:rPr>
                <w:rFonts w:asciiTheme="minorHAnsi" w:hAnsiTheme="minorHAnsi" w:cstheme="minorHAnsi"/>
                <w:b/>
                <w:i/>
                <w:sz w:val="20"/>
                <w:szCs w:val="20"/>
              </w:rPr>
              <w:t>P</w:t>
            </w:r>
            <w:r w:rsidR="009B5AB3" w:rsidRPr="00A21238">
              <w:rPr>
                <w:rFonts w:asciiTheme="minorHAnsi" w:hAnsiTheme="minorHAnsi" w:cstheme="minorHAnsi"/>
                <w:b/>
                <w:sz w:val="20"/>
                <w:szCs w:val="20"/>
              </w:rPr>
              <w:t xml:space="preserve"> value</w:t>
            </w:r>
          </w:p>
        </w:tc>
      </w:tr>
      <w:tr w:rsidR="007605EA" w:rsidRPr="00A21238" w:rsidTr="00EB03FC">
        <w:trPr>
          <w:trHeight w:val="394"/>
        </w:trPr>
        <w:tc>
          <w:tcPr>
            <w:tcW w:w="3618" w:type="dxa"/>
            <w:vMerge/>
          </w:tcPr>
          <w:p w:rsidR="00BE3833" w:rsidRPr="00A21238" w:rsidRDefault="00BE3833" w:rsidP="00962B84">
            <w:pPr>
              <w:jc w:val="center"/>
              <w:rPr>
                <w:rFonts w:asciiTheme="minorHAnsi" w:hAnsiTheme="minorHAnsi" w:cstheme="minorHAnsi"/>
                <w:b/>
                <w:sz w:val="20"/>
                <w:szCs w:val="20"/>
              </w:rPr>
            </w:pPr>
          </w:p>
        </w:tc>
        <w:tc>
          <w:tcPr>
            <w:tcW w:w="1080" w:type="dxa"/>
          </w:tcPr>
          <w:p w:rsidR="00BE3833" w:rsidRPr="00A21238" w:rsidRDefault="009B5AB3" w:rsidP="00962B84">
            <w:pPr>
              <w:jc w:val="center"/>
              <w:rPr>
                <w:rFonts w:asciiTheme="minorHAnsi" w:hAnsiTheme="minorHAnsi" w:cstheme="minorHAnsi"/>
                <w:b/>
                <w:sz w:val="20"/>
                <w:szCs w:val="20"/>
              </w:rPr>
            </w:pPr>
            <w:r w:rsidRPr="00A21238">
              <w:rPr>
                <w:rFonts w:asciiTheme="minorHAnsi" w:hAnsiTheme="minorHAnsi" w:cstheme="minorHAnsi"/>
                <w:b/>
                <w:sz w:val="20"/>
                <w:szCs w:val="20"/>
              </w:rPr>
              <w:t>TKI Therapy</w:t>
            </w:r>
          </w:p>
        </w:tc>
        <w:tc>
          <w:tcPr>
            <w:tcW w:w="1450" w:type="dxa"/>
            <w:vAlign w:val="bottom"/>
          </w:tcPr>
          <w:p w:rsidR="00BE3833" w:rsidRPr="00A21238" w:rsidRDefault="009B5AB3" w:rsidP="00EB03FC">
            <w:pPr>
              <w:jc w:val="center"/>
              <w:rPr>
                <w:rFonts w:asciiTheme="minorHAnsi" w:hAnsiTheme="minorHAnsi" w:cstheme="minorHAnsi"/>
                <w:b/>
                <w:sz w:val="20"/>
                <w:szCs w:val="20"/>
              </w:rPr>
            </w:pPr>
            <w:r w:rsidRPr="00A21238">
              <w:rPr>
                <w:rFonts w:asciiTheme="minorHAnsi" w:hAnsiTheme="minorHAnsi" w:cstheme="minorHAnsi"/>
                <w:b/>
                <w:sz w:val="20"/>
                <w:szCs w:val="20"/>
              </w:rPr>
              <w:t>Chemotherapy</w:t>
            </w:r>
          </w:p>
        </w:tc>
        <w:tc>
          <w:tcPr>
            <w:tcW w:w="800" w:type="dxa"/>
            <w:vMerge/>
          </w:tcPr>
          <w:p w:rsidR="00BE3833" w:rsidRPr="00A21238" w:rsidRDefault="00BE3833" w:rsidP="00962B84">
            <w:pPr>
              <w:jc w:val="center"/>
              <w:rPr>
                <w:rFonts w:asciiTheme="minorHAnsi" w:hAnsiTheme="minorHAnsi" w:cstheme="minorHAnsi"/>
                <w:b/>
                <w:sz w:val="20"/>
                <w:szCs w:val="20"/>
              </w:rPr>
            </w:pPr>
          </w:p>
        </w:tc>
        <w:tc>
          <w:tcPr>
            <w:tcW w:w="1620" w:type="dxa"/>
            <w:vMerge/>
          </w:tcPr>
          <w:p w:rsidR="00BE3833" w:rsidRPr="00A21238" w:rsidRDefault="00BE3833" w:rsidP="00962B84">
            <w:pPr>
              <w:jc w:val="center"/>
              <w:rPr>
                <w:rFonts w:asciiTheme="minorHAnsi" w:hAnsiTheme="minorHAnsi" w:cstheme="minorHAnsi"/>
                <w:b/>
                <w:sz w:val="20"/>
                <w:szCs w:val="20"/>
              </w:rPr>
            </w:pPr>
          </w:p>
        </w:tc>
        <w:tc>
          <w:tcPr>
            <w:tcW w:w="1080" w:type="dxa"/>
            <w:vMerge/>
          </w:tcPr>
          <w:p w:rsidR="00BE3833" w:rsidRPr="00A21238" w:rsidRDefault="00BE3833" w:rsidP="00962B84">
            <w:pPr>
              <w:jc w:val="center"/>
              <w:rPr>
                <w:rFonts w:asciiTheme="minorHAnsi" w:hAnsiTheme="minorHAnsi" w:cstheme="minorHAnsi"/>
                <w:b/>
                <w:sz w:val="20"/>
                <w:szCs w:val="20"/>
              </w:rPr>
            </w:pPr>
          </w:p>
        </w:tc>
      </w:tr>
      <w:tr w:rsidR="007605EA" w:rsidRPr="00A21238" w:rsidTr="00EB03FC">
        <w:trPr>
          <w:trHeight w:val="341"/>
        </w:trPr>
        <w:tc>
          <w:tcPr>
            <w:tcW w:w="3618" w:type="dxa"/>
            <w:vAlign w:val="center"/>
          </w:tcPr>
          <w:p w:rsidR="00BE3833" w:rsidRPr="00A21238" w:rsidRDefault="00BE3833" w:rsidP="0002496E">
            <w:pPr>
              <w:rPr>
                <w:rFonts w:asciiTheme="minorHAnsi" w:hAnsiTheme="minorHAnsi" w:cstheme="minorHAnsi"/>
                <w:sz w:val="20"/>
                <w:szCs w:val="20"/>
              </w:rPr>
            </w:pPr>
            <w:r w:rsidRPr="00A21238">
              <w:rPr>
                <w:rFonts w:asciiTheme="minorHAnsi" w:hAnsiTheme="minorHAnsi" w:cstheme="minorHAnsi"/>
                <w:sz w:val="20"/>
                <w:szCs w:val="20"/>
              </w:rPr>
              <w:t>Response rate (%)</w:t>
            </w:r>
            <w:r w:rsidR="0002496E" w:rsidRPr="0002496E">
              <w:rPr>
                <w:rFonts w:asciiTheme="minorHAnsi" w:hAnsiTheme="minorHAnsi" w:cstheme="minorHAnsi"/>
                <w:noProof/>
                <w:sz w:val="20"/>
                <w:szCs w:val="20"/>
                <w:vertAlign w:val="superscript"/>
              </w:rPr>
              <w:t>21, 75, 77</w:t>
            </w:r>
          </w:p>
        </w:tc>
        <w:tc>
          <w:tcPr>
            <w:tcW w:w="1080" w:type="dxa"/>
            <w:vAlign w:val="bottom"/>
          </w:tcPr>
          <w:p w:rsidR="00BE3833" w:rsidRPr="00A21238" w:rsidRDefault="007605EA" w:rsidP="00EB03FC">
            <w:pPr>
              <w:jc w:val="center"/>
              <w:rPr>
                <w:rFonts w:asciiTheme="minorHAnsi" w:hAnsiTheme="minorHAnsi" w:cstheme="minorHAnsi"/>
                <w:sz w:val="20"/>
                <w:szCs w:val="20"/>
              </w:rPr>
            </w:pPr>
            <w:r w:rsidRPr="00A21238">
              <w:rPr>
                <w:rFonts w:asciiTheme="minorHAnsi" w:hAnsiTheme="minorHAnsi" w:cstheme="minorHAnsi"/>
                <w:sz w:val="20"/>
                <w:szCs w:val="20"/>
              </w:rPr>
              <w:t>7%</w:t>
            </w:r>
          </w:p>
        </w:tc>
        <w:tc>
          <w:tcPr>
            <w:tcW w:w="1450" w:type="dxa"/>
            <w:vAlign w:val="bottom"/>
          </w:tcPr>
          <w:p w:rsidR="00BE3833" w:rsidRPr="00A21238" w:rsidRDefault="007605EA" w:rsidP="00EB03FC">
            <w:pPr>
              <w:jc w:val="center"/>
              <w:rPr>
                <w:rFonts w:asciiTheme="minorHAnsi" w:hAnsiTheme="minorHAnsi" w:cstheme="minorHAnsi"/>
                <w:sz w:val="20"/>
                <w:szCs w:val="20"/>
              </w:rPr>
            </w:pPr>
            <w:r w:rsidRPr="00A21238">
              <w:rPr>
                <w:rFonts w:asciiTheme="minorHAnsi" w:hAnsiTheme="minorHAnsi" w:cstheme="minorHAnsi"/>
                <w:sz w:val="20"/>
                <w:szCs w:val="20"/>
              </w:rPr>
              <w:t>20%</w:t>
            </w:r>
          </w:p>
        </w:tc>
        <w:tc>
          <w:tcPr>
            <w:tcW w:w="800" w:type="dxa"/>
            <w:vAlign w:val="bottom"/>
          </w:tcPr>
          <w:p w:rsidR="00BE3833" w:rsidRPr="00A21238" w:rsidRDefault="007605EA" w:rsidP="00EB03FC">
            <w:pPr>
              <w:jc w:val="center"/>
              <w:rPr>
                <w:rFonts w:asciiTheme="minorHAnsi" w:hAnsiTheme="minorHAnsi" w:cstheme="minorHAnsi"/>
                <w:sz w:val="20"/>
                <w:szCs w:val="20"/>
              </w:rPr>
            </w:pPr>
            <w:r w:rsidRPr="00A21238">
              <w:rPr>
                <w:rFonts w:asciiTheme="minorHAnsi" w:hAnsiTheme="minorHAnsi" w:cstheme="minorHAnsi"/>
                <w:sz w:val="20"/>
                <w:szCs w:val="20"/>
              </w:rPr>
              <w:t>3(459)</w:t>
            </w:r>
          </w:p>
        </w:tc>
        <w:tc>
          <w:tcPr>
            <w:tcW w:w="1620" w:type="dxa"/>
            <w:vAlign w:val="bottom"/>
          </w:tcPr>
          <w:p w:rsidR="00BE3833" w:rsidRPr="00A21238" w:rsidRDefault="007605EA" w:rsidP="00EB03FC">
            <w:pPr>
              <w:jc w:val="center"/>
              <w:rPr>
                <w:rFonts w:asciiTheme="minorHAnsi" w:hAnsiTheme="minorHAnsi" w:cstheme="minorHAnsi"/>
                <w:sz w:val="20"/>
                <w:szCs w:val="20"/>
              </w:rPr>
            </w:pPr>
            <w:r w:rsidRPr="00A21238">
              <w:rPr>
                <w:rFonts w:asciiTheme="minorHAnsi" w:hAnsiTheme="minorHAnsi" w:cstheme="minorHAnsi"/>
                <w:sz w:val="20"/>
                <w:szCs w:val="20"/>
              </w:rPr>
              <w:t>0.35 [0.11, 1.12]</w:t>
            </w:r>
          </w:p>
        </w:tc>
        <w:tc>
          <w:tcPr>
            <w:tcW w:w="1080" w:type="dxa"/>
            <w:vAlign w:val="bottom"/>
          </w:tcPr>
          <w:p w:rsidR="00BE3833" w:rsidRPr="00A21238" w:rsidRDefault="000824F7" w:rsidP="00EB03FC">
            <w:pPr>
              <w:jc w:val="center"/>
              <w:rPr>
                <w:rFonts w:asciiTheme="minorHAnsi" w:hAnsiTheme="minorHAnsi" w:cstheme="minorHAnsi"/>
                <w:sz w:val="20"/>
                <w:szCs w:val="20"/>
              </w:rPr>
            </w:pPr>
            <w:r w:rsidRPr="00A21238">
              <w:rPr>
                <w:rFonts w:asciiTheme="minorHAnsi" w:hAnsiTheme="minorHAnsi" w:cstheme="minorHAnsi"/>
                <w:i/>
                <w:sz w:val="20"/>
                <w:szCs w:val="20"/>
              </w:rPr>
              <w:t>P</w:t>
            </w:r>
            <w:r w:rsidR="007605EA" w:rsidRPr="00A21238">
              <w:rPr>
                <w:rFonts w:asciiTheme="minorHAnsi" w:hAnsiTheme="minorHAnsi" w:cstheme="minorHAnsi"/>
                <w:sz w:val="20"/>
                <w:szCs w:val="20"/>
              </w:rPr>
              <w:t>=.08</w:t>
            </w:r>
          </w:p>
        </w:tc>
      </w:tr>
      <w:tr w:rsidR="007605EA" w:rsidRPr="00A21238" w:rsidTr="00EB03FC">
        <w:tc>
          <w:tcPr>
            <w:tcW w:w="3618" w:type="dxa"/>
          </w:tcPr>
          <w:p w:rsidR="00BE3833" w:rsidRPr="00A21238" w:rsidRDefault="00BE3833" w:rsidP="0002496E">
            <w:pPr>
              <w:rPr>
                <w:rFonts w:asciiTheme="minorHAnsi" w:hAnsiTheme="minorHAnsi" w:cstheme="minorHAnsi"/>
                <w:sz w:val="20"/>
                <w:szCs w:val="20"/>
              </w:rPr>
            </w:pPr>
            <w:r w:rsidRPr="00A21238">
              <w:rPr>
                <w:rFonts w:asciiTheme="minorHAnsi" w:hAnsiTheme="minorHAnsi" w:cstheme="minorHAnsi"/>
                <w:sz w:val="20"/>
                <w:szCs w:val="20"/>
              </w:rPr>
              <w:t>Disease control rate (%</w:t>
            </w:r>
            <w:r w:rsidR="007605EA" w:rsidRPr="00A21238">
              <w:rPr>
                <w:rFonts w:asciiTheme="minorHAnsi" w:hAnsiTheme="minorHAnsi" w:cstheme="minorHAnsi"/>
                <w:sz w:val="20"/>
                <w:szCs w:val="20"/>
              </w:rPr>
              <w:t>)</w:t>
            </w:r>
            <w:r w:rsidR="0002496E" w:rsidRPr="0002496E">
              <w:rPr>
                <w:rFonts w:asciiTheme="minorHAnsi" w:hAnsiTheme="minorHAnsi" w:cstheme="minorHAnsi"/>
                <w:noProof/>
                <w:sz w:val="20"/>
                <w:szCs w:val="20"/>
                <w:vertAlign w:val="superscript"/>
              </w:rPr>
              <w:t>21</w:t>
            </w:r>
          </w:p>
        </w:tc>
        <w:tc>
          <w:tcPr>
            <w:tcW w:w="1080" w:type="dxa"/>
            <w:vAlign w:val="bottom"/>
          </w:tcPr>
          <w:p w:rsidR="00BE3833" w:rsidRPr="00A21238" w:rsidRDefault="007605EA" w:rsidP="00EB03FC">
            <w:pPr>
              <w:jc w:val="center"/>
              <w:rPr>
                <w:rFonts w:asciiTheme="minorHAnsi" w:hAnsiTheme="minorHAnsi" w:cstheme="minorHAnsi"/>
                <w:sz w:val="20"/>
                <w:szCs w:val="20"/>
              </w:rPr>
            </w:pPr>
            <w:r w:rsidRPr="00A21238">
              <w:rPr>
                <w:rFonts w:asciiTheme="minorHAnsi" w:hAnsiTheme="minorHAnsi" w:cstheme="minorHAnsi"/>
                <w:sz w:val="20"/>
                <w:szCs w:val="20"/>
              </w:rPr>
              <w:t>40%</w:t>
            </w:r>
          </w:p>
        </w:tc>
        <w:tc>
          <w:tcPr>
            <w:tcW w:w="1450" w:type="dxa"/>
            <w:vAlign w:val="bottom"/>
          </w:tcPr>
          <w:p w:rsidR="00BE3833" w:rsidRPr="00A21238" w:rsidRDefault="007605EA" w:rsidP="00EB03FC">
            <w:pPr>
              <w:jc w:val="center"/>
              <w:rPr>
                <w:rFonts w:asciiTheme="minorHAnsi" w:hAnsiTheme="minorHAnsi" w:cstheme="minorHAnsi"/>
                <w:sz w:val="20"/>
                <w:szCs w:val="20"/>
              </w:rPr>
            </w:pPr>
            <w:r w:rsidRPr="00A21238">
              <w:rPr>
                <w:rFonts w:asciiTheme="minorHAnsi" w:hAnsiTheme="minorHAnsi" w:cstheme="minorHAnsi"/>
                <w:sz w:val="20"/>
                <w:szCs w:val="20"/>
              </w:rPr>
              <w:t>84%</w:t>
            </w:r>
          </w:p>
        </w:tc>
        <w:tc>
          <w:tcPr>
            <w:tcW w:w="800" w:type="dxa"/>
            <w:vAlign w:val="bottom"/>
          </w:tcPr>
          <w:p w:rsidR="00BE3833" w:rsidRPr="00A21238" w:rsidRDefault="007605EA" w:rsidP="00EB03FC">
            <w:pPr>
              <w:jc w:val="center"/>
              <w:rPr>
                <w:rFonts w:asciiTheme="minorHAnsi" w:hAnsiTheme="minorHAnsi" w:cstheme="minorHAnsi"/>
                <w:sz w:val="20"/>
                <w:szCs w:val="20"/>
              </w:rPr>
            </w:pPr>
            <w:r w:rsidRPr="00A21238">
              <w:rPr>
                <w:rFonts w:asciiTheme="minorHAnsi" w:hAnsiTheme="minorHAnsi" w:cstheme="minorHAnsi"/>
                <w:sz w:val="20"/>
                <w:szCs w:val="20"/>
              </w:rPr>
              <w:t>1(176)</w:t>
            </w:r>
          </w:p>
        </w:tc>
        <w:tc>
          <w:tcPr>
            <w:tcW w:w="1620" w:type="dxa"/>
            <w:vAlign w:val="bottom"/>
          </w:tcPr>
          <w:p w:rsidR="00BE3833" w:rsidRPr="00A21238" w:rsidRDefault="007605EA" w:rsidP="00EB03FC">
            <w:pPr>
              <w:jc w:val="center"/>
              <w:rPr>
                <w:rFonts w:asciiTheme="minorHAnsi" w:hAnsiTheme="minorHAnsi" w:cstheme="minorHAnsi"/>
                <w:sz w:val="20"/>
                <w:szCs w:val="20"/>
              </w:rPr>
            </w:pPr>
            <w:r w:rsidRPr="00A21238">
              <w:rPr>
                <w:rFonts w:asciiTheme="minorHAnsi" w:hAnsiTheme="minorHAnsi" w:cstheme="minorHAnsi"/>
                <w:sz w:val="20"/>
                <w:szCs w:val="20"/>
              </w:rPr>
              <w:t>0.47 [0.36, 0.62]</w:t>
            </w:r>
          </w:p>
        </w:tc>
        <w:tc>
          <w:tcPr>
            <w:tcW w:w="1080" w:type="dxa"/>
            <w:vAlign w:val="bottom"/>
          </w:tcPr>
          <w:p w:rsidR="00BE3833" w:rsidRPr="00A21238" w:rsidRDefault="000824F7" w:rsidP="00EB03FC">
            <w:pPr>
              <w:jc w:val="center"/>
              <w:rPr>
                <w:rFonts w:asciiTheme="minorHAnsi" w:hAnsiTheme="minorHAnsi" w:cstheme="minorHAnsi"/>
                <w:sz w:val="20"/>
                <w:szCs w:val="20"/>
              </w:rPr>
            </w:pPr>
            <w:r w:rsidRPr="00A21238">
              <w:rPr>
                <w:rFonts w:asciiTheme="minorHAnsi" w:hAnsiTheme="minorHAnsi" w:cstheme="minorHAnsi"/>
                <w:b/>
                <w:bCs/>
                <w:i/>
                <w:sz w:val="20"/>
                <w:szCs w:val="20"/>
              </w:rPr>
              <w:t>P</w:t>
            </w:r>
            <w:r w:rsidRPr="00A21238">
              <w:rPr>
                <w:rFonts w:asciiTheme="minorHAnsi" w:hAnsiTheme="minorHAnsi" w:cstheme="minorHAnsi"/>
                <w:b/>
                <w:bCs/>
                <w:sz w:val="20"/>
                <w:szCs w:val="20"/>
              </w:rPr>
              <w:t>&lt;.001</w:t>
            </w:r>
          </w:p>
        </w:tc>
      </w:tr>
      <w:tr w:rsidR="007605EA" w:rsidRPr="00A21238" w:rsidTr="00EB03FC">
        <w:tc>
          <w:tcPr>
            <w:tcW w:w="3618" w:type="dxa"/>
          </w:tcPr>
          <w:p w:rsidR="00BE3833" w:rsidRPr="00A21238" w:rsidRDefault="00BE3833" w:rsidP="00962B84">
            <w:pPr>
              <w:rPr>
                <w:rFonts w:asciiTheme="minorHAnsi" w:hAnsiTheme="minorHAnsi" w:cstheme="minorHAnsi"/>
                <w:sz w:val="20"/>
                <w:szCs w:val="20"/>
              </w:rPr>
            </w:pPr>
            <w:r w:rsidRPr="00A21238">
              <w:rPr>
                <w:rFonts w:asciiTheme="minorHAnsi" w:hAnsiTheme="minorHAnsi" w:cstheme="minorHAnsi"/>
                <w:sz w:val="20"/>
                <w:szCs w:val="20"/>
              </w:rPr>
              <w:t>T</w:t>
            </w:r>
            <w:r w:rsidR="007605EA" w:rsidRPr="00A21238">
              <w:rPr>
                <w:rFonts w:asciiTheme="minorHAnsi" w:hAnsiTheme="minorHAnsi" w:cstheme="minorHAnsi"/>
                <w:sz w:val="20"/>
                <w:szCs w:val="20"/>
              </w:rPr>
              <w:t xml:space="preserve">ime to Progression/Progression </w:t>
            </w:r>
            <w:r w:rsidRPr="00A21238">
              <w:rPr>
                <w:rFonts w:asciiTheme="minorHAnsi" w:hAnsiTheme="minorHAnsi" w:cstheme="minorHAnsi"/>
                <w:sz w:val="20"/>
                <w:szCs w:val="20"/>
              </w:rPr>
              <w:t>F</w:t>
            </w:r>
            <w:r w:rsidR="007605EA" w:rsidRPr="00A21238">
              <w:rPr>
                <w:rFonts w:asciiTheme="minorHAnsi" w:hAnsiTheme="minorHAnsi" w:cstheme="minorHAnsi"/>
                <w:sz w:val="20"/>
                <w:szCs w:val="20"/>
              </w:rPr>
              <w:t xml:space="preserve">ree </w:t>
            </w:r>
            <w:r w:rsidRPr="00A21238">
              <w:rPr>
                <w:rFonts w:asciiTheme="minorHAnsi" w:hAnsiTheme="minorHAnsi" w:cstheme="minorHAnsi"/>
                <w:sz w:val="20"/>
                <w:szCs w:val="20"/>
              </w:rPr>
              <w:t>S</w:t>
            </w:r>
            <w:r w:rsidR="007605EA" w:rsidRPr="00A21238">
              <w:rPr>
                <w:rFonts w:asciiTheme="minorHAnsi" w:hAnsiTheme="minorHAnsi" w:cstheme="minorHAnsi"/>
                <w:sz w:val="20"/>
                <w:szCs w:val="20"/>
              </w:rPr>
              <w:t>urvival</w:t>
            </w:r>
            <w:r w:rsidRPr="00A21238">
              <w:rPr>
                <w:rFonts w:asciiTheme="minorHAnsi" w:hAnsiTheme="minorHAnsi" w:cstheme="minorHAnsi"/>
                <w:sz w:val="20"/>
                <w:szCs w:val="20"/>
              </w:rPr>
              <w:t xml:space="preserve"> (%)</w:t>
            </w:r>
          </w:p>
          <w:p w:rsidR="00BE3833" w:rsidRPr="00A21238" w:rsidRDefault="00BE3833" w:rsidP="0002496E">
            <w:pPr>
              <w:pStyle w:val="ListParagraph"/>
              <w:numPr>
                <w:ilvl w:val="0"/>
                <w:numId w:val="8"/>
              </w:numPr>
              <w:contextualSpacing/>
              <w:rPr>
                <w:rFonts w:asciiTheme="minorHAnsi" w:hAnsiTheme="minorHAnsi" w:cstheme="minorHAnsi"/>
                <w:sz w:val="20"/>
                <w:szCs w:val="20"/>
              </w:rPr>
            </w:pPr>
            <w:r w:rsidRPr="00A21238">
              <w:rPr>
                <w:rFonts w:asciiTheme="minorHAnsi" w:hAnsiTheme="minorHAnsi" w:cstheme="minorHAnsi"/>
                <w:sz w:val="20"/>
                <w:szCs w:val="20"/>
              </w:rPr>
              <w:t>1 year</w:t>
            </w:r>
            <w:r w:rsidR="0002496E" w:rsidRPr="0002496E">
              <w:rPr>
                <w:rFonts w:asciiTheme="minorHAnsi" w:hAnsiTheme="minorHAnsi" w:cstheme="minorHAnsi"/>
                <w:noProof/>
                <w:sz w:val="20"/>
                <w:szCs w:val="20"/>
                <w:vertAlign w:val="superscript"/>
              </w:rPr>
              <w:t>21</w:t>
            </w:r>
          </w:p>
        </w:tc>
        <w:tc>
          <w:tcPr>
            <w:tcW w:w="1080" w:type="dxa"/>
            <w:vAlign w:val="bottom"/>
          </w:tcPr>
          <w:p w:rsidR="00BE3833" w:rsidRPr="00A21238" w:rsidRDefault="00BE3833" w:rsidP="00EB03FC">
            <w:pPr>
              <w:jc w:val="center"/>
              <w:rPr>
                <w:rFonts w:asciiTheme="minorHAnsi" w:hAnsiTheme="minorHAnsi" w:cstheme="minorHAnsi"/>
                <w:sz w:val="20"/>
                <w:szCs w:val="20"/>
              </w:rPr>
            </w:pPr>
          </w:p>
          <w:p w:rsidR="007605EA" w:rsidRPr="00A21238" w:rsidRDefault="007605EA" w:rsidP="00EB03FC">
            <w:pPr>
              <w:jc w:val="center"/>
              <w:rPr>
                <w:rFonts w:asciiTheme="minorHAnsi" w:hAnsiTheme="minorHAnsi" w:cstheme="minorHAnsi"/>
                <w:sz w:val="20"/>
                <w:szCs w:val="20"/>
              </w:rPr>
            </w:pPr>
          </w:p>
          <w:p w:rsidR="00BE3833" w:rsidRPr="00A21238" w:rsidRDefault="007605EA" w:rsidP="00EB03FC">
            <w:pPr>
              <w:jc w:val="center"/>
              <w:rPr>
                <w:rFonts w:asciiTheme="minorHAnsi" w:hAnsiTheme="minorHAnsi" w:cstheme="minorHAnsi"/>
                <w:sz w:val="20"/>
                <w:szCs w:val="20"/>
              </w:rPr>
            </w:pPr>
            <w:r w:rsidRPr="00A21238">
              <w:rPr>
                <w:rFonts w:asciiTheme="minorHAnsi" w:hAnsiTheme="minorHAnsi" w:cstheme="minorHAnsi"/>
                <w:sz w:val="20"/>
                <w:szCs w:val="20"/>
              </w:rPr>
              <w:t>2%</w:t>
            </w:r>
          </w:p>
        </w:tc>
        <w:tc>
          <w:tcPr>
            <w:tcW w:w="1450" w:type="dxa"/>
            <w:vAlign w:val="bottom"/>
          </w:tcPr>
          <w:p w:rsidR="007605EA" w:rsidRPr="00A21238" w:rsidRDefault="007605EA" w:rsidP="00EB03FC">
            <w:pPr>
              <w:jc w:val="center"/>
              <w:rPr>
                <w:rFonts w:asciiTheme="minorHAnsi" w:hAnsiTheme="minorHAnsi" w:cstheme="minorHAnsi"/>
                <w:sz w:val="20"/>
                <w:szCs w:val="20"/>
              </w:rPr>
            </w:pPr>
          </w:p>
          <w:p w:rsidR="007605EA" w:rsidRPr="00A21238" w:rsidRDefault="007605EA" w:rsidP="00EB03FC">
            <w:pPr>
              <w:jc w:val="center"/>
              <w:rPr>
                <w:rFonts w:asciiTheme="minorHAnsi" w:hAnsiTheme="minorHAnsi" w:cstheme="minorHAnsi"/>
                <w:sz w:val="20"/>
                <w:szCs w:val="20"/>
              </w:rPr>
            </w:pPr>
          </w:p>
          <w:p w:rsidR="00BE3833" w:rsidRPr="00A21238" w:rsidRDefault="007605EA" w:rsidP="00EB03FC">
            <w:pPr>
              <w:jc w:val="center"/>
              <w:rPr>
                <w:rFonts w:asciiTheme="minorHAnsi" w:hAnsiTheme="minorHAnsi" w:cstheme="minorHAnsi"/>
                <w:sz w:val="20"/>
                <w:szCs w:val="20"/>
              </w:rPr>
            </w:pPr>
            <w:r w:rsidRPr="00A21238">
              <w:rPr>
                <w:rFonts w:asciiTheme="minorHAnsi" w:hAnsiTheme="minorHAnsi" w:cstheme="minorHAnsi"/>
                <w:sz w:val="20"/>
                <w:szCs w:val="20"/>
              </w:rPr>
              <w:t>1%</w:t>
            </w:r>
          </w:p>
        </w:tc>
        <w:tc>
          <w:tcPr>
            <w:tcW w:w="800" w:type="dxa"/>
            <w:vAlign w:val="bottom"/>
          </w:tcPr>
          <w:p w:rsidR="00BE3833" w:rsidRPr="00A21238" w:rsidRDefault="00BE3833" w:rsidP="00EB03FC">
            <w:pPr>
              <w:jc w:val="center"/>
              <w:rPr>
                <w:rFonts w:asciiTheme="minorHAnsi" w:hAnsiTheme="minorHAnsi" w:cstheme="minorHAnsi"/>
                <w:sz w:val="20"/>
                <w:szCs w:val="20"/>
              </w:rPr>
            </w:pPr>
          </w:p>
          <w:p w:rsidR="007605EA" w:rsidRPr="00A21238" w:rsidRDefault="007605EA" w:rsidP="00EB03FC">
            <w:pPr>
              <w:jc w:val="center"/>
              <w:rPr>
                <w:rFonts w:asciiTheme="minorHAnsi" w:hAnsiTheme="minorHAnsi" w:cstheme="minorHAnsi"/>
                <w:sz w:val="20"/>
                <w:szCs w:val="20"/>
              </w:rPr>
            </w:pPr>
          </w:p>
          <w:p w:rsidR="00BE3833" w:rsidRPr="00A21238" w:rsidRDefault="007605EA" w:rsidP="00EB03FC">
            <w:pPr>
              <w:jc w:val="center"/>
              <w:rPr>
                <w:rFonts w:asciiTheme="minorHAnsi" w:hAnsiTheme="minorHAnsi" w:cstheme="minorHAnsi"/>
                <w:sz w:val="20"/>
                <w:szCs w:val="20"/>
              </w:rPr>
            </w:pPr>
            <w:r w:rsidRPr="00A21238">
              <w:rPr>
                <w:rFonts w:asciiTheme="minorHAnsi" w:hAnsiTheme="minorHAnsi" w:cstheme="minorHAnsi"/>
                <w:sz w:val="20"/>
                <w:szCs w:val="20"/>
              </w:rPr>
              <w:t>1(176)</w:t>
            </w:r>
          </w:p>
        </w:tc>
        <w:tc>
          <w:tcPr>
            <w:tcW w:w="1620" w:type="dxa"/>
            <w:vAlign w:val="bottom"/>
          </w:tcPr>
          <w:p w:rsidR="007605EA" w:rsidRPr="00A21238" w:rsidRDefault="007605EA" w:rsidP="00EB03FC">
            <w:pPr>
              <w:jc w:val="center"/>
              <w:rPr>
                <w:rFonts w:asciiTheme="minorHAnsi" w:hAnsiTheme="minorHAnsi" w:cstheme="minorHAnsi"/>
                <w:sz w:val="20"/>
                <w:szCs w:val="20"/>
              </w:rPr>
            </w:pPr>
          </w:p>
          <w:p w:rsidR="007605EA" w:rsidRPr="00A21238" w:rsidRDefault="007605EA" w:rsidP="00EB03FC">
            <w:pPr>
              <w:jc w:val="center"/>
              <w:rPr>
                <w:rFonts w:asciiTheme="minorHAnsi" w:hAnsiTheme="minorHAnsi" w:cstheme="minorHAnsi"/>
                <w:sz w:val="20"/>
                <w:szCs w:val="20"/>
              </w:rPr>
            </w:pPr>
          </w:p>
          <w:p w:rsidR="00BE3833" w:rsidRPr="00A21238" w:rsidRDefault="007605EA" w:rsidP="00EB03FC">
            <w:pPr>
              <w:jc w:val="center"/>
              <w:rPr>
                <w:rFonts w:asciiTheme="minorHAnsi" w:hAnsiTheme="minorHAnsi" w:cstheme="minorHAnsi"/>
                <w:sz w:val="20"/>
                <w:szCs w:val="20"/>
              </w:rPr>
            </w:pPr>
            <w:r w:rsidRPr="00A21238">
              <w:rPr>
                <w:rFonts w:asciiTheme="minorHAnsi" w:hAnsiTheme="minorHAnsi" w:cstheme="minorHAnsi"/>
                <w:sz w:val="20"/>
                <w:szCs w:val="20"/>
              </w:rPr>
              <w:t>1.87[0.17, 20.23]</w:t>
            </w:r>
          </w:p>
        </w:tc>
        <w:tc>
          <w:tcPr>
            <w:tcW w:w="1080" w:type="dxa"/>
            <w:vAlign w:val="bottom"/>
          </w:tcPr>
          <w:p w:rsidR="007605EA" w:rsidRPr="00A21238" w:rsidRDefault="007605EA" w:rsidP="00EB03FC">
            <w:pPr>
              <w:jc w:val="center"/>
              <w:rPr>
                <w:rFonts w:asciiTheme="minorHAnsi" w:hAnsiTheme="minorHAnsi" w:cstheme="minorHAnsi"/>
                <w:sz w:val="20"/>
                <w:szCs w:val="20"/>
              </w:rPr>
            </w:pPr>
          </w:p>
          <w:p w:rsidR="007605EA" w:rsidRPr="00A21238" w:rsidRDefault="007605EA" w:rsidP="00EB03FC">
            <w:pPr>
              <w:jc w:val="center"/>
              <w:rPr>
                <w:rFonts w:asciiTheme="minorHAnsi" w:hAnsiTheme="minorHAnsi" w:cstheme="minorHAnsi"/>
                <w:sz w:val="20"/>
                <w:szCs w:val="20"/>
              </w:rPr>
            </w:pPr>
          </w:p>
          <w:p w:rsidR="00BE3833" w:rsidRPr="00A21238" w:rsidRDefault="000824F7" w:rsidP="00EB03FC">
            <w:pPr>
              <w:jc w:val="center"/>
              <w:rPr>
                <w:rFonts w:asciiTheme="minorHAnsi" w:hAnsiTheme="minorHAnsi" w:cstheme="minorHAnsi"/>
                <w:sz w:val="20"/>
                <w:szCs w:val="20"/>
              </w:rPr>
            </w:pPr>
            <w:r w:rsidRPr="00A21238">
              <w:rPr>
                <w:rFonts w:asciiTheme="minorHAnsi" w:hAnsiTheme="minorHAnsi" w:cstheme="minorHAnsi"/>
                <w:i/>
                <w:sz w:val="20"/>
                <w:szCs w:val="20"/>
              </w:rPr>
              <w:t>P</w:t>
            </w:r>
            <w:r w:rsidR="007605EA" w:rsidRPr="00A21238">
              <w:rPr>
                <w:rFonts w:asciiTheme="minorHAnsi" w:hAnsiTheme="minorHAnsi" w:cstheme="minorHAnsi"/>
                <w:sz w:val="20"/>
                <w:szCs w:val="20"/>
              </w:rPr>
              <w:t>=.61</w:t>
            </w:r>
          </w:p>
        </w:tc>
      </w:tr>
      <w:tr w:rsidR="007605EA" w:rsidRPr="00A21238" w:rsidTr="00EB03FC">
        <w:tc>
          <w:tcPr>
            <w:tcW w:w="3618" w:type="dxa"/>
          </w:tcPr>
          <w:p w:rsidR="00BE3833" w:rsidRPr="00A21238" w:rsidRDefault="007605EA" w:rsidP="00962B84">
            <w:pPr>
              <w:rPr>
                <w:rFonts w:asciiTheme="minorHAnsi" w:hAnsiTheme="minorHAnsi" w:cstheme="minorHAnsi"/>
                <w:sz w:val="20"/>
                <w:szCs w:val="20"/>
              </w:rPr>
            </w:pPr>
            <w:r w:rsidRPr="00A21238">
              <w:rPr>
                <w:rFonts w:asciiTheme="minorHAnsi" w:hAnsiTheme="minorHAnsi" w:cstheme="minorHAnsi"/>
                <w:sz w:val="20"/>
                <w:szCs w:val="20"/>
              </w:rPr>
              <w:t xml:space="preserve">Overall </w:t>
            </w:r>
            <w:r w:rsidR="00BE3833" w:rsidRPr="00A21238">
              <w:rPr>
                <w:rFonts w:asciiTheme="minorHAnsi" w:hAnsiTheme="minorHAnsi" w:cstheme="minorHAnsi"/>
                <w:sz w:val="20"/>
                <w:szCs w:val="20"/>
              </w:rPr>
              <w:t xml:space="preserve">Survival (%) </w:t>
            </w:r>
          </w:p>
          <w:p w:rsidR="007605EA" w:rsidRPr="00A21238" w:rsidRDefault="007605EA" w:rsidP="00DA7A37">
            <w:pPr>
              <w:pStyle w:val="ListParagraph"/>
              <w:numPr>
                <w:ilvl w:val="0"/>
                <w:numId w:val="8"/>
              </w:numPr>
              <w:contextualSpacing/>
              <w:rPr>
                <w:rFonts w:asciiTheme="minorHAnsi" w:hAnsiTheme="minorHAnsi" w:cstheme="minorHAnsi"/>
                <w:sz w:val="20"/>
                <w:szCs w:val="20"/>
              </w:rPr>
            </w:pPr>
            <w:r w:rsidRPr="00A21238">
              <w:rPr>
                <w:rFonts w:asciiTheme="minorHAnsi" w:hAnsiTheme="minorHAnsi" w:cstheme="minorHAnsi"/>
                <w:sz w:val="20"/>
                <w:szCs w:val="20"/>
              </w:rPr>
              <w:t>1 year</w:t>
            </w:r>
            <w:r w:rsidR="0002496E" w:rsidRPr="0002496E">
              <w:rPr>
                <w:rFonts w:asciiTheme="minorHAnsi" w:hAnsiTheme="minorHAnsi" w:cstheme="minorHAnsi"/>
                <w:noProof/>
                <w:sz w:val="20"/>
                <w:szCs w:val="20"/>
                <w:vertAlign w:val="superscript"/>
              </w:rPr>
              <w:t>93</w:t>
            </w:r>
          </w:p>
          <w:p w:rsidR="00BE3833" w:rsidRPr="00A21238" w:rsidRDefault="00BE3833" w:rsidP="0002496E">
            <w:pPr>
              <w:pStyle w:val="ListParagraph"/>
              <w:numPr>
                <w:ilvl w:val="0"/>
                <w:numId w:val="8"/>
              </w:numPr>
              <w:contextualSpacing/>
              <w:rPr>
                <w:rFonts w:asciiTheme="minorHAnsi" w:hAnsiTheme="minorHAnsi" w:cstheme="minorHAnsi"/>
                <w:sz w:val="20"/>
                <w:szCs w:val="20"/>
              </w:rPr>
            </w:pPr>
            <w:r w:rsidRPr="00A21238">
              <w:rPr>
                <w:rFonts w:asciiTheme="minorHAnsi" w:hAnsiTheme="minorHAnsi" w:cstheme="minorHAnsi"/>
                <w:sz w:val="20"/>
                <w:szCs w:val="20"/>
              </w:rPr>
              <w:t>2</w:t>
            </w:r>
            <w:r w:rsidR="009B5AB3" w:rsidRPr="00A21238">
              <w:rPr>
                <w:rFonts w:asciiTheme="minorHAnsi" w:hAnsiTheme="minorHAnsi" w:cstheme="minorHAnsi"/>
                <w:sz w:val="20"/>
                <w:szCs w:val="20"/>
              </w:rPr>
              <w:t xml:space="preserve"> years</w:t>
            </w:r>
            <w:r w:rsidR="0002496E" w:rsidRPr="0002496E">
              <w:rPr>
                <w:rFonts w:asciiTheme="minorHAnsi" w:hAnsiTheme="minorHAnsi" w:cstheme="minorHAnsi"/>
                <w:noProof/>
                <w:sz w:val="20"/>
                <w:szCs w:val="20"/>
                <w:vertAlign w:val="superscript"/>
              </w:rPr>
              <w:t>93</w:t>
            </w:r>
          </w:p>
        </w:tc>
        <w:tc>
          <w:tcPr>
            <w:tcW w:w="1080" w:type="dxa"/>
            <w:vAlign w:val="bottom"/>
          </w:tcPr>
          <w:p w:rsidR="00BE3833" w:rsidRPr="00A21238" w:rsidRDefault="00BE3833" w:rsidP="00EB03FC">
            <w:pPr>
              <w:jc w:val="center"/>
              <w:rPr>
                <w:rFonts w:asciiTheme="minorHAnsi" w:hAnsiTheme="minorHAnsi" w:cstheme="minorHAnsi"/>
                <w:sz w:val="20"/>
                <w:szCs w:val="20"/>
              </w:rPr>
            </w:pPr>
          </w:p>
          <w:p w:rsidR="00BE3833" w:rsidRPr="00A21238" w:rsidRDefault="007605EA" w:rsidP="00EB03FC">
            <w:pPr>
              <w:jc w:val="center"/>
              <w:rPr>
                <w:rFonts w:asciiTheme="minorHAnsi" w:hAnsiTheme="minorHAnsi" w:cstheme="minorHAnsi"/>
                <w:sz w:val="20"/>
                <w:szCs w:val="20"/>
              </w:rPr>
            </w:pPr>
            <w:r w:rsidRPr="00A21238">
              <w:rPr>
                <w:rFonts w:asciiTheme="minorHAnsi" w:hAnsiTheme="minorHAnsi" w:cstheme="minorHAnsi"/>
                <w:sz w:val="20"/>
                <w:szCs w:val="20"/>
              </w:rPr>
              <w:t>44%</w:t>
            </w:r>
          </w:p>
          <w:p w:rsidR="00BE3833" w:rsidRPr="00A21238" w:rsidRDefault="007605EA" w:rsidP="00EB03FC">
            <w:pPr>
              <w:jc w:val="center"/>
              <w:rPr>
                <w:rFonts w:asciiTheme="minorHAnsi" w:hAnsiTheme="minorHAnsi" w:cstheme="minorHAnsi"/>
                <w:sz w:val="20"/>
                <w:szCs w:val="20"/>
              </w:rPr>
            </w:pPr>
            <w:r w:rsidRPr="00A21238">
              <w:rPr>
                <w:rFonts w:asciiTheme="minorHAnsi" w:hAnsiTheme="minorHAnsi" w:cstheme="minorHAnsi"/>
                <w:sz w:val="20"/>
                <w:szCs w:val="20"/>
              </w:rPr>
              <w:t>21%</w:t>
            </w:r>
          </w:p>
        </w:tc>
        <w:tc>
          <w:tcPr>
            <w:tcW w:w="1450" w:type="dxa"/>
            <w:vAlign w:val="bottom"/>
          </w:tcPr>
          <w:p w:rsidR="00BE3833" w:rsidRPr="00A21238" w:rsidRDefault="00BE3833" w:rsidP="00EB03FC">
            <w:pPr>
              <w:jc w:val="center"/>
              <w:rPr>
                <w:rFonts w:asciiTheme="minorHAnsi" w:hAnsiTheme="minorHAnsi" w:cstheme="minorHAnsi"/>
                <w:sz w:val="20"/>
                <w:szCs w:val="20"/>
              </w:rPr>
            </w:pPr>
          </w:p>
          <w:p w:rsidR="007605EA" w:rsidRPr="00A21238" w:rsidRDefault="007605EA" w:rsidP="00EB03FC">
            <w:pPr>
              <w:jc w:val="center"/>
              <w:rPr>
                <w:rFonts w:asciiTheme="minorHAnsi" w:hAnsiTheme="minorHAnsi" w:cstheme="minorHAnsi"/>
                <w:sz w:val="20"/>
                <w:szCs w:val="20"/>
              </w:rPr>
            </w:pPr>
            <w:r w:rsidRPr="00A21238">
              <w:rPr>
                <w:rFonts w:asciiTheme="minorHAnsi" w:hAnsiTheme="minorHAnsi" w:cstheme="minorHAnsi"/>
                <w:sz w:val="20"/>
                <w:szCs w:val="20"/>
              </w:rPr>
              <w:t>52%</w:t>
            </w:r>
          </w:p>
          <w:p w:rsidR="007605EA" w:rsidRPr="00A21238" w:rsidRDefault="007605EA" w:rsidP="00EB03FC">
            <w:pPr>
              <w:jc w:val="center"/>
              <w:rPr>
                <w:rFonts w:asciiTheme="minorHAnsi" w:hAnsiTheme="minorHAnsi" w:cstheme="minorHAnsi"/>
                <w:sz w:val="20"/>
                <w:szCs w:val="20"/>
              </w:rPr>
            </w:pPr>
            <w:r w:rsidRPr="00A21238">
              <w:rPr>
                <w:rFonts w:asciiTheme="minorHAnsi" w:hAnsiTheme="minorHAnsi" w:cstheme="minorHAnsi"/>
                <w:sz w:val="20"/>
                <w:szCs w:val="20"/>
              </w:rPr>
              <w:t>22%</w:t>
            </w:r>
          </w:p>
        </w:tc>
        <w:tc>
          <w:tcPr>
            <w:tcW w:w="800" w:type="dxa"/>
            <w:vAlign w:val="bottom"/>
          </w:tcPr>
          <w:p w:rsidR="00BE3833" w:rsidRPr="00A21238" w:rsidRDefault="00BE3833" w:rsidP="00EB03FC">
            <w:pPr>
              <w:jc w:val="center"/>
              <w:rPr>
                <w:rFonts w:asciiTheme="minorHAnsi" w:hAnsiTheme="minorHAnsi" w:cstheme="minorHAnsi"/>
                <w:sz w:val="20"/>
                <w:szCs w:val="20"/>
              </w:rPr>
            </w:pPr>
          </w:p>
          <w:p w:rsidR="007605EA" w:rsidRPr="00A21238" w:rsidRDefault="007605EA" w:rsidP="00EB03FC">
            <w:pPr>
              <w:jc w:val="center"/>
              <w:rPr>
                <w:rFonts w:asciiTheme="minorHAnsi" w:hAnsiTheme="minorHAnsi" w:cstheme="minorHAnsi"/>
                <w:sz w:val="20"/>
                <w:szCs w:val="20"/>
              </w:rPr>
            </w:pPr>
            <w:r w:rsidRPr="00A21238">
              <w:rPr>
                <w:rFonts w:asciiTheme="minorHAnsi" w:hAnsiTheme="minorHAnsi" w:cstheme="minorHAnsi"/>
                <w:sz w:val="20"/>
                <w:szCs w:val="20"/>
              </w:rPr>
              <w:t>1(176)</w:t>
            </w:r>
          </w:p>
          <w:p w:rsidR="007605EA" w:rsidRPr="00A21238" w:rsidRDefault="007605EA" w:rsidP="00EB03FC">
            <w:pPr>
              <w:jc w:val="center"/>
              <w:rPr>
                <w:rFonts w:asciiTheme="minorHAnsi" w:hAnsiTheme="minorHAnsi" w:cstheme="minorHAnsi"/>
                <w:sz w:val="20"/>
                <w:szCs w:val="20"/>
              </w:rPr>
            </w:pPr>
            <w:r w:rsidRPr="00A21238">
              <w:rPr>
                <w:rFonts w:asciiTheme="minorHAnsi" w:hAnsiTheme="minorHAnsi" w:cstheme="minorHAnsi"/>
                <w:sz w:val="20"/>
                <w:szCs w:val="20"/>
              </w:rPr>
              <w:t>1(176)</w:t>
            </w:r>
          </w:p>
        </w:tc>
        <w:tc>
          <w:tcPr>
            <w:tcW w:w="1620" w:type="dxa"/>
            <w:vAlign w:val="bottom"/>
          </w:tcPr>
          <w:p w:rsidR="00BE3833" w:rsidRPr="00A21238" w:rsidRDefault="00BE3833" w:rsidP="00EB03FC">
            <w:pPr>
              <w:jc w:val="center"/>
              <w:rPr>
                <w:rFonts w:asciiTheme="minorHAnsi" w:hAnsiTheme="minorHAnsi" w:cstheme="minorHAnsi"/>
                <w:sz w:val="20"/>
                <w:szCs w:val="20"/>
              </w:rPr>
            </w:pPr>
          </w:p>
          <w:p w:rsidR="007605EA" w:rsidRPr="00A21238" w:rsidRDefault="007605EA" w:rsidP="00EB03FC">
            <w:pPr>
              <w:jc w:val="center"/>
              <w:rPr>
                <w:rFonts w:asciiTheme="minorHAnsi" w:hAnsiTheme="minorHAnsi" w:cstheme="minorHAnsi"/>
                <w:sz w:val="20"/>
                <w:szCs w:val="20"/>
              </w:rPr>
            </w:pPr>
            <w:r w:rsidRPr="00A21238">
              <w:rPr>
                <w:rFonts w:asciiTheme="minorHAnsi" w:hAnsiTheme="minorHAnsi" w:cstheme="minorHAnsi"/>
                <w:sz w:val="20"/>
                <w:szCs w:val="20"/>
              </w:rPr>
              <w:t>0.85 [0.62, 1.16]</w:t>
            </w:r>
          </w:p>
          <w:p w:rsidR="007605EA" w:rsidRPr="00A21238" w:rsidRDefault="007605EA" w:rsidP="00EB03FC">
            <w:pPr>
              <w:jc w:val="center"/>
              <w:rPr>
                <w:rFonts w:asciiTheme="minorHAnsi" w:hAnsiTheme="minorHAnsi" w:cstheme="minorHAnsi"/>
                <w:sz w:val="20"/>
                <w:szCs w:val="20"/>
              </w:rPr>
            </w:pPr>
            <w:r w:rsidRPr="00A21238">
              <w:rPr>
                <w:rFonts w:asciiTheme="minorHAnsi" w:hAnsiTheme="minorHAnsi" w:cstheme="minorHAnsi"/>
                <w:sz w:val="20"/>
                <w:szCs w:val="20"/>
              </w:rPr>
              <w:t>0.93 [0.53, 1.64]</w:t>
            </w:r>
          </w:p>
        </w:tc>
        <w:tc>
          <w:tcPr>
            <w:tcW w:w="1080" w:type="dxa"/>
            <w:vAlign w:val="bottom"/>
          </w:tcPr>
          <w:p w:rsidR="00BE3833" w:rsidRPr="00A21238" w:rsidRDefault="00BE3833" w:rsidP="00EB03FC">
            <w:pPr>
              <w:jc w:val="center"/>
              <w:rPr>
                <w:rFonts w:asciiTheme="minorHAnsi" w:hAnsiTheme="minorHAnsi" w:cstheme="minorHAnsi"/>
                <w:sz w:val="20"/>
                <w:szCs w:val="20"/>
              </w:rPr>
            </w:pPr>
          </w:p>
          <w:p w:rsidR="00BE3833" w:rsidRPr="00A21238" w:rsidRDefault="000824F7" w:rsidP="00EB03FC">
            <w:pPr>
              <w:jc w:val="center"/>
              <w:rPr>
                <w:rFonts w:asciiTheme="minorHAnsi" w:hAnsiTheme="minorHAnsi" w:cstheme="minorHAnsi"/>
                <w:sz w:val="20"/>
                <w:szCs w:val="20"/>
              </w:rPr>
            </w:pPr>
            <w:r w:rsidRPr="00A21238">
              <w:rPr>
                <w:rFonts w:asciiTheme="minorHAnsi" w:hAnsiTheme="minorHAnsi" w:cstheme="minorHAnsi"/>
                <w:i/>
                <w:sz w:val="20"/>
                <w:szCs w:val="20"/>
              </w:rPr>
              <w:t>P</w:t>
            </w:r>
            <w:r w:rsidR="007605EA" w:rsidRPr="00A21238">
              <w:rPr>
                <w:rFonts w:asciiTheme="minorHAnsi" w:hAnsiTheme="minorHAnsi" w:cstheme="minorHAnsi"/>
                <w:sz w:val="20"/>
                <w:szCs w:val="20"/>
              </w:rPr>
              <w:t>=.30</w:t>
            </w:r>
          </w:p>
          <w:p w:rsidR="007605EA" w:rsidRPr="00A21238" w:rsidRDefault="000824F7" w:rsidP="00EB03FC">
            <w:pPr>
              <w:jc w:val="center"/>
              <w:rPr>
                <w:rFonts w:asciiTheme="minorHAnsi" w:hAnsiTheme="minorHAnsi" w:cstheme="minorHAnsi"/>
                <w:sz w:val="20"/>
                <w:szCs w:val="20"/>
              </w:rPr>
            </w:pPr>
            <w:r w:rsidRPr="00A21238">
              <w:rPr>
                <w:rFonts w:asciiTheme="minorHAnsi" w:hAnsiTheme="minorHAnsi" w:cstheme="minorHAnsi"/>
                <w:i/>
                <w:sz w:val="20"/>
                <w:szCs w:val="20"/>
              </w:rPr>
              <w:t>P</w:t>
            </w:r>
            <w:r w:rsidR="007605EA" w:rsidRPr="00A21238">
              <w:rPr>
                <w:rFonts w:asciiTheme="minorHAnsi" w:hAnsiTheme="minorHAnsi" w:cstheme="minorHAnsi"/>
                <w:sz w:val="20"/>
                <w:szCs w:val="20"/>
              </w:rPr>
              <w:t>=.81</w:t>
            </w:r>
          </w:p>
        </w:tc>
      </w:tr>
    </w:tbl>
    <w:p w:rsidR="00BE3833" w:rsidRPr="00A21238" w:rsidRDefault="00BE3833" w:rsidP="00BE38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1080"/>
        <w:gridCol w:w="1450"/>
        <w:gridCol w:w="800"/>
        <w:gridCol w:w="1710"/>
        <w:gridCol w:w="918"/>
      </w:tblGrid>
      <w:tr w:rsidR="006C1708" w:rsidRPr="00A21238" w:rsidTr="00EB03FC">
        <w:tc>
          <w:tcPr>
            <w:tcW w:w="3618" w:type="dxa"/>
            <w:vMerge w:val="restart"/>
            <w:vAlign w:val="bottom"/>
          </w:tcPr>
          <w:p w:rsidR="007605EA" w:rsidRPr="00A21238" w:rsidRDefault="007605EA" w:rsidP="00EB03FC">
            <w:pPr>
              <w:rPr>
                <w:rFonts w:asciiTheme="minorHAnsi" w:hAnsiTheme="minorHAnsi" w:cs="Arial"/>
                <w:b/>
                <w:sz w:val="20"/>
                <w:szCs w:val="20"/>
              </w:rPr>
            </w:pPr>
            <w:r w:rsidRPr="00A21238">
              <w:rPr>
                <w:rFonts w:asciiTheme="minorHAnsi" w:hAnsiTheme="minorHAnsi" w:cs="Arial"/>
                <w:b/>
                <w:sz w:val="20"/>
                <w:szCs w:val="20"/>
              </w:rPr>
              <w:t>Outcome</w:t>
            </w:r>
          </w:p>
        </w:tc>
        <w:tc>
          <w:tcPr>
            <w:tcW w:w="2530" w:type="dxa"/>
            <w:gridSpan w:val="2"/>
            <w:vAlign w:val="bottom"/>
          </w:tcPr>
          <w:p w:rsidR="007605EA" w:rsidRPr="00A21238" w:rsidRDefault="007605EA" w:rsidP="00EB03FC">
            <w:pPr>
              <w:jc w:val="center"/>
              <w:rPr>
                <w:rFonts w:asciiTheme="minorHAnsi" w:hAnsiTheme="minorHAnsi" w:cs="Arial"/>
                <w:b/>
                <w:sz w:val="20"/>
                <w:szCs w:val="20"/>
              </w:rPr>
            </w:pPr>
            <w:r w:rsidRPr="00A21238">
              <w:rPr>
                <w:rFonts w:asciiTheme="minorHAnsi" w:hAnsiTheme="minorHAnsi" w:cs="Arial"/>
                <w:b/>
                <w:sz w:val="20"/>
                <w:szCs w:val="20"/>
              </w:rPr>
              <w:t>Mean ± SD</w:t>
            </w:r>
          </w:p>
        </w:tc>
        <w:tc>
          <w:tcPr>
            <w:tcW w:w="800" w:type="dxa"/>
            <w:vMerge w:val="restart"/>
            <w:vAlign w:val="bottom"/>
          </w:tcPr>
          <w:p w:rsidR="007605EA" w:rsidRPr="00A21238" w:rsidRDefault="007605EA" w:rsidP="00EB03FC">
            <w:pPr>
              <w:jc w:val="center"/>
              <w:rPr>
                <w:rFonts w:asciiTheme="minorHAnsi" w:hAnsiTheme="minorHAnsi" w:cs="Arial"/>
                <w:b/>
                <w:sz w:val="20"/>
                <w:szCs w:val="20"/>
              </w:rPr>
            </w:pPr>
            <w:r w:rsidRPr="00A21238">
              <w:rPr>
                <w:rFonts w:asciiTheme="minorHAnsi" w:hAnsiTheme="minorHAnsi" w:cs="Arial"/>
                <w:b/>
                <w:sz w:val="20"/>
                <w:szCs w:val="20"/>
              </w:rPr>
              <w:t>n (N)</w:t>
            </w:r>
          </w:p>
        </w:tc>
        <w:tc>
          <w:tcPr>
            <w:tcW w:w="1710" w:type="dxa"/>
            <w:vMerge w:val="restart"/>
            <w:vAlign w:val="bottom"/>
          </w:tcPr>
          <w:p w:rsidR="007605EA" w:rsidRPr="00A21238" w:rsidRDefault="007605EA" w:rsidP="00EB03FC">
            <w:pPr>
              <w:jc w:val="center"/>
              <w:rPr>
                <w:rFonts w:asciiTheme="minorHAnsi" w:hAnsiTheme="minorHAnsi" w:cs="Arial"/>
                <w:b/>
                <w:sz w:val="20"/>
                <w:szCs w:val="20"/>
                <w:lang w:val="fr-CA"/>
              </w:rPr>
            </w:pPr>
            <w:r w:rsidRPr="00A21238">
              <w:rPr>
                <w:rFonts w:asciiTheme="minorHAnsi" w:hAnsiTheme="minorHAnsi" w:cs="Arial"/>
                <w:b/>
                <w:sz w:val="20"/>
                <w:szCs w:val="20"/>
                <w:lang w:val="fr-CA"/>
              </w:rPr>
              <w:t>RR [95% CI] or</w:t>
            </w:r>
          </w:p>
          <w:p w:rsidR="007605EA" w:rsidRPr="00A21238" w:rsidRDefault="007605EA" w:rsidP="00EB03FC">
            <w:pPr>
              <w:jc w:val="center"/>
              <w:rPr>
                <w:rFonts w:asciiTheme="minorHAnsi" w:hAnsiTheme="minorHAnsi" w:cs="Arial"/>
                <w:b/>
                <w:sz w:val="20"/>
                <w:szCs w:val="20"/>
                <w:lang w:val="fr-CA"/>
              </w:rPr>
            </w:pPr>
            <w:r w:rsidRPr="00A21238">
              <w:rPr>
                <w:rFonts w:asciiTheme="minorHAnsi" w:hAnsiTheme="minorHAnsi" w:cs="Arial"/>
                <w:b/>
                <w:sz w:val="20"/>
                <w:szCs w:val="20"/>
                <w:lang w:val="fr-CA"/>
              </w:rPr>
              <w:t>WMD [95% CI]</w:t>
            </w:r>
          </w:p>
        </w:tc>
        <w:tc>
          <w:tcPr>
            <w:tcW w:w="918" w:type="dxa"/>
            <w:vMerge w:val="restart"/>
            <w:vAlign w:val="bottom"/>
          </w:tcPr>
          <w:p w:rsidR="007605EA" w:rsidRPr="00A21238" w:rsidRDefault="000824F7" w:rsidP="00EB03FC">
            <w:pPr>
              <w:jc w:val="center"/>
              <w:rPr>
                <w:rFonts w:asciiTheme="minorHAnsi" w:hAnsiTheme="minorHAnsi" w:cs="Arial"/>
                <w:b/>
                <w:sz w:val="20"/>
                <w:szCs w:val="20"/>
              </w:rPr>
            </w:pPr>
            <w:r w:rsidRPr="00A21238">
              <w:rPr>
                <w:rFonts w:asciiTheme="minorHAnsi" w:hAnsiTheme="minorHAnsi" w:cs="Arial"/>
                <w:b/>
                <w:i/>
                <w:sz w:val="20"/>
                <w:szCs w:val="20"/>
              </w:rPr>
              <w:t>P</w:t>
            </w:r>
            <w:r w:rsidR="007605EA" w:rsidRPr="00A21238">
              <w:rPr>
                <w:rFonts w:asciiTheme="minorHAnsi" w:hAnsiTheme="minorHAnsi" w:cs="Arial"/>
                <w:b/>
                <w:sz w:val="20"/>
                <w:szCs w:val="20"/>
              </w:rPr>
              <w:t xml:space="preserve"> value</w:t>
            </w:r>
          </w:p>
        </w:tc>
      </w:tr>
      <w:tr w:rsidR="006C1708" w:rsidRPr="00A21238" w:rsidTr="00EB03FC">
        <w:trPr>
          <w:trHeight w:val="394"/>
        </w:trPr>
        <w:tc>
          <w:tcPr>
            <w:tcW w:w="3618" w:type="dxa"/>
            <w:vMerge/>
          </w:tcPr>
          <w:p w:rsidR="007605EA" w:rsidRPr="00A21238" w:rsidRDefault="007605EA" w:rsidP="007605EA">
            <w:pPr>
              <w:jc w:val="center"/>
              <w:rPr>
                <w:rFonts w:asciiTheme="minorHAnsi" w:hAnsiTheme="minorHAnsi" w:cs="Arial"/>
                <w:b/>
                <w:sz w:val="20"/>
                <w:szCs w:val="20"/>
              </w:rPr>
            </w:pPr>
          </w:p>
        </w:tc>
        <w:tc>
          <w:tcPr>
            <w:tcW w:w="1080" w:type="dxa"/>
          </w:tcPr>
          <w:p w:rsidR="007605EA" w:rsidRPr="00A21238" w:rsidRDefault="007605EA" w:rsidP="007605EA">
            <w:pPr>
              <w:jc w:val="center"/>
              <w:rPr>
                <w:rFonts w:asciiTheme="minorHAnsi" w:hAnsiTheme="minorHAnsi" w:cs="Arial"/>
                <w:b/>
                <w:sz w:val="20"/>
                <w:szCs w:val="20"/>
              </w:rPr>
            </w:pPr>
            <w:r w:rsidRPr="00A21238">
              <w:rPr>
                <w:rFonts w:asciiTheme="minorHAnsi" w:hAnsiTheme="minorHAnsi" w:cs="Arial"/>
                <w:b/>
                <w:sz w:val="20"/>
                <w:szCs w:val="20"/>
              </w:rPr>
              <w:t>TKI Therapy</w:t>
            </w:r>
          </w:p>
        </w:tc>
        <w:tc>
          <w:tcPr>
            <w:tcW w:w="1450" w:type="dxa"/>
            <w:vAlign w:val="bottom"/>
          </w:tcPr>
          <w:p w:rsidR="007605EA" w:rsidRPr="00A21238" w:rsidRDefault="007605EA" w:rsidP="00EB03FC">
            <w:pPr>
              <w:jc w:val="center"/>
              <w:rPr>
                <w:rFonts w:asciiTheme="minorHAnsi" w:hAnsiTheme="minorHAnsi" w:cs="Arial"/>
                <w:b/>
                <w:sz w:val="20"/>
                <w:szCs w:val="20"/>
              </w:rPr>
            </w:pPr>
            <w:r w:rsidRPr="00A21238">
              <w:rPr>
                <w:rFonts w:asciiTheme="minorHAnsi" w:hAnsiTheme="minorHAnsi" w:cs="Arial"/>
                <w:b/>
                <w:sz w:val="20"/>
                <w:szCs w:val="20"/>
              </w:rPr>
              <w:t>Chemotherapy</w:t>
            </w:r>
          </w:p>
        </w:tc>
        <w:tc>
          <w:tcPr>
            <w:tcW w:w="800" w:type="dxa"/>
            <w:vMerge/>
            <w:vAlign w:val="bottom"/>
          </w:tcPr>
          <w:p w:rsidR="007605EA" w:rsidRPr="00A21238" w:rsidRDefault="007605EA" w:rsidP="00EB03FC">
            <w:pPr>
              <w:jc w:val="center"/>
              <w:rPr>
                <w:rFonts w:asciiTheme="minorHAnsi" w:hAnsiTheme="minorHAnsi" w:cs="Arial"/>
                <w:b/>
                <w:sz w:val="20"/>
                <w:szCs w:val="20"/>
              </w:rPr>
            </w:pPr>
          </w:p>
        </w:tc>
        <w:tc>
          <w:tcPr>
            <w:tcW w:w="1710" w:type="dxa"/>
            <w:vMerge/>
            <w:vAlign w:val="bottom"/>
          </w:tcPr>
          <w:p w:rsidR="007605EA" w:rsidRPr="00A21238" w:rsidRDefault="007605EA" w:rsidP="00EB03FC">
            <w:pPr>
              <w:jc w:val="center"/>
              <w:rPr>
                <w:rFonts w:asciiTheme="minorHAnsi" w:hAnsiTheme="minorHAnsi" w:cs="Arial"/>
                <w:b/>
                <w:sz w:val="20"/>
                <w:szCs w:val="20"/>
              </w:rPr>
            </w:pPr>
          </w:p>
        </w:tc>
        <w:tc>
          <w:tcPr>
            <w:tcW w:w="918" w:type="dxa"/>
            <w:vMerge/>
            <w:vAlign w:val="bottom"/>
          </w:tcPr>
          <w:p w:rsidR="007605EA" w:rsidRPr="00A21238" w:rsidRDefault="007605EA" w:rsidP="00EB03FC">
            <w:pPr>
              <w:jc w:val="center"/>
              <w:rPr>
                <w:rFonts w:asciiTheme="minorHAnsi" w:hAnsiTheme="minorHAnsi" w:cs="Arial"/>
                <w:b/>
                <w:sz w:val="20"/>
                <w:szCs w:val="20"/>
              </w:rPr>
            </w:pPr>
          </w:p>
        </w:tc>
      </w:tr>
      <w:tr w:rsidR="006C1708" w:rsidRPr="00A21238" w:rsidTr="00EB03FC">
        <w:trPr>
          <w:trHeight w:val="414"/>
        </w:trPr>
        <w:tc>
          <w:tcPr>
            <w:tcW w:w="3618" w:type="dxa"/>
            <w:vAlign w:val="bottom"/>
          </w:tcPr>
          <w:p w:rsidR="007605EA" w:rsidRPr="00A21238" w:rsidRDefault="006C1708" w:rsidP="0002496E">
            <w:pPr>
              <w:rPr>
                <w:rFonts w:asciiTheme="minorHAnsi" w:hAnsiTheme="minorHAnsi" w:cs="Arial"/>
                <w:sz w:val="20"/>
                <w:szCs w:val="20"/>
              </w:rPr>
            </w:pPr>
            <w:r w:rsidRPr="00A21238">
              <w:rPr>
                <w:rFonts w:asciiTheme="minorHAnsi" w:hAnsiTheme="minorHAnsi"/>
                <w:sz w:val="20"/>
                <w:szCs w:val="20"/>
              </w:rPr>
              <w:t>Time to Progression/</w:t>
            </w:r>
            <w:r w:rsidR="007605EA" w:rsidRPr="00A21238">
              <w:rPr>
                <w:rFonts w:asciiTheme="minorHAnsi" w:hAnsiTheme="minorHAnsi"/>
                <w:sz w:val="20"/>
                <w:szCs w:val="20"/>
              </w:rPr>
              <w:t>P</w:t>
            </w:r>
            <w:r w:rsidRPr="00A21238">
              <w:rPr>
                <w:rFonts w:asciiTheme="minorHAnsi" w:hAnsiTheme="minorHAnsi"/>
                <w:sz w:val="20"/>
                <w:szCs w:val="20"/>
              </w:rPr>
              <w:t xml:space="preserve">rogression </w:t>
            </w:r>
            <w:r w:rsidR="007605EA" w:rsidRPr="00A21238">
              <w:rPr>
                <w:rFonts w:asciiTheme="minorHAnsi" w:hAnsiTheme="minorHAnsi"/>
                <w:sz w:val="20"/>
                <w:szCs w:val="20"/>
              </w:rPr>
              <w:t>F</w:t>
            </w:r>
            <w:r w:rsidRPr="00A21238">
              <w:rPr>
                <w:rFonts w:asciiTheme="minorHAnsi" w:hAnsiTheme="minorHAnsi"/>
                <w:sz w:val="20"/>
                <w:szCs w:val="20"/>
              </w:rPr>
              <w:t xml:space="preserve">ree </w:t>
            </w:r>
            <w:r w:rsidR="007605EA" w:rsidRPr="00A21238">
              <w:rPr>
                <w:rFonts w:asciiTheme="minorHAnsi" w:hAnsiTheme="minorHAnsi"/>
                <w:sz w:val="20"/>
                <w:szCs w:val="20"/>
              </w:rPr>
              <w:t>S</w:t>
            </w:r>
            <w:r w:rsidRPr="00A21238">
              <w:rPr>
                <w:rFonts w:asciiTheme="minorHAnsi" w:hAnsiTheme="minorHAnsi"/>
                <w:sz w:val="20"/>
                <w:szCs w:val="20"/>
              </w:rPr>
              <w:t>urvival</w:t>
            </w:r>
            <w:r w:rsidR="007605EA" w:rsidRPr="00A21238">
              <w:rPr>
                <w:rFonts w:asciiTheme="minorHAnsi" w:hAnsiTheme="minorHAnsi"/>
                <w:sz w:val="20"/>
                <w:szCs w:val="20"/>
              </w:rPr>
              <w:t xml:space="preserve"> (</w:t>
            </w:r>
            <w:r w:rsidRPr="00A21238">
              <w:rPr>
                <w:rFonts w:asciiTheme="minorHAnsi" w:hAnsiTheme="minorHAnsi"/>
                <w:sz w:val="20"/>
                <w:szCs w:val="20"/>
              </w:rPr>
              <w:t>m</w:t>
            </w:r>
            <w:r w:rsidR="007605EA" w:rsidRPr="00A21238">
              <w:rPr>
                <w:rFonts w:asciiTheme="minorHAnsi" w:hAnsiTheme="minorHAnsi"/>
                <w:sz w:val="20"/>
                <w:szCs w:val="20"/>
              </w:rPr>
              <w:t>onths)</w:t>
            </w:r>
            <w:r w:rsidR="0002496E" w:rsidRPr="0002496E">
              <w:rPr>
                <w:rFonts w:asciiTheme="minorHAnsi" w:hAnsiTheme="minorHAnsi"/>
                <w:noProof/>
                <w:sz w:val="20"/>
                <w:szCs w:val="20"/>
                <w:vertAlign w:val="superscript"/>
              </w:rPr>
              <w:t>75, 77, 93</w:t>
            </w:r>
          </w:p>
        </w:tc>
        <w:tc>
          <w:tcPr>
            <w:tcW w:w="1080" w:type="dxa"/>
            <w:vAlign w:val="bottom"/>
          </w:tcPr>
          <w:p w:rsidR="007605EA" w:rsidRPr="00A21238" w:rsidRDefault="007605EA" w:rsidP="00EB03FC">
            <w:pPr>
              <w:jc w:val="center"/>
              <w:rPr>
                <w:rFonts w:asciiTheme="minorHAnsi" w:hAnsiTheme="minorHAnsi" w:cs="Arial"/>
                <w:sz w:val="20"/>
                <w:szCs w:val="20"/>
              </w:rPr>
            </w:pPr>
          </w:p>
          <w:p w:rsidR="007605EA" w:rsidRPr="00A21238" w:rsidRDefault="006C1708" w:rsidP="00EB03FC">
            <w:pPr>
              <w:jc w:val="center"/>
              <w:rPr>
                <w:rFonts w:asciiTheme="minorHAnsi" w:hAnsiTheme="minorHAnsi" w:cs="Arial"/>
                <w:sz w:val="20"/>
                <w:szCs w:val="20"/>
              </w:rPr>
            </w:pPr>
            <w:r w:rsidRPr="00A21238">
              <w:rPr>
                <w:rFonts w:asciiTheme="minorHAnsi" w:hAnsiTheme="minorHAnsi"/>
                <w:sz w:val="20"/>
                <w:szCs w:val="20"/>
              </w:rPr>
              <w:t xml:space="preserve">1.8 </w:t>
            </w:r>
            <w:r w:rsidRPr="00A21238">
              <w:rPr>
                <w:rFonts w:asciiTheme="minorHAnsi" w:hAnsiTheme="minorHAnsi"/>
                <w:sz w:val="20"/>
                <w:szCs w:val="20"/>
                <w:u w:val="single"/>
              </w:rPr>
              <w:t>+</w:t>
            </w:r>
            <w:r w:rsidRPr="00A21238">
              <w:rPr>
                <w:rFonts w:asciiTheme="minorHAnsi" w:hAnsiTheme="minorHAnsi"/>
                <w:sz w:val="20"/>
                <w:szCs w:val="20"/>
              </w:rPr>
              <w:t xml:space="preserve"> 0.31</w:t>
            </w:r>
          </w:p>
        </w:tc>
        <w:tc>
          <w:tcPr>
            <w:tcW w:w="1450" w:type="dxa"/>
            <w:vAlign w:val="bottom"/>
          </w:tcPr>
          <w:p w:rsidR="007605EA" w:rsidRPr="00A21238" w:rsidRDefault="007605EA" w:rsidP="00EB03FC">
            <w:pPr>
              <w:jc w:val="center"/>
              <w:rPr>
                <w:rFonts w:asciiTheme="minorHAnsi" w:hAnsiTheme="minorHAnsi" w:cs="Arial"/>
                <w:sz w:val="20"/>
                <w:szCs w:val="20"/>
              </w:rPr>
            </w:pPr>
          </w:p>
          <w:p w:rsidR="007605EA" w:rsidRPr="00A21238" w:rsidRDefault="006C1708" w:rsidP="00EB03FC">
            <w:pPr>
              <w:jc w:val="center"/>
              <w:rPr>
                <w:rFonts w:asciiTheme="minorHAnsi" w:hAnsiTheme="minorHAnsi" w:cs="Arial"/>
                <w:sz w:val="20"/>
                <w:szCs w:val="20"/>
              </w:rPr>
            </w:pPr>
            <w:r w:rsidRPr="00A21238">
              <w:rPr>
                <w:rFonts w:asciiTheme="minorHAnsi" w:hAnsiTheme="minorHAnsi" w:cs="Arial"/>
                <w:sz w:val="20"/>
                <w:szCs w:val="20"/>
              </w:rPr>
              <w:t xml:space="preserve">4.8 </w:t>
            </w:r>
            <w:r w:rsidRPr="00A21238">
              <w:rPr>
                <w:rFonts w:asciiTheme="minorHAnsi" w:hAnsiTheme="minorHAnsi" w:cs="Arial"/>
                <w:sz w:val="20"/>
                <w:szCs w:val="20"/>
                <w:u w:val="single"/>
              </w:rPr>
              <w:t>+</w:t>
            </w:r>
            <w:r w:rsidRPr="00A21238">
              <w:rPr>
                <w:rFonts w:asciiTheme="minorHAnsi" w:hAnsiTheme="minorHAnsi" w:cs="Arial"/>
                <w:sz w:val="20"/>
                <w:szCs w:val="20"/>
              </w:rPr>
              <w:t xml:space="preserve"> 1.99</w:t>
            </w:r>
          </w:p>
        </w:tc>
        <w:tc>
          <w:tcPr>
            <w:tcW w:w="800" w:type="dxa"/>
            <w:vAlign w:val="bottom"/>
          </w:tcPr>
          <w:p w:rsidR="007605EA" w:rsidRPr="00A21238" w:rsidRDefault="007605EA" w:rsidP="00EB03FC">
            <w:pPr>
              <w:jc w:val="center"/>
              <w:rPr>
                <w:rFonts w:asciiTheme="minorHAnsi" w:hAnsiTheme="minorHAnsi" w:cs="Arial"/>
                <w:sz w:val="20"/>
                <w:szCs w:val="20"/>
              </w:rPr>
            </w:pPr>
          </w:p>
          <w:p w:rsidR="006C1708" w:rsidRPr="00A21238" w:rsidRDefault="006C1708" w:rsidP="00EB03FC">
            <w:pPr>
              <w:jc w:val="center"/>
              <w:rPr>
                <w:rFonts w:asciiTheme="minorHAnsi" w:hAnsiTheme="minorHAnsi" w:cs="Arial"/>
                <w:sz w:val="20"/>
                <w:szCs w:val="20"/>
              </w:rPr>
            </w:pPr>
            <w:r w:rsidRPr="00A21238">
              <w:rPr>
                <w:rFonts w:asciiTheme="minorHAnsi" w:hAnsiTheme="minorHAnsi" w:cs="Arial"/>
                <w:sz w:val="20"/>
                <w:szCs w:val="20"/>
              </w:rPr>
              <w:t>3(459)</w:t>
            </w:r>
          </w:p>
        </w:tc>
        <w:tc>
          <w:tcPr>
            <w:tcW w:w="1710" w:type="dxa"/>
            <w:vAlign w:val="bottom"/>
          </w:tcPr>
          <w:p w:rsidR="007605EA" w:rsidRPr="00A21238" w:rsidRDefault="007605EA" w:rsidP="00EB03FC">
            <w:pPr>
              <w:jc w:val="center"/>
              <w:rPr>
                <w:rFonts w:asciiTheme="minorHAnsi" w:hAnsiTheme="minorHAnsi" w:cs="Arial"/>
                <w:sz w:val="20"/>
                <w:szCs w:val="20"/>
              </w:rPr>
            </w:pPr>
          </w:p>
          <w:p w:rsidR="006C1708" w:rsidRPr="00A21238" w:rsidRDefault="006C1708" w:rsidP="00EB03FC">
            <w:pPr>
              <w:jc w:val="center"/>
              <w:rPr>
                <w:rFonts w:asciiTheme="minorHAnsi" w:hAnsiTheme="minorHAnsi"/>
                <w:sz w:val="20"/>
                <w:szCs w:val="20"/>
              </w:rPr>
            </w:pPr>
            <w:r w:rsidRPr="00A21238">
              <w:rPr>
                <w:rFonts w:asciiTheme="minorHAnsi" w:hAnsiTheme="minorHAnsi"/>
                <w:sz w:val="20"/>
                <w:szCs w:val="20"/>
              </w:rPr>
              <w:t>-3.05[-5.41, -0.70]</w:t>
            </w:r>
          </w:p>
        </w:tc>
        <w:tc>
          <w:tcPr>
            <w:tcW w:w="918" w:type="dxa"/>
            <w:vAlign w:val="bottom"/>
          </w:tcPr>
          <w:p w:rsidR="007605EA" w:rsidRPr="00A21238" w:rsidRDefault="000824F7" w:rsidP="00EB03FC">
            <w:pPr>
              <w:jc w:val="center"/>
              <w:rPr>
                <w:rFonts w:asciiTheme="minorHAnsi" w:hAnsiTheme="minorHAnsi" w:cs="Arial"/>
                <w:sz w:val="20"/>
                <w:szCs w:val="20"/>
              </w:rPr>
            </w:pPr>
            <w:r w:rsidRPr="00A21238">
              <w:rPr>
                <w:rFonts w:asciiTheme="minorHAnsi" w:hAnsiTheme="minorHAnsi" w:cs="Arial"/>
                <w:i/>
                <w:sz w:val="20"/>
                <w:szCs w:val="20"/>
              </w:rPr>
              <w:t>P</w:t>
            </w:r>
            <w:r w:rsidR="006C1708" w:rsidRPr="00A21238">
              <w:rPr>
                <w:rFonts w:asciiTheme="minorHAnsi" w:hAnsiTheme="minorHAnsi" w:cs="Arial"/>
                <w:sz w:val="20"/>
                <w:szCs w:val="20"/>
              </w:rPr>
              <w:t>=.01</w:t>
            </w:r>
          </w:p>
        </w:tc>
      </w:tr>
      <w:tr w:rsidR="006C1708" w:rsidRPr="00A21238" w:rsidTr="00EB03FC">
        <w:tc>
          <w:tcPr>
            <w:tcW w:w="3618" w:type="dxa"/>
            <w:vAlign w:val="bottom"/>
          </w:tcPr>
          <w:p w:rsidR="007605EA" w:rsidRPr="00A21238" w:rsidRDefault="006C1708" w:rsidP="0002496E">
            <w:pPr>
              <w:rPr>
                <w:rFonts w:asciiTheme="minorHAnsi" w:hAnsiTheme="minorHAnsi" w:cs="Arial"/>
                <w:sz w:val="20"/>
                <w:szCs w:val="20"/>
              </w:rPr>
            </w:pPr>
            <w:r w:rsidRPr="00A21238">
              <w:rPr>
                <w:rFonts w:asciiTheme="minorHAnsi" w:hAnsiTheme="minorHAnsi" w:cs="Arial"/>
                <w:sz w:val="20"/>
                <w:szCs w:val="20"/>
              </w:rPr>
              <w:t>Median survival time (m</w:t>
            </w:r>
            <w:r w:rsidR="007605EA" w:rsidRPr="00A21238">
              <w:rPr>
                <w:rFonts w:asciiTheme="minorHAnsi" w:hAnsiTheme="minorHAnsi" w:cs="Arial"/>
                <w:sz w:val="20"/>
                <w:szCs w:val="20"/>
              </w:rPr>
              <w:t>onths)</w:t>
            </w:r>
            <w:r w:rsidR="0002496E" w:rsidRPr="0002496E">
              <w:rPr>
                <w:rFonts w:asciiTheme="minorHAnsi" w:hAnsiTheme="minorHAnsi" w:cs="Arial"/>
                <w:noProof/>
                <w:sz w:val="20"/>
                <w:szCs w:val="20"/>
                <w:vertAlign w:val="superscript"/>
              </w:rPr>
              <w:t>75, 77, 93</w:t>
            </w:r>
          </w:p>
        </w:tc>
        <w:tc>
          <w:tcPr>
            <w:tcW w:w="1080" w:type="dxa"/>
            <w:vAlign w:val="bottom"/>
          </w:tcPr>
          <w:p w:rsidR="007605EA" w:rsidRPr="00A21238" w:rsidRDefault="006C1708" w:rsidP="00EB03FC">
            <w:pPr>
              <w:jc w:val="center"/>
              <w:rPr>
                <w:rFonts w:asciiTheme="minorHAnsi" w:hAnsiTheme="minorHAnsi" w:cs="Arial"/>
                <w:sz w:val="20"/>
                <w:szCs w:val="20"/>
              </w:rPr>
            </w:pPr>
            <w:r w:rsidRPr="00A21238">
              <w:rPr>
                <w:rFonts w:asciiTheme="minorHAnsi" w:hAnsiTheme="minorHAnsi" w:cs="Arial"/>
                <w:sz w:val="20"/>
                <w:szCs w:val="20"/>
              </w:rPr>
              <w:t xml:space="preserve">12 </w:t>
            </w:r>
            <w:r w:rsidRPr="00A21238">
              <w:rPr>
                <w:rFonts w:asciiTheme="minorHAnsi" w:hAnsiTheme="minorHAnsi" w:cs="Arial"/>
                <w:sz w:val="20"/>
                <w:szCs w:val="20"/>
                <w:u w:val="single"/>
              </w:rPr>
              <w:t>+</w:t>
            </w:r>
            <w:r w:rsidRPr="00A21238">
              <w:rPr>
                <w:rFonts w:asciiTheme="minorHAnsi" w:hAnsiTheme="minorHAnsi" w:cs="Arial"/>
                <w:sz w:val="20"/>
                <w:szCs w:val="20"/>
              </w:rPr>
              <w:t xml:space="preserve"> 6.04</w:t>
            </w:r>
          </w:p>
        </w:tc>
        <w:tc>
          <w:tcPr>
            <w:tcW w:w="1450" w:type="dxa"/>
            <w:vAlign w:val="bottom"/>
          </w:tcPr>
          <w:p w:rsidR="007605EA" w:rsidRPr="00A21238" w:rsidRDefault="006C1708" w:rsidP="00EB03FC">
            <w:pPr>
              <w:jc w:val="center"/>
              <w:rPr>
                <w:rFonts w:asciiTheme="minorHAnsi" w:hAnsiTheme="minorHAnsi" w:cs="Arial"/>
                <w:sz w:val="20"/>
                <w:szCs w:val="20"/>
              </w:rPr>
            </w:pPr>
            <w:r w:rsidRPr="00A21238">
              <w:rPr>
                <w:rFonts w:asciiTheme="minorHAnsi" w:hAnsiTheme="minorHAnsi" w:cs="Arial"/>
                <w:sz w:val="20"/>
                <w:szCs w:val="20"/>
              </w:rPr>
              <w:t xml:space="preserve">13.5 </w:t>
            </w:r>
            <w:r w:rsidRPr="00A21238">
              <w:rPr>
                <w:rFonts w:asciiTheme="minorHAnsi" w:hAnsiTheme="minorHAnsi" w:cs="Arial"/>
                <w:sz w:val="20"/>
                <w:szCs w:val="20"/>
                <w:u w:val="single"/>
              </w:rPr>
              <w:t>+</w:t>
            </w:r>
            <w:r w:rsidRPr="00A21238">
              <w:rPr>
                <w:rFonts w:asciiTheme="minorHAnsi" w:hAnsiTheme="minorHAnsi" w:cs="Arial"/>
                <w:sz w:val="20"/>
                <w:szCs w:val="20"/>
              </w:rPr>
              <w:t xml:space="preserve"> 7.98</w:t>
            </w:r>
          </w:p>
        </w:tc>
        <w:tc>
          <w:tcPr>
            <w:tcW w:w="800" w:type="dxa"/>
            <w:vAlign w:val="bottom"/>
          </w:tcPr>
          <w:p w:rsidR="006C1708" w:rsidRPr="00A21238" w:rsidRDefault="006C1708" w:rsidP="00EB03FC">
            <w:pPr>
              <w:jc w:val="center"/>
              <w:rPr>
                <w:rFonts w:asciiTheme="minorHAnsi" w:hAnsiTheme="minorHAnsi" w:cs="Arial"/>
                <w:sz w:val="20"/>
                <w:szCs w:val="20"/>
              </w:rPr>
            </w:pPr>
          </w:p>
          <w:p w:rsidR="007605EA" w:rsidRPr="00A21238" w:rsidRDefault="006C1708" w:rsidP="00EB03FC">
            <w:pPr>
              <w:jc w:val="center"/>
              <w:rPr>
                <w:rFonts w:asciiTheme="minorHAnsi" w:hAnsiTheme="minorHAnsi" w:cs="Arial"/>
                <w:sz w:val="20"/>
                <w:szCs w:val="20"/>
              </w:rPr>
            </w:pPr>
            <w:r w:rsidRPr="00A21238">
              <w:rPr>
                <w:rFonts w:asciiTheme="minorHAnsi" w:hAnsiTheme="minorHAnsi" w:cs="Arial"/>
                <w:sz w:val="20"/>
                <w:szCs w:val="20"/>
              </w:rPr>
              <w:t>3(483)</w:t>
            </w:r>
          </w:p>
        </w:tc>
        <w:tc>
          <w:tcPr>
            <w:tcW w:w="1710" w:type="dxa"/>
            <w:vAlign w:val="bottom"/>
          </w:tcPr>
          <w:p w:rsidR="006C1708" w:rsidRPr="00A21238" w:rsidRDefault="006C1708" w:rsidP="00EB03FC">
            <w:pPr>
              <w:jc w:val="center"/>
              <w:rPr>
                <w:rFonts w:asciiTheme="minorHAnsi" w:hAnsiTheme="minorHAnsi" w:cs="Arial"/>
                <w:sz w:val="20"/>
                <w:szCs w:val="20"/>
              </w:rPr>
            </w:pPr>
          </w:p>
          <w:p w:rsidR="007605EA" w:rsidRPr="00A21238" w:rsidRDefault="006C1708" w:rsidP="00EB03FC">
            <w:pPr>
              <w:jc w:val="center"/>
              <w:rPr>
                <w:rFonts w:asciiTheme="minorHAnsi" w:hAnsiTheme="minorHAnsi" w:cs="Arial"/>
                <w:sz w:val="20"/>
                <w:szCs w:val="20"/>
              </w:rPr>
            </w:pPr>
            <w:r w:rsidRPr="00A21238">
              <w:rPr>
                <w:rFonts w:asciiTheme="minorHAnsi" w:hAnsiTheme="minorHAnsi" w:cs="Arial"/>
                <w:sz w:val="20"/>
                <w:szCs w:val="20"/>
              </w:rPr>
              <w:t>-1.06[-3.05, 0.95]</w:t>
            </w:r>
          </w:p>
        </w:tc>
        <w:tc>
          <w:tcPr>
            <w:tcW w:w="918" w:type="dxa"/>
            <w:vAlign w:val="bottom"/>
          </w:tcPr>
          <w:p w:rsidR="006C1708" w:rsidRPr="00A21238" w:rsidRDefault="006C1708" w:rsidP="00EB03FC">
            <w:pPr>
              <w:jc w:val="center"/>
              <w:rPr>
                <w:rFonts w:asciiTheme="minorHAnsi" w:hAnsiTheme="minorHAnsi" w:cs="Arial"/>
                <w:sz w:val="20"/>
                <w:szCs w:val="20"/>
              </w:rPr>
            </w:pPr>
          </w:p>
          <w:p w:rsidR="007605EA" w:rsidRPr="00A21238" w:rsidRDefault="000824F7" w:rsidP="00EB03FC">
            <w:pPr>
              <w:jc w:val="center"/>
              <w:rPr>
                <w:rFonts w:asciiTheme="minorHAnsi" w:hAnsiTheme="minorHAnsi" w:cs="Arial"/>
                <w:sz w:val="20"/>
                <w:szCs w:val="20"/>
              </w:rPr>
            </w:pPr>
            <w:r w:rsidRPr="00A21238">
              <w:rPr>
                <w:rFonts w:asciiTheme="minorHAnsi" w:hAnsiTheme="minorHAnsi" w:cs="Arial"/>
                <w:i/>
                <w:sz w:val="20"/>
                <w:szCs w:val="20"/>
              </w:rPr>
              <w:t>P</w:t>
            </w:r>
            <w:r w:rsidR="006C1708" w:rsidRPr="00A21238">
              <w:rPr>
                <w:rFonts w:asciiTheme="minorHAnsi" w:hAnsiTheme="minorHAnsi" w:cs="Arial"/>
                <w:sz w:val="20"/>
                <w:szCs w:val="20"/>
              </w:rPr>
              <w:t>=.29</w:t>
            </w:r>
          </w:p>
        </w:tc>
      </w:tr>
    </w:tbl>
    <w:p w:rsidR="006C1708" w:rsidRPr="00A52683" w:rsidRDefault="00437895" w:rsidP="00A26FF8">
      <w:pPr>
        <w:ind w:left="-90"/>
        <w:rPr>
          <w:rFonts w:asciiTheme="minorHAnsi" w:hAnsiTheme="minorHAnsi" w:cs="Arial"/>
          <w:b/>
          <w:sz w:val="18"/>
          <w:szCs w:val="18"/>
        </w:rPr>
      </w:pPr>
      <w:r>
        <w:rPr>
          <w:rFonts w:asciiTheme="minorHAnsi" w:hAnsiTheme="minorHAnsi"/>
          <w:sz w:val="18"/>
          <w:szCs w:val="18"/>
        </w:rPr>
        <w:t xml:space="preserve">Abbreviations: </w:t>
      </w:r>
      <w:r w:rsidR="006C1708" w:rsidRPr="00A52683">
        <w:rPr>
          <w:rFonts w:asciiTheme="minorHAnsi" w:hAnsiTheme="minorHAnsi"/>
          <w:sz w:val="18"/>
          <w:szCs w:val="18"/>
        </w:rPr>
        <w:t>CI</w:t>
      </w:r>
      <w:r w:rsidR="00470CE4">
        <w:rPr>
          <w:rFonts w:asciiTheme="minorHAnsi" w:hAnsiTheme="minorHAnsi"/>
          <w:sz w:val="18"/>
          <w:szCs w:val="18"/>
        </w:rPr>
        <w:t>,</w:t>
      </w:r>
      <w:r w:rsidR="006C1708" w:rsidRPr="00A52683">
        <w:rPr>
          <w:rFonts w:asciiTheme="minorHAnsi" w:hAnsiTheme="minorHAnsi"/>
          <w:sz w:val="18"/>
          <w:szCs w:val="18"/>
        </w:rPr>
        <w:t xml:space="preserve"> Confidence interval; n</w:t>
      </w:r>
      <w:r w:rsidR="00470CE4">
        <w:rPr>
          <w:rFonts w:asciiTheme="minorHAnsi" w:hAnsiTheme="minorHAnsi"/>
          <w:sz w:val="18"/>
          <w:szCs w:val="18"/>
        </w:rPr>
        <w:t>,</w:t>
      </w:r>
      <w:r w:rsidR="006C1708" w:rsidRPr="00A52683">
        <w:rPr>
          <w:rFonts w:asciiTheme="minorHAnsi" w:hAnsiTheme="minorHAnsi"/>
          <w:sz w:val="18"/>
          <w:szCs w:val="18"/>
        </w:rPr>
        <w:t xml:space="preserve"> Number of studies; N</w:t>
      </w:r>
      <w:r w:rsidR="00470CE4">
        <w:rPr>
          <w:rFonts w:asciiTheme="minorHAnsi" w:hAnsiTheme="minorHAnsi"/>
          <w:sz w:val="18"/>
          <w:szCs w:val="18"/>
        </w:rPr>
        <w:t>,</w:t>
      </w:r>
      <w:r w:rsidR="006C1708" w:rsidRPr="00A52683">
        <w:rPr>
          <w:rFonts w:asciiTheme="minorHAnsi" w:hAnsiTheme="minorHAnsi"/>
          <w:sz w:val="18"/>
          <w:szCs w:val="18"/>
        </w:rPr>
        <w:t xml:space="preserve"> Number of patients; RCT</w:t>
      </w:r>
      <w:r w:rsidR="00470CE4">
        <w:rPr>
          <w:rFonts w:asciiTheme="minorHAnsi" w:hAnsiTheme="minorHAnsi"/>
          <w:sz w:val="18"/>
          <w:szCs w:val="18"/>
        </w:rPr>
        <w:t>,</w:t>
      </w:r>
      <w:r w:rsidR="006C1708" w:rsidRPr="00A52683">
        <w:rPr>
          <w:rFonts w:asciiTheme="minorHAnsi" w:hAnsiTheme="minorHAnsi"/>
          <w:sz w:val="18"/>
          <w:szCs w:val="18"/>
        </w:rPr>
        <w:t xml:space="preserve"> Randomized controlled trial; RR</w:t>
      </w:r>
      <w:r w:rsidR="00470CE4">
        <w:rPr>
          <w:rFonts w:asciiTheme="minorHAnsi" w:hAnsiTheme="minorHAnsi"/>
          <w:sz w:val="18"/>
          <w:szCs w:val="18"/>
        </w:rPr>
        <w:t>,</w:t>
      </w:r>
      <w:r w:rsidR="006C1708" w:rsidRPr="00A52683">
        <w:rPr>
          <w:rFonts w:asciiTheme="minorHAnsi" w:hAnsiTheme="minorHAnsi"/>
          <w:sz w:val="18"/>
          <w:szCs w:val="18"/>
        </w:rPr>
        <w:t xml:space="preserve"> Relative risk; WMD</w:t>
      </w:r>
      <w:r w:rsidR="00470CE4">
        <w:rPr>
          <w:rFonts w:asciiTheme="minorHAnsi" w:hAnsiTheme="minorHAnsi"/>
          <w:sz w:val="18"/>
          <w:szCs w:val="18"/>
        </w:rPr>
        <w:t>,</w:t>
      </w:r>
      <w:r w:rsidR="006C1708" w:rsidRPr="00A52683">
        <w:rPr>
          <w:rFonts w:asciiTheme="minorHAnsi" w:hAnsiTheme="minorHAnsi"/>
          <w:sz w:val="18"/>
          <w:szCs w:val="18"/>
        </w:rPr>
        <w:t xml:space="preserve"> Weighted mean difference</w:t>
      </w:r>
    </w:p>
    <w:p w:rsidR="009B339B" w:rsidRDefault="009B339B" w:rsidP="009B339B">
      <w:pPr>
        <w:rPr>
          <w:rFonts w:ascii="Century Gothic" w:hAnsi="Century Gothic"/>
          <w:sz w:val="20"/>
          <w:szCs w:val="20"/>
        </w:rPr>
      </w:pPr>
    </w:p>
    <w:p w:rsidR="00577551" w:rsidRPr="00A21238" w:rsidRDefault="00577551" w:rsidP="009B339B">
      <w:pPr>
        <w:rPr>
          <w:rFonts w:ascii="Century Gothic" w:hAnsi="Century Gothic"/>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B339B" w:rsidRPr="00A52683" w:rsidTr="005E5665">
        <w:tc>
          <w:tcPr>
            <w:tcW w:w="5000" w:type="pct"/>
            <w:vAlign w:val="center"/>
          </w:tcPr>
          <w:p w:rsidR="00C82900" w:rsidRPr="00A52683" w:rsidRDefault="00971A5D" w:rsidP="001178B5">
            <w:pPr>
              <w:pStyle w:val="NoSpacing"/>
              <w:ind w:right="-90"/>
              <w:jc w:val="both"/>
              <w:rPr>
                <w:rFonts w:ascii="Times New Roman" w:eastAsia="Times New Roman" w:hAnsi="Times New Roman"/>
                <w:b/>
              </w:rPr>
            </w:pPr>
            <w:r w:rsidRPr="00A52683">
              <w:rPr>
                <w:rFonts w:ascii="Times New Roman" w:hAnsi="Times New Roman"/>
                <w:b/>
              </w:rPr>
              <w:t xml:space="preserve">2.1b: </w:t>
            </w:r>
            <w:r w:rsidR="00EB2880" w:rsidRPr="00A52683">
              <w:rPr>
                <w:rFonts w:ascii="Times New Roman" w:hAnsi="Times New Roman"/>
                <w:b/>
              </w:rPr>
              <w:t xml:space="preserve">Suggestion: </w:t>
            </w:r>
            <w:r w:rsidR="001178B5" w:rsidRPr="001178B5">
              <w:rPr>
                <w:rFonts w:ascii="Times New Roman" w:hAnsi="Times New Roman"/>
                <w:b/>
                <w:i/>
                <w:sz w:val="24"/>
                <w:szCs w:val="24"/>
              </w:rPr>
              <w:t>ALK</w:t>
            </w:r>
            <w:r w:rsidR="001178B5" w:rsidRPr="001178B5">
              <w:rPr>
                <w:rFonts w:ascii="Times New Roman" w:hAnsi="Times New Roman"/>
                <w:b/>
                <w:sz w:val="24"/>
                <w:szCs w:val="24"/>
              </w:rPr>
              <w:t xml:space="preserve"> rearrangement testing should be ordered at the time of diagnosis for patients presenting with advanced</w:t>
            </w:r>
            <w:r w:rsidR="00373B5C">
              <w:rPr>
                <w:rFonts w:ascii="Times New Roman" w:hAnsi="Times New Roman"/>
                <w:b/>
                <w:sz w:val="24"/>
                <w:szCs w:val="24"/>
              </w:rPr>
              <w:t>-</w:t>
            </w:r>
            <w:r w:rsidR="001178B5" w:rsidRPr="001178B5">
              <w:rPr>
                <w:rFonts w:ascii="Times New Roman" w:hAnsi="Times New Roman"/>
                <w:b/>
                <w:sz w:val="24"/>
                <w:szCs w:val="24"/>
              </w:rPr>
              <w:t>stage disease (stage IV according to the 7</w:t>
            </w:r>
            <w:r w:rsidR="001178B5" w:rsidRPr="001178B5">
              <w:rPr>
                <w:rFonts w:ascii="Times New Roman" w:hAnsi="Times New Roman"/>
                <w:b/>
                <w:sz w:val="24"/>
                <w:szCs w:val="24"/>
                <w:vertAlign w:val="superscript"/>
              </w:rPr>
              <w:t>th</w:t>
            </w:r>
            <w:r w:rsidR="001178B5" w:rsidRPr="001178B5">
              <w:rPr>
                <w:rFonts w:ascii="Times New Roman" w:hAnsi="Times New Roman"/>
                <w:b/>
                <w:sz w:val="24"/>
                <w:szCs w:val="24"/>
              </w:rPr>
              <w:t xml:space="preserve"> edition TNM staging system) who are suitable for therapy</w:t>
            </w:r>
            <w:r w:rsidR="009739E3">
              <w:rPr>
                <w:rFonts w:ascii="Times New Roman" w:hAnsi="Times New Roman"/>
                <w:b/>
                <w:sz w:val="24"/>
                <w:szCs w:val="24"/>
              </w:rPr>
              <w:t>,</w:t>
            </w:r>
            <w:r w:rsidR="001178B5" w:rsidRPr="001178B5">
              <w:rPr>
                <w:rFonts w:ascii="Times New Roman" w:hAnsi="Times New Roman"/>
                <w:b/>
                <w:sz w:val="24"/>
                <w:szCs w:val="24"/>
              </w:rPr>
              <w:t xml:space="preserve"> or at time of recurrence or progression in patients who originally presented with lower</w:t>
            </w:r>
            <w:r w:rsidR="00674552">
              <w:rPr>
                <w:rFonts w:ascii="Times New Roman" w:hAnsi="Times New Roman"/>
                <w:b/>
                <w:sz w:val="24"/>
                <w:szCs w:val="24"/>
              </w:rPr>
              <w:t>-</w:t>
            </w:r>
            <w:r w:rsidR="001178B5" w:rsidRPr="001178B5">
              <w:rPr>
                <w:rFonts w:ascii="Times New Roman" w:hAnsi="Times New Roman"/>
                <w:b/>
                <w:sz w:val="24"/>
                <w:szCs w:val="24"/>
              </w:rPr>
              <w:t>stage disease</w:t>
            </w:r>
            <w:r w:rsidR="00C353FE">
              <w:rPr>
                <w:rFonts w:ascii="Times New Roman" w:hAnsi="Times New Roman"/>
                <w:b/>
                <w:sz w:val="24"/>
                <w:szCs w:val="24"/>
              </w:rPr>
              <w:t xml:space="preserve"> but were not previously tested.</w:t>
            </w:r>
          </w:p>
        </w:tc>
      </w:tr>
    </w:tbl>
    <w:p w:rsidR="009B339B" w:rsidRPr="00A52683" w:rsidRDefault="009B339B" w:rsidP="009B339B">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B339B" w:rsidRPr="00A52683" w:rsidTr="005E5665">
        <w:tc>
          <w:tcPr>
            <w:tcW w:w="5000" w:type="pct"/>
            <w:vAlign w:val="center"/>
          </w:tcPr>
          <w:p w:rsidR="009B339B" w:rsidRPr="00A52683" w:rsidRDefault="009B339B" w:rsidP="005E5665">
            <w:pPr>
              <w:rPr>
                <w:sz w:val="22"/>
                <w:szCs w:val="22"/>
              </w:rPr>
            </w:pPr>
            <w:r w:rsidRPr="00A52683">
              <w:rPr>
                <w:b/>
                <w:bCs/>
                <w:sz w:val="22"/>
                <w:szCs w:val="22"/>
              </w:rPr>
              <w:t>Evidence base: C</w:t>
            </w:r>
          </w:p>
        </w:tc>
      </w:tr>
      <w:tr w:rsidR="009B339B" w:rsidRPr="00A52683" w:rsidTr="005E5665">
        <w:tc>
          <w:tcPr>
            <w:tcW w:w="5000" w:type="pct"/>
            <w:vAlign w:val="center"/>
          </w:tcPr>
          <w:p w:rsidR="009B339B" w:rsidRPr="00A52683" w:rsidRDefault="009B339B" w:rsidP="005E5665">
            <w:pPr>
              <w:rPr>
                <w:sz w:val="22"/>
                <w:szCs w:val="22"/>
              </w:rPr>
            </w:pPr>
            <w:r w:rsidRPr="00A52683">
              <w:rPr>
                <w:b/>
                <w:bCs/>
                <w:sz w:val="22"/>
                <w:szCs w:val="22"/>
              </w:rPr>
              <w:t>Consistency: C</w:t>
            </w:r>
          </w:p>
        </w:tc>
      </w:tr>
      <w:tr w:rsidR="009B339B" w:rsidRPr="00A52683" w:rsidTr="005E5665">
        <w:tc>
          <w:tcPr>
            <w:tcW w:w="5000" w:type="pct"/>
            <w:vAlign w:val="center"/>
          </w:tcPr>
          <w:p w:rsidR="009B339B" w:rsidRPr="00A52683" w:rsidRDefault="009B339B" w:rsidP="00157CDF">
            <w:pPr>
              <w:rPr>
                <w:b/>
                <w:bCs/>
                <w:sz w:val="22"/>
                <w:szCs w:val="22"/>
              </w:rPr>
            </w:pPr>
            <w:r w:rsidRPr="00A52683">
              <w:rPr>
                <w:b/>
                <w:bCs/>
                <w:sz w:val="22"/>
                <w:szCs w:val="22"/>
              </w:rPr>
              <w:t>Clinical impact: A</w:t>
            </w:r>
          </w:p>
        </w:tc>
      </w:tr>
      <w:tr w:rsidR="009B339B" w:rsidRPr="00A52683" w:rsidTr="005E5665">
        <w:tc>
          <w:tcPr>
            <w:tcW w:w="5000" w:type="pct"/>
            <w:vAlign w:val="center"/>
          </w:tcPr>
          <w:p w:rsidR="009B339B" w:rsidRPr="00A52683" w:rsidRDefault="00157CDF" w:rsidP="005E5665">
            <w:pPr>
              <w:rPr>
                <w:b/>
                <w:bCs/>
                <w:sz w:val="22"/>
                <w:szCs w:val="22"/>
              </w:rPr>
            </w:pPr>
            <w:proofErr w:type="spellStart"/>
            <w:r w:rsidRPr="00A52683">
              <w:rPr>
                <w:b/>
                <w:bCs/>
                <w:sz w:val="22"/>
                <w:szCs w:val="22"/>
              </w:rPr>
              <w:t>Generalizability</w:t>
            </w:r>
            <w:proofErr w:type="spellEnd"/>
            <w:r w:rsidRPr="00A52683">
              <w:rPr>
                <w:b/>
                <w:bCs/>
                <w:sz w:val="22"/>
                <w:szCs w:val="22"/>
              </w:rPr>
              <w:t xml:space="preserve">: </w:t>
            </w:r>
            <w:r w:rsidR="009B339B" w:rsidRPr="00A52683">
              <w:rPr>
                <w:b/>
                <w:bCs/>
                <w:sz w:val="22"/>
                <w:szCs w:val="22"/>
              </w:rPr>
              <w:t>A</w:t>
            </w:r>
          </w:p>
        </w:tc>
      </w:tr>
      <w:tr w:rsidR="009B339B" w:rsidRPr="00A52683" w:rsidTr="005E5665">
        <w:tc>
          <w:tcPr>
            <w:tcW w:w="5000" w:type="pct"/>
            <w:vAlign w:val="center"/>
          </w:tcPr>
          <w:p w:rsidR="009B339B" w:rsidRPr="00A52683" w:rsidRDefault="009B339B" w:rsidP="00157CDF">
            <w:pPr>
              <w:rPr>
                <w:b/>
                <w:bCs/>
                <w:sz w:val="22"/>
                <w:szCs w:val="22"/>
              </w:rPr>
            </w:pPr>
            <w:r w:rsidRPr="00A52683">
              <w:rPr>
                <w:b/>
                <w:bCs/>
                <w:sz w:val="22"/>
                <w:szCs w:val="22"/>
              </w:rPr>
              <w:t>Applicability: A</w:t>
            </w:r>
          </w:p>
        </w:tc>
      </w:tr>
      <w:tr w:rsidR="009B339B" w:rsidRPr="00A52683" w:rsidTr="005E5665">
        <w:tc>
          <w:tcPr>
            <w:tcW w:w="5000" w:type="pct"/>
            <w:vAlign w:val="center"/>
          </w:tcPr>
          <w:p w:rsidR="009B339B" w:rsidRPr="00A52683" w:rsidRDefault="009B339B" w:rsidP="005E5665">
            <w:pPr>
              <w:rPr>
                <w:b/>
                <w:bCs/>
                <w:sz w:val="22"/>
                <w:szCs w:val="22"/>
              </w:rPr>
            </w:pPr>
            <w:r w:rsidRPr="00A52683">
              <w:rPr>
                <w:b/>
                <w:sz w:val="22"/>
                <w:szCs w:val="22"/>
              </w:rPr>
              <w:t>Overall Grade: C</w:t>
            </w:r>
          </w:p>
        </w:tc>
      </w:tr>
    </w:tbl>
    <w:p w:rsidR="009B339B" w:rsidRPr="00A21238" w:rsidRDefault="009B339B" w:rsidP="004B0FC5">
      <w:pPr>
        <w:rPr>
          <w:rFonts w:ascii="Century Gothic" w:hAnsi="Century Gothic"/>
          <w:sz w:val="20"/>
          <w:szCs w:val="20"/>
        </w:rPr>
      </w:pPr>
    </w:p>
    <w:p w:rsidR="00577551" w:rsidRDefault="00577551">
      <w:pPr>
        <w:rPr>
          <w:rFonts w:ascii="Century Gothic" w:hAnsi="Century Gothic" w:cs="Arial"/>
          <w:b/>
          <w:sz w:val="20"/>
          <w:szCs w:val="20"/>
          <w:highlight w:val="yellow"/>
        </w:rPr>
      </w:pPr>
      <w:r>
        <w:rPr>
          <w:rFonts w:ascii="Century Gothic" w:hAnsi="Century Gothic" w:cs="Arial"/>
          <w:b/>
          <w:sz w:val="20"/>
          <w:szCs w:val="20"/>
          <w:highlight w:val="yellow"/>
        </w:rPr>
        <w:br w:type="page"/>
      </w:r>
    </w:p>
    <w:p w:rsidR="00B56041" w:rsidRPr="00A21238" w:rsidRDefault="000E2454" w:rsidP="007E1798">
      <w:pPr>
        <w:rPr>
          <w:rFonts w:ascii="Century Gothic" w:hAnsi="Century Gothic" w:cs="Arial"/>
          <w:b/>
          <w:sz w:val="20"/>
          <w:szCs w:val="20"/>
        </w:rPr>
      </w:pPr>
      <w:r w:rsidRPr="00A52683">
        <w:rPr>
          <w:b/>
          <w:sz w:val="22"/>
          <w:szCs w:val="22"/>
        </w:rPr>
        <w:lastRenderedPageBreak/>
        <w:t xml:space="preserve">Table </w:t>
      </w:r>
      <w:r w:rsidR="007E1798" w:rsidRPr="00A52683">
        <w:rPr>
          <w:b/>
          <w:sz w:val="22"/>
          <w:szCs w:val="22"/>
        </w:rPr>
        <w:t>1</w:t>
      </w:r>
      <w:r w:rsidR="00A566D8" w:rsidRPr="00A52683">
        <w:rPr>
          <w:b/>
          <w:sz w:val="22"/>
          <w:szCs w:val="22"/>
        </w:rPr>
        <w:t>9</w:t>
      </w:r>
      <w:r w:rsidR="004159EE" w:rsidRPr="00A52683">
        <w:rPr>
          <w:b/>
          <w:sz w:val="22"/>
          <w:szCs w:val="22"/>
        </w:rPr>
        <w:t xml:space="preserve">: Outcomes </w:t>
      </w:r>
      <w:r w:rsidR="007E1798" w:rsidRPr="00A52683">
        <w:rPr>
          <w:b/>
          <w:sz w:val="22"/>
          <w:szCs w:val="22"/>
        </w:rPr>
        <w:t xml:space="preserve">in </w:t>
      </w:r>
      <w:r w:rsidR="00905878" w:rsidRPr="00A52683">
        <w:rPr>
          <w:b/>
          <w:sz w:val="22"/>
          <w:szCs w:val="22"/>
        </w:rPr>
        <w:t xml:space="preserve">advanced </w:t>
      </w:r>
      <w:r w:rsidR="00FF4E81" w:rsidRPr="00A52683">
        <w:rPr>
          <w:b/>
          <w:sz w:val="22"/>
          <w:szCs w:val="22"/>
        </w:rPr>
        <w:t>adenocarcinoma</w:t>
      </w:r>
      <w:r w:rsidR="004159EE" w:rsidRPr="00A52683">
        <w:rPr>
          <w:b/>
          <w:sz w:val="22"/>
          <w:szCs w:val="22"/>
        </w:rPr>
        <w:t xml:space="preserve"> </w:t>
      </w:r>
      <w:r w:rsidR="007E1798" w:rsidRPr="00A52683">
        <w:rPr>
          <w:b/>
          <w:sz w:val="22"/>
          <w:szCs w:val="22"/>
        </w:rPr>
        <w:t>patients</w:t>
      </w:r>
      <w:r w:rsidR="004159EE" w:rsidRPr="00A52683">
        <w:rPr>
          <w:b/>
          <w:sz w:val="22"/>
          <w:szCs w:val="22"/>
        </w:rPr>
        <w:t xml:space="preserve"> with </w:t>
      </w:r>
      <w:r w:rsidR="004159EE" w:rsidRPr="00A52683">
        <w:rPr>
          <w:b/>
          <w:i/>
          <w:sz w:val="22"/>
          <w:szCs w:val="22"/>
        </w:rPr>
        <w:t>ALK</w:t>
      </w:r>
      <w:r w:rsidR="004159EE" w:rsidRPr="00A52683">
        <w:rPr>
          <w:b/>
          <w:sz w:val="22"/>
          <w:szCs w:val="22"/>
        </w:rPr>
        <w:t xml:space="preserve"> rearrangements at a mean treatment duration of 6.4 months with crizotinib</w:t>
      </w:r>
      <w:r w:rsidR="0002496E" w:rsidRPr="0002496E">
        <w:rPr>
          <w:rFonts w:ascii="Century Gothic" w:hAnsi="Century Gothic" w:cs="Arial"/>
          <w:b/>
          <w:noProof/>
          <w:sz w:val="20"/>
          <w:szCs w:val="20"/>
          <w:vertAlign w:val="superscript"/>
        </w:rPr>
        <w:t>60</w:t>
      </w:r>
      <w:r w:rsidR="00F66196" w:rsidRPr="00A21238">
        <w:rPr>
          <w:rFonts w:ascii="Century Gothic" w:hAnsi="Century Gothic" w:cs="Arial"/>
          <w:b/>
          <w:sz w:val="20"/>
          <w:szCs w:val="20"/>
        </w:rPr>
        <w:t xml:space="preserve"> </w:t>
      </w:r>
    </w:p>
    <w:p w:rsidR="004D3D9C" w:rsidRPr="00A21238" w:rsidRDefault="004D3D9C" w:rsidP="007E1798">
      <w:pPr>
        <w:rPr>
          <w:rFonts w:ascii="Century Gothic" w:hAnsi="Century Gothic" w:cs="Arial"/>
          <w:b/>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981"/>
        <w:gridCol w:w="2070"/>
      </w:tblGrid>
      <w:tr w:rsidR="004D3D9C" w:rsidRPr="00A21238" w:rsidTr="00EB03FC">
        <w:trPr>
          <w:trHeight w:val="512"/>
        </w:trPr>
        <w:tc>
          <w:tcPr>
            <w:tcW w:w="2881" w:type="pct"/>
            <w:tcBorders>
              <w:top w:val="single" w:sz="4" w:space="0" w:color="auto"/>
              <w:left w:val="single" w:sz="4" w:space="0" w:color="auto"/>
              <w:bottom w:val="single" w:sz="4" w:space="0" w:color="auto"/>
              <w:right w:val="single" w:sz="4" w:space="0" w:color="auto"/>
            </w:tcBorders>
            <w:vAlign w:val="bottom"/>
          </w:tcPr>
          <w:p w:rsidR="004D3D9C" w:rsidRPr="00A21238" w:rsidRDefault="004D3D9C" w:rsidP="00EB03FC">
            <w:pPr>
              <w:rPr>
                <w:rFonts w:asciiTheme="minorHAnsi" w:hAnsiTheme="minorHAnsi" w:cs="Arial"/>
                <w:b/>
                <w:sz w:val="20"/>
                <w:szCs w:val="20"/>
              </w:rPr>
            </w:pPr>
            <w:r w:rsidRPr="00A21238">
              <w:rPr>
                <w:rFonts w:asciiTheme="minorHAnsi" w:hAnsiTheme="minorHAnsi" w:cs="Arial"/>
                <w:b/>
                <w:sz w:val="20"/>
                <w:szCs w:val="20"/>
              </w:rPr>
              <w:t>Outcome</w:t>
            </w:r>
          </w:p>
        </w:tc>
        <w:tc>
          <w:tcPr>
            <w:tcW w:w="1036" w:type="pct"/>
            <w:tcBorders>
              <w:top w:val="single" w:sz="4" w:space="0" w:color="auto"/>
              <w:left w:val="single" w:sz="4" w:space="0" w:color="auto"/>
              <w:bottom w:val="single" w:sz="4" w:space="0" w:color="auto"/>
              <w:right w:val="single" w:sz="4" w:space="0" w:color="auto"/>
            </w:tcBorders>
            <w:vAlign w:val="bottom"/>
          </w:tcPr>
          <w:p w:rsidR="004D3D9C" w:rsidRPr="00A21238" w:rsidRDefault="00E66394" w:rsidP="00EB03FC">
            <w:pPr>
              <w:jc w:val="center"/>
              <w:rPr>
                <w:rFonts w:asciiTheme="minorHAnsi" w:hAnsiTheme="minorHAnsi" w:cs="Arial"/>
                <w:b/>
                <w:sz w:val="20"/>
                <w:szCs w:val="20"/>
              </w:rPr>
            </w:pPr>
            <w:r w:rsidRPr="00A21238">
              <w:rPr>
                <w:rFonts w:asciiTheme="minorHAnsi" w:hAnsiTheme="minorHAnsi" w:cs="Arial"/>
                <w:b/>
                <w:sz w:val="20"/>
                <w:szCs w:val="20"/>
              </w:rPr>
              <w:t xml:space="preserve">Percentage </w:t>
            </w:r>
          </w:p>
        </w:tc>
        <w:tc>
          <w:tcPr>
            <w:tcW w:w="1083" w:type="pct"/>
            <w:tcBorders>
              <w:top w:val="single" w:sz="4" w:space="0" w:color="auto"/>
              <w:left w:val="single" w:sz="4" w:space="0" w:color="auto"/>
              <w:bottom w:val="single" w:sz="4" w:space="0" w:color="auto"/>
              <w:right w:val="single" w:sz="4" w:space="0" w:color="auto"/>
            </w:tcBorders>
            <w:vAlign w:val="bottom"/>
          </w:tcPr>
          <w:p w:rsidR="004D3D9C" w:rsidRPr="00A21238" w:rsidRDefault="00E66394" w:rsidP="00EB03FC">
            <w:pPr>
              <w:jc w:val="center"/>
              <w:rPr>
                <w:rFonts w:asciiTheme="minorHAnsi" w:hAnsiTheme="minorHAnsi" w:cs="Arial"/>
                <w:b/>
                <w:sz w:val="20"/>
                <w:szCs w:val="20"/>
              </w:rPr>
            </w:pPr>
            <w:r w:rsidRPr="00A21238">
              <w:rPr>
                <w:rFonts w:ascii="Calibri" w:hAnsi="Calibri" w:cs="Calibri"/>
                <w:b/>
                <w:sz w:val="20"/>
                <w:szCs w:val="20"/>
              </w:rPr>
              <w:t>n (N)</w:t>
            </w:r>
          </w:p>
        </w:tc>
      </w:tr>
      <w:tr w:rsidR="004D3D9C" w:rsidRPr="00A21238" w:rsidTr="00E66394">
        <w:trPr>
          <w:trHeight w:val="512"/>
        </w:trPr>
        <w:tc>
          <w:tcPr>
            <w:tcW w:w="2881" w:type="pct"/>
            <w:tcBorders>
              <w:top w:val="single" w:sz="4" w:space="0" w:color="auto"/>
              <w:left w:val="single" w:sz="4" w:space="0" w:color="auto"/>
              <w:bottom w:val="single" w:sz="4" w:space="0" w:color="auto"/>
              <w:right w:val="single" w:sz="4" w:space="0" w:color="auto"/>
            </w:tcBorders>
            <w:vAlign w:val="bottom"/>
          </w:tcPr>
          <w:p w:rsidR="004D3D9C" w:rsidRPr="00A21238" w:rsidRDefault="004D3D9C" w:rsidP="004D3D9C">
            <w:pPr>
              <w:rPr>
                <w:rFonts w:asciiTheme="minorHAnsi" w:hAnsiTheme="minorHAnsi" w:cs="Arial"/>
                <w:b/>
                <w:sz w:val="20"/>
                <w:szCs w:val="20"/>
              </w:rPr>
            </w:pPr>
            <w:r w:rsidRPr="00A21238">
              <w:rPr>
                <w:rFonts w:asciiTheme="minorHAnsi" w:hAnsiTheme="minorHAnsi" w:cs="Arial"/>
                <w:b/>
                <w:sz w:val="20"/>
                <w:szCs w:val="20"/>
              </w:rPr>
              <w:t>Overall Response rate (%)</w:t>
            </w:r>
          </w:p>
        </w:tc>
        <w:tc>
          <w:tcPr>
            <w:tcW w:w="1036" w:type="pct"/>
            <w:tcBorders>
              <w:top w:val="single" w:sz="4" w:space="0" w:color="auto"/>
              <w:left w:val="single" w:sz="4" w:space="0" w:color="auto"/>
              <w:bottom w:val="single" w:sz="4" w:space="0" w:color="auto"/>
              <w:right w:val="single" w:sz="4" w:space="0" w:color="auto"/>
            </w:tcBorders>
            <w:vAlign w:val="bottom"/>
          </w:tcPr>
          <w:p w:rsidR="004D3D9C" w:rsidRPr="00A21238" w:rsidRDefault="004D3D9C" w:rsidP="002F1053">
            <w:pPr>
              <w:jc w:val="center"/>
              <w:rPr>
                <w:rFonts w:asciiTheme="minorHAnsi" w:hAnsiTheme="minorHAnsi" w:cs="Arial"/>
                <w:b/>
                <w:sz w:val="20"/>
                <w:szCs w:val="20"/>
              </w:rPr>
            </w:pPr>
            <w:r w:rsidRPr="00A21238">
              <w:rPr>
                <w:rFonts w:asciiTheme="minorHAnsi" w:hAnsiTheme="minorHAnsi" w:cs="Arial"/>
                <w:b/>
                <w:sz w:val="20"/>
                <w:szCs w:val="20"/>
              </w:rPr>
              <w:t>57%</w:t>
            </w:r>
          </w:p>
        </w:tc>
        <w:tc>
          <w:tcPr>
            <w:tcW w:w="1083" w:type="pct"/>
            <w:tcBorders>
              <w:top w:val="single" w:sz="4" w:space="0" w:color="auto"/>
              <w:left w:val="single" w:sz="4" w:space="0" w:color="auto"/>
              <w:bottom w:val="single" w:sz="4" w:space="0" w:color="auto"/>
              <w:right w:val="single" w:sz="4" w:space="0" w:color="auto"/>
            </w:tcBorders>
            <w:vAlign w:val="bottom"/>
          </w:tcPr>
          <w:p w:rsidR="004D3D9C" w:rsidRPr="00A21238" w:rsidRDefault="00E66394" w:rsidP="002F1053">
            <w:pPr>
              <w:jc w:val="center"/>
              <w:rPr>
                <w:rFonts w:asciiTheme="minorHAnsi" w:hAnsiTheme="minorHAnsi" w:cs="Arial"/>
                <w:b/>
                <w:sz w:val="20"/>
                <w:szCs w:val="20"/>
              </w:rPr>
            </w:pPr>
            <w:r w:rsidRPr="00A21238">
              <w:rPr>
                <w:rFonts w:asciiTheme="minorHAnsi" w:hAnsiTheme="minorHAnsi" w:cs="Arial"/>
                <w:b/>
                <w:sz w:val="20"/>
                <w:szCs w:val="20"/>
              </w:rPr>
              <w:t>1 (</w:t>
            </w:r>
            <w:r w:rsidR="004D3D9C" w:rsidRPr="00A21238">
              <w:rPr>
                <w:rFonts w:asciiTheme="minorHAnsi" w:hAnsiTheme="minorHAnsi" w:cs="Arial"/>
                <w:b/>
                <w:sz w:val="20"/>
                <w:szCs w:val="20"/>
              </w:rPr>
              <w:t>82</w:t>
            </w:r>
            <w:r w:rsidRPr="00A21238">
              <w:rPr>
                <w:rFonts w:asciiTheme="minorHAnsi" w:hAnsiTheme="minorHAnsi" w:cs="Arial"/>
                <w:b/>
                <w:sz w:val="20"/>
                <w:szCs w:val="20"/>
              </w:rPr>
              <w:t>)</w:t>
            </w:r>
          </w:p>
        </w:tc>
      </w:tr>
      <w:tr w:rsidR="004D3D9C" w:rsidRPr="00A21238" w:rsidTr="00E66394">
        <w:trPr>
          <w:trHeight w:val="512"/>
        </w:trPr>
        <w:tc>
          <w:tcPr>
            <w:tcW w:w="2881" w:type="pct"/>
            <w:tcBorders>
              <w:top w:val="single" w:sz="4" w:space="0" w:color="auto"/>
              <w:left w:val="single" w:sz="4" w:space="0" w:color="auto"/>
              <w:bottom w:val="single" w:sz="4" w:space="0" w:color="auto"/>
              <w:right w:val="single" w:sz="4" w:space="0" w:color="auto"/>
            </w:tcBorders>
            <w:vAlign w:val="bottom"/>
          </w:tcPr>
          <w:p w:rsidR="004D3D9C" w:rsidRPr="00A21238" w:rsidRDefault="004D3D9C" w:rsidP="004D3D9C">
            <w:pPr>
              <w:rPr>
                <w:rFonts w:asciiTheme="minorHAnsi" w:hAnsiTheme="minorHAnsi" w:cs="Arial"/>
                <w:b/>
                <w:sz w:val="20"/>
                <w:szCs w:val="20"/>
              </w:rPr>
            </w:pPr>
            <w:r w:rsidRPr="00A21238">
              <w:rPr>
                <w:rFonts w:asciiTheme="minorHAnsi" w:hAnsiTheme="minorHAnsi" w:cs="Arial"/>
                <w:b/>
                <w:sz w:val="20"/>
                <w:szCs w:val="20"/>
              </w:rPr>
              <w:t>Stable Disease</w:t>
            </w:r>
          </w:p>
        </w:tc>
        <w:tc>
          <w:tcPr>
            <w:tcW w:w="1036" w:type="pct"/>
            <w:tcBorders>
              <w:top w:val="single" w:sz="4" w:space="0" w:color="auto"/>
              <w:left w:val="single" w:sz="4" w:space="0" w:color="auto"/>
              <w:bottom w:val="single" w:sz="4" w:space="0" w:color="auto"/>
              <w:right w:val="single" w:sz="4" w:space="0" w:color="auto"/>
            </w:tcBorders>
            <w:vAlign w:val="bottom"/>
          </w:tcPr>
          <w:p w:rsidR="004D3D9C" w:rsidRPr="00A21238" w:rsidRDefault="004D3D9C" w:rsidP="002F1053">
            <w:pPr>
              <w:jc w:val="center"/>
              <w:rPr>
                <w:rFonts w:asciiTheme="minorHAnsi" w:hAnsiTheme="minorHAnsi" w:cs="Arial"/>
                <w:b/>
                <w:sz w:val="20"/>
                <w:szCs w:val="20"/>
              </w:rPr>
            </w:pPr>
            <w:r w:rsidRPr="00A21238">
              <w:rPr>
                <w:rFonts w:asciiTheme="minorHAnsi" w:hAnsiTheme="minorHAnsi" w:cs="Arial"/>
                <w:b/>
                <w:sz w:val="20"/>
                <w:szCs w:val="20"/>
              </w:rPr>
              <w:t>33%</w:t>
            </w:r>
          </w:p>
        </w:tc>
        <w:tc>
          <w:tcPr>
            <w:tcW w:w="1083" w:type="pct"/>
            <w:tcBorders>
              <w:top w:val="single" w:sz="4" w:space="0" w:color="auto"/>
              <w:left w:val="single" w:sz="4" w:space="0" w:color="auto"/>
              <w:bottom w:val="single" w:sz="4" w:space="0" w:color="auto"/>
              <w:right w:val="single" w:sz="4" w:space="0" w:color="auto"/>
            </w:tcBorders>
            <w:vAlign w:val="bottom"/>
          </w:tcPr>
          <w:p w:rsidR="004D3D9C" w:rsidRPr="00A21238" w:rsidRDefault="00E66394" w:rsidP="002F1053">
            <w:pPr>
              <w:jc w:val="center"/>
              <w:rPr>
                <w:rFonts w:asciiTheme="minorHAnsi" w:hAnsiTheme="minorHAnsi" w:cs="Arial"/>
                <w:b/>
                <w:sz w:val="20"/>
                <w:szCs w:val="20"/>
              </w:rPr>
            </w:pPr>
            <w:r w:rsidRPr="00A21238">
              <w:rPr>
                <w:rFonts w:asciiTheme="minorHAnsi" w:hAnsiTheme="minorHAnsi" w:cs="Arial"/>
                <w:b/>
                <w:sz w:val="20"/>
                <w:szCs w:val="20"/>
              </w:rPr>
              <w:t>1 (</w:t>
            </w:r>
            <w:r w:rsidR="004D3D9C" w:rsidRPr="00A21238">
              <w:rPr>
                <w:rFonts w:asciiTheme="minorHAnsi" w:hAnsiTheme="minorHAnsi" w:cs="Arial"/>
                <w:b/>
                <w:sz w:val="20"/>
                <w:szCs w:val="20"/>
              </w:rPr>
              <w:t>82</w:t>
            </w:r>
            <w:r w:rsidRPr="00A21238">
              <w:rPr>
                <w:rFonts w:asciiTheme="minorHAnsi" w:hAnsiTheme="minorHAnsi" w:cs="Arial"/>
                <w:b/>
                <w:sz w:val="20"/>
                <w:szCs w:val="20"/>
              </w:rPr>
              <w:t>)</w:t>
            </w:r>
          </w:p>
        </w:tc>
      </w:tr>
      <w:tr w:rsidR="004D3D9C" w:rsidRPr="00A21238" w:rsidTr="00E66394">
        <w:trPr>
          <w:trHeight w:val="512"/>
        </w:trPr>
        <w:tc>
          <w:tcPr>
            <w:tcW w:w="2881" w:type="pct"/>
            <w:tcBorders>
              <w:top w:val="single" w:sz="4" w:space="0" w:color="auto"/>
              <w:left w:val="single" w:sz="4" w:space="0" w:color="auto"/>
              <w:bottom w:val="single" w:sz="4" w:space="0" w:color="auto"/>
              <w:right w:val="single" w:sz="4" w:space="0" w:color="auto"/>
            </w:tcBorders>
            <w:vAlign w:val="bottom"/>
          </w:tcPr>
          <w:p w:rsidR="004D3D9C" w:rsidRPr="00A21238" w:rsidRDefault="004D3D9C" w:rsidP="004D3D9C">
            <w:pPr>
              <w:rPr>
                <w:rFonts w:asciiTheme="minorHAnsi" w:hAnsiTheme="minorHAnsi" w:cs="Arial"/>
                <w:b/>
                <w:sz w:val="20"/>
                <w:szCs w:val="20"/>
              </w:rPr>
            </w:pPr>
            <w:r w:rsidRPr="00A21238">
              <w:rPr>
                <w:rFonts w:asciiTheme="minorHAnsi" w:hAnsiTheme="minorHAnsi" w:cs="Arial"/>
                <w:b/>
                <w:sz w:val="20"/>
                <w:szCs w:val="20"/>
              </w:rPr>
              <w:t>Disease control rate (%) at 8 weeks</w:t>
            </w:r>
          </w:p>
        </w:tc>
        <w:tc>
          <w:tcPr>
            <w:tcW w:w="1036" w:type="pct"/>
            <w:tcBorders>
              <w:top w:val="single" w:sz="4" w:space="0" w:color="auto"/>
              <w:left w:val="single" w:sz="4" w:space="0" w:color="auto"/>
              <w:bottom w:val="single" w:sz="4" w:space="0" w:color="auto"/>
              <w:right w:val="single" w:sz="4" w:space="0" w:color="auto"/>
            </w:tcBorders>
            <w:vAlign w:val="bottom"/>
          </w:tcPr>
          <w:p w:rsidR="004D3D9C" w:rsidRPr="00A21238" w:rsidRDefault="004D3D9C" w:rsidP="002F1053">
            <w:pPr>
              <w:jc w:val="center"/>
              <w:rPr>
                <w:rFonts w:asciiTheme="minorHAnsi" w:hAnsiTheme="minorHAnsi" w:cs="Arial"/>
                <w:b/>
                <w:sz w:val="20"/>
                <w:szCs w:val="20"/>
              </w:rPr>
            </w:pPr>
            <w:r w:rsidRPr="00A21238">
              <w:rPr>
                <w:rFonts w:asciiTheme="minorHAnsi" w:hAnsiTheme="minorHAnsi" w:cs="Arial"/>
                <w:b/>
                <w:sz w:val="20"/>
                <w:szCs w:val="20"/>
              </w:rPr>
              <w:t>87%</w:t>
            </w:r>
          </w:p>
        </w:tc>
        <w:tc>
          <w:tcPr>
            <w:tcW w:w="1083" w:type="pct"/>
            <w:tcBorders>
              <w:top w:val="single" w:sz="4" w:space="0" w:color="auto"/>
              <w:left w:val="single" w:sz="4" w:space="0" w:color="auto"/>
              <w:bottom w:val="single" w:sz="4" w:space="0" w:color="auto"/>
              <w:right w:val="single" w:sz="4" w:space="0" w:color="auto"/>
            </w:tcBorders>
            <w:vAlign w:val="bottom"/>
          </w:tcPr>
          <w:p w:rsidR="004D3D9C" w:rsidRPr="00A21238" w:rsidRDefault="00E66394" w:rsidP="002F1053">
            <w:pPr>
              <w:jc w:val="center"/>
              <w:rPr>
                <w:rFonts w:asciiTheme="minorHAnsi" w:hAnsiTheme="minorHAnsi" w:cs="Arial"/>
                <w:b/>
                <w:sz w:val="20"/>
                <w:szCs w:val="20"/>
              </w:rPr>
            </w:pPr>
            <w:r w:rsidRPr="00A21238">
              <w:rPr>
                <w:rFonts w:asciiTheme="minorHAnsi" w:hAnsiTheme="minorHAnsi" w:cs="Arial"/>
                <w:b/>
                <w:sz w:val="20"/>
                <w:szCs w:val="20"/>
              </w:rPr>
              <w:t>1 (</w:t>
            </w:r>
            <w:r w:rsidR="004D3D9C" w:rsidRPr="00A21238">
              <w:rPr>
                <w:rFonts w:asciiTheme="minorHAnsi" w:hAnsiTheme="minorHAnsi" w:cs="Arial"/>
                <w:b/>
                <w:sz w:val="20"/>
                <w:szCs w:val="20"/>
              </w:rPr>
              <w:t>82</w:t>
            </w:r>
            <w:r w:rsidRPr="00A21238">
              <w:rPr>
                <w:rFonts w:asciiTheme="minorHAnsi" w:hAnsiTheme="minorHAnsi" w:cs="Arial"/>
                <w:b/>
                <w:sz w:val="20"/>
                <w:szCs w:val="20"/>
              </w:rPr>
              <w:t>)</w:t>
            </w:r>
          </w:p>
        </w:tc>
      </w:tr>
      <w:tr w:rsidR="004D3D9C" w:rsidRPr="00A21238" w:rsidTr="00E66394">
        <w:trPr>
          <w:trHeight w:val="512"/>
        </w:trPr>
        <w:tc>
          <w:tcPr>
            <w:tcW w:w="2881" w:type="pct"/>
            <w:tcBorders>
              <w:top w:val="single" w:sz="4" w:space="0" w:color="auto"/>
              <w:left w:val="single" w:sz="4" w:space="0" w:color="auto"/>
              <w:bottom w:val="single" w:sz="4" w:space="0" w:color="auto"/>
              <w:right w:val="single" w:sz="4" w:space="0" w:color="auto"/>
            </w:tcBorders>
            <w:vAlign w:val="bottom"/>
          </w:tcPr>
          <w:p w:rsidR="004D3D9C" w:rsidRPr="00A21238" w:rsidRDefault="004D3D9C" w:rsidP="004D3D9C">
            <w:pPr>
              <w:rPr>
                <w:rFonts w:asciiTheme="minorHAnsi" w:hAnsiTheme="minorHAnsi" w:cs="Arial"/>
                <w:b/>
                <w:sz w:val="20"/>
                <w:szCs w:val="20"/>
              </w:rPr>
            </w:pPr>
            <w:r w:rsidRPr="00A21238">
              <w:rPr>
                <w:rFonts w:asciiTheme="minorHAnsi" w:hAnsiTheme="minorHAnsi" w:cs="Arial"/>
                <w:b/>
                <w:sz w:val="20"/>
                <w:szCs w:val="20"/>
              </w:rPr>
              <w:t xml:space="preserve">Estimated 6 month probability of </w:t>
            </w:r>
            <w:r w:rsidR="00E66394" w:rsidRPr="00A21238">
              <w:rPr>
                <w:rFonts w:asciiTheme="minorHAnsi" w:hAnsiTheme="minorHAnsi"/>
                <w:b/>
                <w:sz w:val="20"/>
                <w:szCs w:val="20"/>
              </w:rPr>
              <w:t>Progression free survival</w:t>
            </w:r>
            <w:r w:rsidR="00E66394" w:rsidRPr="00A21238">
              <w:rPr>
                <w:rFonts w:asciiTheme="minorHAnsi" w:hAnsiTheme="minorHAnsi" w:cs="Arial"/>
                <w:b/>
                <w:sz w:val="20"/>
                <w:szCs w:val="20"/>
              </w:rPr>
              <w:t xml:space="preserve"> </w:t>
            </w:r>
          </w:p>
        </w:tc>
        <w:tc>
          <w:tcPr>
            <w:tcW w:w="1036" w:type="pct"/>
            <w:tcBorders>
              <w:top w:val="single" w:sz="4" w:space="0" w:color="auto"/>
              <w:left w:val="single" w:sz="4" w:space="0" w:color="auto"/>
              <w:bottom w:val="single" w:sz="4" w:space="0" w:color="auto"/>
              <w:right w:val="single" w:sz="4" w:space="0" w:color="auto"/>
            </w:tcBorders>
            <w:vAlign w:val="bottom"/>
          </w:tcPr>
          <w:p w:rsidR="004D3D9C" w:rsidRPr="00A21238" w:rsidRDefault="004D3D9C" w:rsidP="002F1053">
            <w:pPr>
              <w:jc w:val="center"/>
              <w:rPr>
                <w:rFonts w:asciiTheme="minorHAnsi" w:hAnsiTheme="minorHAnsi" w:cs="Arial"/>
                <w:b/>
                <w:sz w:val="20"/>
                <w:szCs w:val="20"/>
              </w:rPr>
            </w:pPr>
            <w:r w:rsidRPr="00A21238">
              <w:rPr>
                <w:rFonts w:asciiTheme="minorHAnsi" w:hAnsiTheme="minorHAnsi" w:cs="Arial"/>
                <w:b/>
                <w:sz w:val="20"/>
                <w:szCs w:val="20"/>
              </w:rPr>
              <w:t>72%</w:t>
            </w:r>
          </w:p>
        </w:tc>
        <w:tc>
          <w:tcPr>
            <w:tcW w:w="1083" w:type="pct"/>
            <w:tcBorders>
              <w:top w:val="single" w:sz="4" w:space="0" w:color="auto"/>
              <w:left w:val="single" w:sz="4" w:space="0" w:color="auto"/>
              <w:bottom w:val="single" w:sz="4" w:space="0" w:color="auto"/>
              <w:right w:val="single" w:sz="4" w:space="0" w:color="auto"/>
            </w:tcBorders>
            <w:vAlign w:val="bottom"/>
          </w:tcPr>
          <w:p w:rsidR="004D3D9C" w:rsidRPr="00A21238" w:rsidRDefault="00E66394" w:rsidP="002F1053">
            <w:pPr>
              <w:jc w:val="center"/>
              <w:rPr>
                <w:rFonts w:asciiTheme="minorHAnsi" w:hAnsiTheme="minorHAnsi" w:cs="Arial"/>
                <w:b/>
                <w:sz w:val="20"/>
                <w:szCs w:val="20"/>
              </w:rPr>
            </w:pPr>
            <w:r w:rsidRPr="00A21238">
              <w:rPr>
                <w:rFonts w:asciiTheme="minorHAnsi" w:hAnsiTheme="minorHAnsi" w:cs="Arial"/>
                <w:b/>
                <w:sz w:val="20"/>
                <w:szCs w:val="20"/>
              </w:rPr>
              <w:t>1 (</w:t>
            </w:r>
            <w:r w:rsidR="004D3D9C" w:rsidRPr="00A21238">
              <w:rPr>
                <w:rFonts w:asciiTheme="minorHAnsi" w:hAnsiTheme="minorHAnsi" w:cs="Arial"/>
                <w:b/>
                <w:sz w:val="20"/>
                <w:szCs w:val="20"/>
              </w:rPr>
              <w:t>82</w:t>
            </w:r>
            <w:r w:rsidRPr="00A21238">
              <w:rPr>
                <w:rFonts w:asciiTheme="minorHAnsi" w:hAnsiTheme="minorHAnsi" w:cs="Arial"/>
                <w:b/>
                <w:sz w:val="20"/>
                <w:szCs w:val="20"/>
              </w:rPr>
              <w:t>)</w:t>
            </w:r>
          </w:p>
        </w:tc>
      </w:tr>
    </w:tbl>
    <w:p w:rsidR="002375BB" w:rsidRPr="00437895" w:rsidRDefault="00AC081E" w:rsidP="00A26FF8">
      <w:pPr>
        <w:ind w:hanging="90"/>
        <w:rPr>
          <w:rFonts w:asciiTheme="minorHAnsi" w:hAnsiTheme="minorHAnsi" w:cs="Arial"/>
          <w:b/>
          <w:sz w:val="18"/>
          <w:szCs w:val="18"/>
        </w:rPr>
      </w:pPr>
      <w:r w:rsidRPr="00AC081E">
        <w:rPr>
          <w:rFonts w:ascii="Calibri" w:hAnsi="Calibri"/>
          <w:sz w:val="18"/>
          <w:szCs w:val="18"/>
        </w:rPr>
        <w:t>Abbreviations: n, Number of studies; N, Number of patients</w:t>
      </w:r>
      <w:r w:rsidRPr="00AC081E">
        <w:rPr>
          <w:rFonts w:asciiTheme="minorHAnsi" w:hAnsiTheme="minorHAnsi"/>
          <w:sz w:val="18"/>
          <w:szCs w:val="18"/>
        </w:rPr>
        <w:t xml:space="preserve"> </w:t>
      </w:r>
    </w:p>
    <w:p w:rsidR="000F33D4" w:rsidRPr="00A21238" w:rsidRDefault="000F33D4" w:rsidP="007E1798">
      <w:pPr>
        <w:rPr>
          <w:rFonts w:asciiTheme="minorHAnsi" w:hAnsiTheme="minorHAnsi" w:cs="Arial"/>
          <w:b/>
        </w:rPr>
      </w:pPr>
    </w:p>
    <w:p w:rsidR="000F33D4" w:rsidRPr="00A21238" w:rsidRDefault="000F33D4" w:rsidP="007E1798">
      <w:pPr>
        <w:rPr>
          <w:rFonts w:asciiTheme="minorHAnsi" w:hAnsiTheme="minorHAnsi"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FA7BA1" w:rsidRPr="00A52683" w:rsidTr="00C90DB1">
        <w:tc>
          <w:tcPr>
            <w:tcW w:w="5000" w:type="pct"/>
            <w:vAlign w:val="center"/>
          </w:tcPr>
          <w:p w:rsidR="00FA7BA1" w:rsidRPr="00A52683" w:rsidRDefault="009E56FC" w:rsidP="001178B5">
            <w:pPr>
              <w:rPr>
                <w:b/>
                <w:sz w:val="22"/>
                <w:szCs w:val="22"/>
              </w:rPr>
            </w:pPr>
            <w:r w:rsidRPr="00A52683">
              <w:rPr>
                <w:b/>
                <w:sz w:val="22"/>
                <w:szCs w:val="22"/>
              </w:rPr>
              <w:t xml:space="preserve">2.2a: </w:t>
            </w:r>
            <w:r w:rsidR="002079EB" w:rsidRPr="00A52683">
              <w:rPr>
                <w:b/>
                <w:sz w:val="22"/>
                <w:szCs w:val="22"/>
              </w:rPr>
              <w:t xml:space="preserve">Expert </w:t>
            </w:r>
            <w:r w:rsidR="00031CF5">
              <w:rPr>
                <w:b/>
                <w:sz w:val="22"/>
                <w:szCs w:val="22"/>
              </w:rPr>
              <w:t>C</w:t>
            </w:r>
            <w:r w:rsidR="002079EB" w:rsidRPr="00A52683">
              <w:rPr>
                <w:b/>
                <w:sz w:val="22"/>
                <w:szCs w:val="22"/>
              </w:rPr>
              <w:t>onsensus</w:t>
            </w:r>
            <w:r w:rsidR="00A070F6" w:rsidRPr="00A52683">
              <w:rPr>
                <w:b/>
                <w:sz w:val="22"/>
                <w:szCs w:val="22"/>
              </w:rPr>
              <w:t xml:space="preserve"> </w:t>
            </w:r>
            <w:r w:rsidR="00031CF5">
              <w:rPr>
                <w:b/>
                <w:sz w:val="22"/>
                <w:szCs w:val="22"/>
              </w:rPr>
              <w:t>O</w:t>
            </w:r>
            <w:r w:rsidR="00A070F6" w:rsidRPr="00A52683">
              <w:rPr>
                <w:b/>
                <w:sz w:val="22"/>
                <w:szCs w:val="22"/>
              </w:rPr>
              <w:t>pinion</w:t>
            </w:r>
            <w:r w:rsidR="005E0D7C" w:rsidRPr="00A52683">
              <w:rPr>
                <w:b/>
                <w:sz w:val="22"/>
                <w:szCs w:val="22"/>
              </w:rPr>
              <w:t>:</w:t>
            </w:r>
            <w:r w:rsidRPr="00A52683">
              <w:rPr>
                <w:b/>
                <w:sz w:val="22"/>
                <w:szCs w:val="22"/>
              </w:rPr>
              <w:t xml:space="preserve"> </w:t>
            </w:r>
            <w:r w:rsidR="001178B5" w:rsidRPr="001178B5">
              <w:rPr>
                <w:b/>
                <w:i/>
                <w:sz w:val="22"/>
                <w:szCs w:val="22"/>
              </w:rPr>
              <w:t>EGFR</w:t>
            </w:r>
            <w:r w:rsidR="001178B5" w:rsidRPr="001178B5">
              <w:rPr>
                <w:b/>
                <w:sz w:val="22"/>
                <w:szCs w:val="22"/>
              </w:rPr>
              <w:t xml:space="preserve"> testing of tumors at diagnosis from patients presenting with stage I, II, or III disease is encouraged but the decision to do so should be made locally by each laboratory, in collaboration with its oncology team.</w:t>
            </w:r>
          </w:p>
        </w:tc>
      </w:tr>
    </w:tbl>
    <w:p w:rsidR="00FA7BA1" w:rsidRPr="00A52683" w:rsidRDefault="00FA7BA1" w:rsidP="00FA7BA1">
      <w:pPr>
        <w:ind w:left="360"/>
        <w:rPr>
          <w:sz w:val="22"/>
          <w:szCs w:val="22"/>
        </w:rPr>
      </w:pPr>
    </w:p>
    <w:p w:rsidR="00D22C5A" w:rsidRPr="00A52683" w:rsidRDefault="00D22C5A" w:rsidP="00D22C5A">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D22C5A" w:rsidRPr="00A52683" w:rsidTr="001178B5">
        <w:trPr>
          <w:trHeight w:val="890"/>
        </w:trPr>
        <w:tc>
          <w:tcPr>
            <w:tcW w:w="5000" w:type="pct"/>
          </w:tcPr>
          <w:p w:rsidR="006A4203" w:rsidRPr="00A52683" w:rsidRDefault="006A4203" w:rsidP="001178B5">
            <w:pPr>
              <w:widowControl w:val="0"/>
              <w:spacing w:before="200"/>
              <w:outlineLvl w:val="3"/>
              <w:rPr>
                <w:b/>
                <w:sz w:val="22"/>
                <w:szCs w:val="22"/>
              </w:rPr>
            </w:pPr>
            <w:r w:rsidRPr="00A52683">
              <w:rPr>
                <w:b/>
                <w:sz w:val="22"/>
                <w:szCs w:val="22"/>
              </w:rPr>
              <w:t>2.2b</w:t>
            </w:r>
            <w:r w:rsidR="009E56FC" w:rsidRPr="00A52683">
              <w:rPr>
                <w:b/>
                <w:sz w:val="22"/>
                <w:szCs w:val="22"/>
              </w:rPr>
              <w:t xml:space="preserve">: </w:t>
            </w:r>
            <w:r w:rsidR="002079EB" w:rsidRPr="00A52683">
              <w:rPr>
                <w:b/>
                <w:sz w:val="22"/>
                <w:szCs w:val="22"/>
              </w:rPr>
              <w:t xml:space="preserve"> Expert </w:t>
            </w:r>
            <w:r w:rsidR="00031CF5">
              <w:rPr>
                <w:b/>
                <w:sz w:val="22"/>
                <w:szCs w:val="22"/>
              </w:rPr>
              <w:t>C</w:t>
            </w:r>
            <w:r w:rsidR="002079EB" w:rsidRPr="00A52683">
              <w:rPr>
                <w:b/>
                <w:sz w:val="22"/>
                <w:szCs w:val="22"/>
              </w:rPr>
              <w:t>onsensus</w:t>
            </w:r>
            <w:r w:rsidR="00A070F6" w:rsidRPr="00A52683">
              <w:rPr>
                <w:b/>
                <w:sz w:val="22"/>
                <w:szCs w:val="22"/>
              </w:rPr>
              <w:t xml:space="preserve"> </w:t>
            </w:r>
            <w:r w:rsidR="00031CF5">
              <w:rPr>
                <w:b/>
                <w:sz w:val="22"/>
                <w:szCs w:val="22"/>
              </w:rPr>
              <w:t>O</w:t>
            </w:r>
            <w:r w:rsidR="00A070F6" w:rsidRPr="00A52683">
              <w:rPr>
                <w:b/>
                <w:sz w:val="22"/>
                <w:szCs w:val="22"/>
              </w:rPr>
              <w:t>pinion</w:t>
            </w:r>
            <w:r w:rsidRPr="00A52683">
              <w:rPr>
                <w:b/>
                <w:sz w:val="22"/>
                <w:szCs w:val="22"/>
              </w:rPr>
              <w:t xml:space="preserve">: </w:t>
            </w:r>
            <w:r w:rsidR="001178B5" w:rsidRPr="001178B5">
              <w:rPr>
                <w:b/>
                <w:i/>
                <w:sz w:val="22"/>
                <w:szCs w:val="22"/>
              </w:rPr>
              <w:t xml:space="preserve">ALK </w:t>
            </w:r>
            <w:r w:rsidR="001178B5" w:rsidRPr="001178B5">
              <w:rPr>
                <w:b/>
                <w:sz w:val="22"/>
                <w:szCs w:val="22"/>
              </w:rPr>
              <w:t>testing of tumors at diagnosis from patients presenting with stage I, II, or III disease is encouraged</w:t>
            </w:r>
            <w:r w:rsidR="00C353FE">
              <w:rPr>
                <w:b/>
                <w:sz w:val="22"/>
                <w:szCs w:val="22"/>
              </w:rPr>
              <w:t>,</w:t>
            </w:r>
            <w:r w:rsidR="001178B5" w:rsidRPr="001178B5">
              <w:rPr>
                <w:b/>
                <w:sz w:val="22"/>
                <w:szCs w:val="22"/>
              </w:rPr>
              <w:t xml:space="preserve"> but the decision to do so should be made locally by each laboratory, in collaboration with its oncology team.</w:t>
            </w:r>
          </w:p>
        </w:tc>
      </w:tr>
    </w:tbl>
    <w:p w:rsidR="00D22C5A" w:rsidRPr="00A52683" w:rsidRDefault="00D22C5A" w:rsidP="00D22C5A">
      <w:pPr>
        <w:rPr>
          <w:sz w:val="22"/>
          <w:szCs w:val="22"/>
        </w:rPr>
      </w:pPr>
    </w:p>
    <w:p w:rsidR="003A49AB" w:rsidRPr="00A52683" w:rsidRDefault="003A49AB">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E7760" w:rsidRPr="00A52683" w:rsidTr="00971A5D">
        <w:tc>
          <w:tcPr>
            <w:tcW w:w="5000" w:type="pct"/>
          </w:tcPr>
          <w:p w:rsidR="004E7760" w:rsidRPr="00A52683" w:rsidRDefault="004E7760" w:rsidP="00971A5D">
            <w:pPr>
              <w:spacing w:before="60" w:after="60"/>
              <w:rPr>
                <w:b/>
                <w:bCs/>
                <w:sz w:val="22"/>
                <w:szCs w:val="22"/>
              </w:rPr>
            </w:pPr>
            <w:r w:rsidRPr="00A52683">
              <w:rPr>
                <w:b/>
                <w:bCs/>
                <w:sz w:val="22"/>
                <w:szCs w:val="22"/>
              </w:rPr>
              <w:t>2.3</w:t>
            </w:r>
            <w:r w:rsidR="009E56FC" w:rsidRPr="00A52683">
              <w:rPr>
                <w:b/>
                <w:bCs/>
                <w:sz w:val="22"/>
                <w:szCs w:val="22"/>
              </w:rPr>
              <w:t xml:space="preserve">: </w:t>
            </w:r>
            <w:r w:rsidRPr="00A52683">
              <w:rPr>
                <w:b/>
                <w:bCs/>
                <w:sz w:val="22"/>
                <w:szCs w:val="22"/>
              </w:rPr>
              <w:t xml:space="preserve"> Recommendat</w:t>
            </w:r>
            <w:r w:rsidR="001178B5">
              <w:rPr>
                <w:b/>
                <w:bCs/>
                <w:sz w:val="22"/>
                <w:szCs w:val="22"/>
              </w:rPr>
              <w:t xml:space="preserve">ion:  Tissue </w:t>
            </w:r>
            <w:proofErr w:type="gramStart"/>
            <w:r w:rsidR="001178B5">
              <w:rPr>
                <w:b/>
                <w:bCs/>
                <w:sz w:val="22"/>
                <w:szCs w:val="22"/>
              </w:rPr>
              <w:t>should be prioritized</w:t>
            </w:r>
            <w:proofErr w:type="gramEnd"/>
            <w:r w:rsidRPr="00A52683">
              <w:rPr>
                <w:b/>
                <w:bCs/>
                <w:sz w:val="22"/>
                <w:szCs w:val="22"/>
              </w:rPr>
              <w:t xml:space="preserve"> for </w:t>
            </w:r>
            <w:r w:rsidRPr="00A52683">
              <w:rPr>
                <w:b/>
                <w:bCs/>
                <w:i/>
                <w:sz w:val="22"/>
                <w:szCs w:val="22"/>
              </w:rPr>
              <w:t>EGFR</w:t>
            </w:r>
            <w:r w:rsidRPr="00A52683">
              <w:rPr>
                <w:b/>
                <w:bCs/>
                <w:sz w:val="22"/>
                <w:szCs w:val="22"/>
              </w:rPr>
              <w:t xml:space="preserve"> and </w:t>
            </w:r>
            <w:r w:rsidRPr="00A52683">
              <w:rPr>
                <w:b/>
                <w:bCs/>
                <w:i/>
                <w:sz w:val="22"/>
                <w:szCs w:val="22"/>
              </w:rPr>
              <w:t>ALK</w:t>
            </w:r>
            <w:r w:rsidR="00C353FE">
              <w:rPr>
                <w:b/>
                <w:bCs/>
                <w:sz w:val="22"/>
                <w:szCs w:val="22"/>
              </w:rPr>
              <w:t xml:space="preserve"> testing</w:t>
            </w:r>
            <w:r w:rsidRPr="00A52683">
              <w:rPr>
                <w:b/>
                <w:bCs/>
                <w:sz w:val="22"/>
                <w:szCs w:val="22"/>
              </w:rPr>
              <w:t>.</w:t>
            </w:r>
          </w:p>
        </w:tc>
      </w:tr>
      <w:tr w:rsidR="004E7760" w:rsidRPr="00A52683" w:rsidTr="004E7760">
        <w:tc>
          <w:tcPr>
            <w:tcW w:w="5000" w:type="pct"/>
            <w:vAlign w:val="center"/>
          </w:tcPr>
          <w:p w:rsidR="004E7760" w:rsidRPr="00A52683" w:rsidRDefault="004E7760" w:rsidP="00BC0738">
            <w:pPr>
              <w:pStyle w:val="ListParagraph"/>
              <w:ind w:left="0"/>
              <w:rPr>
                <w:rFonts w:ascii="Times New Roman" w:hAnsi="Times New Roman"/>
              </w:rPr>
            </w:pPr>
            <w:r w:rsidRPr="00A52683">
              <w:rPr>
                <w:rFonts w:ascii="Times New Roman" w:hAnsi="Times New Roman"/>
              </w:rPr>
              <w:t xml:space="preserve">See recommendation 1.1a and 1.1b </w:t>
            </w:r>
            <w:r w:rsidR="00BC0738" w:rsidRPr="00A52683">
              <w:rPr>
                <w:rFonts w:ascii="Times New Roman" w:hAnsi="Times New Roman"/>
              </w:rPr>
              <w:t>for evidence tables and grading.</w:t>
            </w:r>
          </w:p>
        </w:tc>
      </w:tr>
    </w:tbl>
    <w:p w:rsidR="00971A5D" w:rsidRPr="00A52683" w:rsidRDefault="00971A5D" w:rsidP="003A49AB">
      <w:pPr>
        <w:spacing w:before="60" w:after="60"/>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C6251" w:rsidRPr="00A52683" w:rsidTr="00971A5D">
        <w:tc>
          <w:tcPr>
            <w:tcW w:w="5000" w:type="pct"/>
          </w:tcPr>
          <w:p w:rsidR="00CC5464" w:rsidRPr="00A52683" w:rsidRDefault="006A4203" w:rsidP="00971A5D">
            <w:pPr>
              <w:keepNext/>
              <w:keepLines/>
              <w:spacing w:before="200"/>
              <w:rPr>
                <w:b/>
                <w:sz w:val="22"/>
                <w:szCs w:val="22"/>
              </w:rPr>
            </w:pPr>
            <w:r w:rsidRPr="00A52683">
              <w:rPr>
                <w:b/>
                <w:sz w:val="22"/>
                <w:szCs w:val="22"/>
              </w:rPr>
              <w:t xml:space="preserve">3.1:  Expert </w:t>
            </w:r>
            <w:r w:rsidR="00031CF5">
              <w:rPr>
                <w:b/>
                <w:sz w:val="22"/>
                <w:szCs w:val="22"/>
              </w:rPr>
              <w:t>C</w:t>
            </w:r>
            <w:r w:rsidRPr="00A52683">
              <w:rPr>
                <w:b/>
                <w:sz w:val="22"/>
                <w:szCs w:val="22"/>
              </w:rPr>
              <w:t xml:space="preserve">onsensus </w:t>
            </w:r>
            <w:r w:rsidR="00031CF5">
              <w:rPr>
                <w:b/>
                <w:sz w:val="22"/>
                <w:szCs w:val="22"/>
              </w:rPr>
              <w:t>O</w:t>
            </w:r>
            <w:r w:rsidRPr="00A52683">
              <w:rPr>
                <w:b/>
                <w:sz w:val="22"/>
                <w:szCs w:val="22"/>
              </w:rPr>
              <w:t xml:space="preserve">pinion: </w:t>
            </w:r>
            <w:r w:rsidRPr="00A52683">
              <w:rPr>
                <w:b/>
                <w:i/>
                <w:sz w:val="22"/>
                <w:szCs w:val="22"/>
              </w:rPr>
              <w:t>EGFR</w:t>
            </w:r>
            <w:r w:rsidRPr="00A52683">
              <w:rPr>
                <w:b/>
                <w:sz w:val="22"/>
                <w:szCs w:val="22"/>
              </w:rPr>
              <w:t xml:space="preserve"> and </w:t>
            </w:r>
            <w:r w:rsidRPr="00A52683">
              <w:rPr>
                <w:b/>
                <w:i/>
                <w:sz w:val="22"/>
                <w:szCs w:val="22"/>
              </w:rPr>
              <w:t>ALK</w:t>
            </w:r>
            <w:r w:rsidRPr="00A52683">
              <w:rPr>
                <w:b/>
                <w:sz w:val="22"/>
                <w:szCs w:val="22"/>
              </w:rPr>
              <w:t xml:space="preserve"> results should be available within </w:t>
            </w:r>
            <w:r w:rsidR="00674552">
              <w:rPr>
                <w:b/>
                <w:sz w:val="22"/>
                <w:szCs w:val="22"/>
              </w:rPr>
              <w:t>2</w:t>
            </w:r>
            <w:r w:rsidRPr="00A52683">
              <w:rPr>
                <w:b/>
                <w:sz w:val="22"/>
                <w:szCs w:val="22"/>
              </w:rPr>
              <w:t xml:space="preserve"> weeks (10 working days) of receiving the specimen in the testing laboratory.</w:t>
            </w:r>
          </w:p>
        </w:tc>
      </w:tr>
    </w:tbl>
    <w:p w:rsidR="00971A5D" w:rsidRPr="00A52683" w:rsidRDefault="00971A5D" w:rsidP="00E35579">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E7760" w:rsidRPr="00A52683" w:rsidTr="004E7760">
        <w:tc>
          <w:tcPr>
            <w:tcW w:w="5000" w:type="pct"/>
            <w:vAlign w:val="center"/>
          </w:tcPr>
          <w:p w:rsidR="004E7760" w:rsidRPr="00A52683" w:rsidRDefault="006A4203" w:rsidP="00674552">
            <w:pPr>
              <w:keepNext/>
              <w:keepLines/>
              <w:spacing w:before="200"/>
              <w:outlineLvl w:val="3"/>
              <w:rPr>
                <w:b/>
                <w:sz w:val="22"/>
                <w:szCs w:val="22"/>
              </w:rPr>
            </w:pPr>
            <w:r w:rsidRPr="00A52683">
              <w:rPr>
                <w:b/>
                <w:sz w:val="22"/>
                <w:szCs w:val="22"/>
              </w:rPr>
              <w:t xml:space="preserve">3.2:  Expert </w:t>
            </w:r>
            <w:r w:rsidR="00031CF5">
              <w:rPr>
                <w:b/>
                <w:sz w:val="22"/>
                <w:szCs w:val="22"/>
              </w:rPr>
              <w:t>C</w:t>
            </w:r>
            <w:r w:rsidRPr="00A52683">
              <w:rPr>
                <w:b/>
                <w:sz w:val="22"/>
                <w:szCs w:val="22"/>
              </w:rPr>
              <w:t xml:space="preserve">onsensus </w:t>
            </w:r>
            <w:r w:rsidR="00031CF5">
              <w:rPr>
                <w:b/>
                <w:sz w:val="22"/>
                <w:szCs w:val="22"/>
              </w:rPr>
              <w:t>O</w:t>
            </w:r>
            <w:r w:rsidRPr="00A52683">
              <w:rPr>
                <w:b/>
                <w:sz w:val="22"/>
                <w:szCs w:val="22"/>
              </w:rPr>
              <w:t xml:space="preserve">pinion: Laboratories with average </w:t>
            </w:r>
            <w:r w:rsidR="00357441">
              <w:rPr>
                <w:b/>
                <w:sz w:val="22"/>
                <w:szCs w:val="22"/>
              </w:rPr>
              <w:t>TAT</w:t>
            </w:r>
            <w:r w:rsidR="00674552">
              <w:rPr>
                <w:b/>
                <w:sz w:val="22"/>
                <w:szCs w:val="22"/>
              </w:rPr>
              <w:t>s</w:t>
            </w:r>
            <w:r w:rsidR="00357441">
              <w:rPr>
                <w:b/>
                <w:sz w:val="22"/>
                <w:szCs w:val="22"/>
              </w:rPr>
              <w:t xml:space="preserve"> </w:t>
            </w:r>
            <w:r w:rsidRPr="00A52683">
              <w:rPr>
                <w:b/>
                <w:sz w:val="22"/>
                <w:szCs w:val="22"/>
              </w:rPr>
              <w:t xml:space="preserve">beyond </w:t>
            </w:r>
            <w:r w:rsidR="00674552">
              <w:rPr>
                <w:b/>
                <w:sz w:val="22"/>
                <w:szCs w:val="22"/>
              </w:rPr>
              <w:t>2</w:t>
            </w:r>
            <w:r w:rsidRPr="00A52683">
              <w:rPr>
                <w:b/>
                <w:sz w:val="22"/>
                <w:szCs w:val="22"/>
              </w:rPr>
              <w:t xml:space="preserve"> weeks need to make available a more rapid test– either in-house or through a reference laboratory– in instances of clinical urgency.</w:t>
            </w:r>
          </w:p>
        </w:tc>
      </w:tr>
    </w:tbl>
    <w:p w:rsidR="00971A5D" w:rsidRPr="00A52683" w:rsidRDefault="00971A5D" w:rsidP="00E35579">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E7760" w:rsidRPr="00A52683" w:rsidTr="004E7760">
        <w:tc>
          <w:tcPr>
            <w:tcW w:w="5000" w:type="pct"/>
            <w:vAlign w:val="center"/>
          </w:tcPr>
          <w:p w:rsidR="004E7760" w:rsidRPr="00A52683" w:rsidRDefault="00665CB4" w:rsidP="005B6048">
            <w:pPr>
              <w:keepNext/>
              <w:keepLines/>
              <w:spacing w:before="200"/>
              <w:outlineLvl w:val="3"/>
              <w:rPr>
                <w:b/>
                <w:sz w:val="22"/>
                <w:szCs w:val="22"/>
              </w:rPr>
            </w:pPr>
            <w:r>
              <w:rPr>
                <w:b/>
                <w:sz w:val="22"/>
                <w:szCs w:val="22"/>
              </w:rPr>
              <w:t>3.3:  Expert C</w:t>
            </w:r>
            <w:r w:rsidRPr="00A52683">
              <w:rPr>
                <w:b/>
                <w:sz w:val="22"/>
                <w:szCs w:val="22"/>
              </w:rPr>
              <w:t xml:space="preserve">onsensus </w:t>
            </w:r>
            <w:r>
              <w:rPr>
                <w:b/>
                <w:sz w:val="22"/>
                <w:szCs w:val="22"/>
              </w:rPr>
              <w:t>O</w:t>
            </w:r>
            <w:r w:rsidRPr="00A52683">
              <w:rPr>
                <w:b/>
                <w:sz w:val="22"/>
                <w:szCs w:val="22"/>
              </w:rPr>
              <w:t xml:space="preserve">pinion: Laboratory departments should establish processes to ensure that specimens </w:t>
            </w:r>
            <w:r>
              <w:rPr>
                <w:b/>
                <w:sz w:val="22"/>
                <w:szCs w:val="22"/>
              </w:rPr>
              <w:t xml:space="preserve">that have a final histopathologic diagnosis </w:t>
            </w:r>
            <w:proofErr w:type="gramStart"/>
            <w:r w:rsidRPr="00A52683">
              <w:rPr>
                <w:b/>
                <w:sz w:val="22"/>
                <w:szCs w:val="22"/>
              </w:rPr>
              <w:t>are sent</w:t>
            </w:r>
            <w:proofErr w:type="gramEnd"/>
            <w:r w:rsidRPr="00A52683">
              <w:rPr>
                <w:b/>
                <w:sz w:val="22"/>
                <w:szCs w:val="22"/>
              </w:rPr>
              <w:t xml:space="preserve"> to outside molecular pathology laboratories within 3 working days of receiving requests and to intramural molecular pathology laboratories within 24 hours. </w:t>
            </w:r>
          </w:p>
        </w:tc>
      </w:tr>
    </w:tbl>
    <w:p w:rsidR="00AE7F16" w:rsidRPr="00A52683" w:rsidRDefault="00AE7F16" w:rsidP="00E35579">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C6251" w:rsidRPr="00A52683" w:rsidTr="00C255F9">
        <w:tc>
          <w:tcPr>
            <w:tcW w:w="5000" w:type="pct"/>
            <w:vAlign w:val="center"/>
          </w:tcPr>
          <w:p w:rsidR="00C82900" w:rsidRPr="00A52683" w:rsidRDefault="006A4203" w:rsidP="005B6048">
            <w:pPr>
              <w:rPr>
                <w:b/>
                <w:bCs/>
                <w:sz w:val="22"/>
                <w:szCs w:val="22"/>
              </w:rPr>
            </w:pPr>
            <w:r w:rsidRPr="00A52683">
              <w:rPr>
                <w:b/>
                <w:bCs/>
                <w:sz w:val="22"/>
                <w:szCs w:val="22"/>
              </w:rPr>
              <w:t>4.1:</w:t>
            </w:r>
            <w:r w:rsidR="006C5A44" w:rsidRPr="00A52683">
              <w:rPr>
                <w:b/>
                <w:sz w:val="22"/>
                <w:szCs w:val="22"/>
              </w:rPr>
              <w:t xml:space="preserve"> Expert </w:t>
            </w:r>
            <w:r w:rsidR="00031CF5">
              <w:rPr>
                <w:b/>
                <w:sz w:val="22"/>
                <w:szCs w:val="22"/>
              </w:rPr>
              <w:t>C</w:t>
            </w:r>
            <w:r w:rsidR="006C5A44" w:rsidRPr="00A52683">
              <w:rPr>
                <w:b/>
                <w:sz w:val="22"/>
                <w:szCs w:val="22"/>
              </w:rPr>
              <w:t>onsensus</w:t>
            </w:r>
            <w:r w:rsidR="00A070F6" w:rsidRPr="00A52683">
              <w:rPr>
                <w:b/>
                <w:sz w:val="22"/>
                <w:szCs w:val="22"/>
              </w:rPr>
              <w:t xml:space="preserve"> </w:t>
            </w:r>
            <w:r w:rsidR="00031CF5">
              <w:rPr>
                <w:b/>
                <w:sz w:val="22"/>
                <w:szCs w:val="22"/>
              </w:rPr>
              <w:t>O</w:t>
            </w:r>
            <w:r w:rsidR="00A070F6" w:rsidRPr="00A52683">
              <w:rPr>
                <w:b/>
                <w:sz w:val="22"/>
                <w:szCs w:val="22"/>
              </w:rPr>
              <w:t>pinion</w:t>
            </w:r>
            <w:r w:rsidRPr="00A52683">
              <w:rPr>
                <w:b/>
                <w:sz w:val="22"/>
                <w:szCs w:val="22"/>
              </w:rPr>
              <w:t xml:space="preserve">: </w:t>
            </w:r>
            <w:r w:rsidRPr="00A52683">
              <w:rPr>
                <w:b/>
                <w:bCs/>
                <w:sz w:val="22"/>
                <w:szCs w:val="22"/>
              </w:rPr>
              <w:t>Pathologists should use formalin-fixed, paraffin-embedded</w:t>
            </w:r>
            <w:r w:rsidR="005B6048">
              <w:rPr>
                <w:b/>
                <w:bCs/>
                <w:sz w:val="22"/>
                <w:szCs w:val="22"/>
              </w:rPr>
              <w:t xml:space="preserve"> (FFPE)</w:t>
            </w:r>
            <w:r w:rsidRPr="00A52683">
              <w:rPr>
                <w:b/>
                <w:bCs/>
                <w:sz w:val="22"/>
                <w:szCs w:val="22"/>
              </w:rPr>
              <w:t xml:space="preserve"> specimens or fresh, frozen, or alcohol-fixed specimens for </w:t>
            </w:r>
            <w:r w:rsidR="005B6048">
              <w:rPr>
                <w:b/>
                <w:bCs/>
                <w:sz w:val="22"/>
                <w:szCs w:val="22"/>
              </w:rPr>
              <w:t xml:space="preserve">polymerase chain reaction </w:t>
            </w:r>
            <w:r w:rsidR="00357441">
              <w:rPr>
                <w:b/>
                <w:bCs/>
                <w:sz w:val="22"/>
                <w:szCs w:val="22"/>
              </w:rPr>
              <w:t>(</w:t>
            </w:r>
            <w:r w:rsidRPr="00A52683">
              <w:rPr>
                <w:b/>
                <w:bCs/>
                <w:sz w:val="22"/>
                <w:szCs w:val="22"/>
              </w:rPr>
              <w:t>PCR</w:t>
            </w:r>
            <w:r w:rsidR="00357441">
              <w:rPr>
                <w:b/>
                <w:bCs/>
                <w:sz w:val="22"/>
                <w:szCs w:val="22"/>
              </w:rPr>
              <w:t>)</w:t>
            </w:r>
            <w:r w:rsidRPr="00A52683">
              <w:rPr>
                <w:b/>
                <w:bCs/>
                <w:sz w:val="22"/>
                <w:szCs w:val="22"/>
              </w:rPr>
              <w:t xml:space="preserve">-based </w:t>
            </w:r>
            <w:r w:rsidRPr="00A52683">
              <w:rPr>
                <w:b/>
                <w:bCs/>
                <w:i/>
                <w:sz w:val="22"/>
                <w:szCs w:val="22"/>
              </w:rPr>
              <w:t>EGFR</w:t>
            </w:r>
            <w:r w:rsidRPr="00A52683">
              <w:rPr>
                <w:b/>
                <w:bCs/>
                <w:sz w:val="22"/>
                <w:szCs w:val="22"/>
              </w:rPr>
              <w:t xml:space="preserve"> mutation tests. Other tissue treatments (eg, acidic or heavy metal fixatives, or decalcifying solutions) </w:t>
            </w:r>
            <w:proofErr w:type="gramStart"/>
            <w:r w:rsidRPr="00A52683">
              <w:rPr>
                <w:b/>
                <w:bCs/>
                <w:sz w:val="22"/>
                <w:szCs w:val="22"/>
              </w:rPr>
              <w:t>should be avoided</w:t>
            </w:r>
            <w:proofErr w:type="gramEnd"/>
            <w:r w:rsidRPr="00A52683">
              <w:rPr>
                <w:b/>
                <w:bCs/>
                <w:sz w:val="22"/>
                <w:szCs w:val="22"/>
              </w:rPr>
              <w:t xml:space="preserve"> in specimens destined for </w:t>
            </w:r>
            <w:r w:rsidRPr="00A52683">
              <w:rPr>
                <w:b/>
                <w:bCs/>
                <w:i/>
                <w:sz w:val="22"/>
                <w:szCs w:val="22"/>
              </w:rPr>
              <w:t>EGFR</w:t>
            </w:r>
            <w:r w:rsidRPr="00A52683">
              <w:rPr>
                <w:b/>
                <w:bCs/>
                <w:sz w:val="22"/>
                <w:szCs w:val="22"/>
              </w:rPr>
              <w:t xml:space="preserve"> testing.</w:t>
            </w:r>
          </w:p>
        </w:tc>
      </w:tr>
    </w:tbl>
    <w:p w:rsidR="00B45A8C" w:rsidRPr="00A52683" w:rsidRDefault="00B45A8C" w:rsidP="004F5518">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FC408A" w:rsidRPr="00A52683" w:rsidTr="007E0E2D">
        <w:tc>
          <w:tcPr>
            <w:tcW w:w="5000" w:type="pct"/>
            <w:vAlign w:val="center"/>
          </w:tcPr>
          <w:p w:rsidR="00FC408A" w:rsidRPr="00A52683" w:rsidRDefault="00481C2E" w:rsidP="008C3896">
            <w:pPr>
              <w:rPr>
                <w:b/>
                <w:sz w:val="22"/>
                <w:szCs w:val="22"/>
              </w:rPr>
            </w:pPr>
            <w:r w:rsidRPr="00A52683">
              <w:rPr>
                <w:b/>
                <w:sz w:val="22"/>
                <w:szCs w:val="22"/>
              </w:rPr>
              <w:lastRenderedPageBreak/>
              <w:t>4.</w:t>
            </w:r>
            <w:r w:rsidR="00DC09B0" w:rsidRPr="00A52683">
              <w:rPr>
                <w:b/>
                <w:sz w:val="22"/>
                <w:szCs w:val="22"/>
              </w:rPr>
              <w:t>2</w:t>
            </w:r>
            <w:r w:rsidRPr="00A52683">
              <w:rPr>
                <w:b/>
                <w:sz w:val="22"/>
                <w:szCs w:val="22"/>
              </w:rPr>
              <w:t xml:space="preserve"> Expert </w:t>
            </w:r>
            <w:r w:rsidR="00031CF5">
              <w:rPr>
                <w:b/>
                <w:sz w:val="22"/>
                <w:szCs w:val="22"/>
              </w:rPr>
              <w:t>C</w:t>
            </w:r>
            <w:r w:rsidRPr="00A52683">
              <w:rPr>
                <w:b/>
                <w:sz w:val="22"/>
                <w:szCs w:val="22"/>
              </w:rPr>
              <w:t xml:space="preserve">onsensus </w:t>
            </w:r>
            <w:r w:rsidR="00031CF5">
              <w:rPr>
                <w:b/>
                <w:sz w:val="22"/>
                <w:szCs w:val="22"/>
              </w:rPr>
              <w:t>O</w:t>
            </w:r>
            <w:r w:rsidRPr="00A52683">
              <w:rPr>
                <w:b/>
                <w:sz w:val="22"/>
                <w:szCs w:val="22"/>
              </w:rPr>
              <w:t xml:space="preserve">pinion: </w:t>
            </w:r>
            <w:proofErr w:type="spellStart"/>
            <w:r w:rsidR="00A070F6" w:rsidRPr="00A52683">
              <w:rPr>
                <w:b/>
                <w:sz w:val="22"/>
                <w:szCs w:val="22"/>
              </w:rPr>
              <w:t>C</w:t>
            </w:r>
            <w:r w:rsidRPr="00A52683">
              <w:rPr>
                <w:b/>
                <w:sz w:val="22"/>
                <w:szCs w:val="22"/>
              </w:rPr>
              <w:t>ytologic</w:t>
            </w:r>
            <w:proofErr w:type="spellEnd"/>
            <w:r w:rsidRPr="00A52683">
              <w:rPr>
                <w:b/>
                <w:sz w:val="22"/>
                <w:szCs w:val="22"/>
              </w:rPr>
              <w:t xml:space="preserve"> samples are also suitable for </w:t>
            </w:r>
            <w:r w:rsidRPr="00A52683">
              <w:rPr>
                <w:b/>
                <w:i/>
                <w:sz w:val="22"/>
                <w:szCs w:val="22"/>
              </w:rPr>
              <w:t>EGFR</w:t>
            </w:r>
            <w:r w:rsidRPr="00A52683">
              <w:rPr>
                <w:b/>
                <w:sz w:val="22"/>
                <w:szCs w:val="22"/>
              </w:rPr>
              <w:t xml:space="preserve"> and </w:t>
            </w:r>
            <w:r w:rsidRPr="00A52683">
              <w:rPr>
                <w:b/>
                <w:i/>
                <w:sz w:val="22"/>
                <w:szCs w:val="22"/>
              </w:rPr>
              <w:t>ALK</w:t>
            </w:r>
            <w:r w:rsidRPr="00A52683">
              <w:rPr>
                <w:b/>
                <w:sz w:val="22"/>
                <w:szCs w:val="22"/>
              </w:rPr>
              <w:t xml:space="preserve"> testing, with </w:t>
            </w:r>
            <w:proofErr w:type="gramStart"/>
            <w:r w:rsidRPr="00A52683">
              <w:rPr>
                <w:b/>
                <w:sz w:val="22"/>
                <w:szCs w:val="22"/>
              </w:rPr>
              <w:t>cell blocks</w:t>
            </w:r>
            <w:proofErr w:type="gramEnd"/>
            <w:r w:rsidRPr="00A52683">
              <w:rPr>
                <w:b/>
                <w:sz w:val="22"/>
                <w:szCs w:val="22"/>
              </w:rPr>
              <w:t xml:space="preserve"> being preferred over smear preparations.</w:t>
            </w:r>
          </w:p>
        </w:tc>
      </w:tr>
    </w:tbl>
    <w:p w:rsidR="004F5518" w:rsidRPr="00A52683" w:rsidRDefault="004F5518" w:rsidP="004F5518">
      <w:pPr>
        <w:rPr>
          <w:sz w:val="22"/>
          <w:szCs w:val="22"/>
        </w:rPr>
      </w:pPr>
    </w:p>
    <w:tbl>
      <w:tblPr>
        <w:tblStyle w:val="TableGrid"/>
        <w:tblW w:w="0" w:type="auto"/>
        <w:tblLook w:val="04A0"/>
      </w:tblPr>
      <w:tblGrid>
        <w:gridCol w:w="9576"/>
      </w:tblGrid>
      <w:tr w:rsidR="00A5468D" w:rsidRPr="00A52683" w:rsidTr="00A5468D">
        <w:tc>
          <w:tcPr>
            <w:tcW w:w="9576" w:type="dxa"/>
          </w:tcPr>
          <w:p w:rsidR="00A5468D" w:rsidRPr="00A52683" w:rsidRDefault="00A5468D" w:rsidP="004F5518">
            <w:pPr>
              <w:rPr>
                <w:b/>
                <w:sz w:val="22"/>
                <w:szCs w:val="22"/>
              </w:rPr>
            </w:pPr>
            <w:r w:rsidRPr="00A52683">
              <w:rPr>
                <w:b/>
                <w:sz w:val="22"/>
                <w:szCs w:val="22"/>
              </w:rPr>
              <w:t xml:space="preserve">5.1:  Expert </w:t>
            </w:r>
            <w:r w:rsidR="00031CF5">
              <w:rPr>
                <w:b/>
                <w:sz w:val="22"/>
                <w:szCs w:val="22"/>
              </w:rPr>
              <w:t>C</w:t>
            </w:r>
            <w:r w:rsidRPr="00A52683">
              <w:rPr>
                <w:b/>
                <w:sz w:val="22"/>
                <w:szCs w:val="22"/>
              </w:rPr>
              <w:t xml:space="preserve">onsensus </w:t>
            </w:r>
            <w:r w:rsidR="00031CF5">
              <w:rPr>
                <w:b/>
                <w:sz w:val="22"/>
                <w:szCs w:val="22"/>
              </w:rPr>
              <w:t>O</w:t>
            </w:r>
            <w:r w:rsidRPr="00A52683">
              <w:rPr>
                <w:b/>
                <w:sz w:val="22"/>
                <w:szCs w:val="22"/>
              </w:rPr>
              <w:t xml:space="preserve">pinion: </w:t>
            </w:r>
            <w:r w:rsidR="00A070F6" w:rsidRPr="00A52683">
              <w:rPr>
                <w:b/>
                <w:sz w:val="22"/>
                <w:szCs w:val="22"/>
              </w:rPr>
              <w:t>P</w:t>
            </w:r>
            <w:r w:rsidRPr="00A52683">
              <w:rPr>
                <w:b/>
                <w:sz w:val="22"/>
                <w:szCs w:val="22"/>
              </w:rPr>
              <w:t xml:space="preserve">athologists should determine the adequacy of specimens for </w:t>
            </w:r>
            <w:r w:rsidRPr="00B8122E">
              <w:rPr>
                <w:b/>
                <w:i/>
                <w:sz w:val="22"/>
                <w:szCs w:val="22"/>
              </w:rPr>
              <w:t>EGFR</w:t>
            </w:r>
            <w:r w:rsidRPr="00A52683">
              <w:rPr>
                <w:b/>
                <w:sz w:val="22"/>
                <w:szCs w:val="22"/>
              </w:rPr>
              <w:t xml:space="preserve"> testing by assessing cancer cell content and DNA quantity and quality.</w:t>
            </w:r>
          </w:p>
        </w:tc>
      </w:tr>
    </w:tbl>
    <w:p w:rsidR="002E6042" w:rsidRPr="00A52683" w:rsidRDefault="002E6042" w:rsidP="004F5518">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F5518" w:rsidRPr="00A52683" w:rsidTr="004952B0">
        <w:tc>
          <w:tcPr>
            <w:tcW w:w="5000" w:type="pct"/>
            <w:vAlign w:val="center"/>
          </w:tcPr>
          <w:p w:rsidR="00481C2E" w:rsidRPr="00A52683" w:rsidRDefault="00481C2E" w:rsidP="005B6048">
            <w:pPr>
              <w:rPr>
                <w:b/>
                <w:sz w:val="22"/>
                <w:szCs w:val="22"/>
              </w:rPr>
            </w:pPr>
            <w:r w:rsidRPr="00A52683">
              <w:rPr>
                <w:b/>
                <w:sz w:val="22"/>
                <w:szCs w:val="22"/>
              </w:rPr>
              <w:t xml:space="preserve">5.2: Expert </w:t>
            </w:r>
            <w:r w:rsidR="00031CF5">
              <w:rPr>
                <w:b/>
                <w:sz w:val="22"/>
                <w:szCs w:val="22"/>
              </w:rPr>
              <w:t>C</w:t>
            </w:r>
            <w:r w:rsidRPr="00A52683">
              <w:rPr>
                <w:b/>
                <w:sz w:val="22"/>
                <w:szCs w:val="22"/>
              </w:rPr>
              <w:t xml:space="preserve">onsensus </w:t>
            </w:r>
            <w:r w:rsidR="00031CF5">
              <w:rPr>
                <w:b/>
                <w:sz w:val="22"/>
                <w:szCs w:val="22"/>
              </w:rPr>
              <w:t>O</w:t>
            </w:r>
            <w:r w:rsidRPr="00A52683">
              <w:rPr>
                <w:b/>
                <w:sz w:val="22"/>
                <w:szCs w:val="22"/>
              </w:rPr>
              <w:t xml:space="preserve">pinion: </w:t>
            </w:r>
            <w:r w:rsidR="00A070F6" w:rsidRPr="00A52683">
              <w:rPr>
                <w:b/>
                <w:sz w:val="22"/>
                <w:szCs w:val="22"/>
              </w:rPr>
              <w:t>E</w:t>
            </w:r>
            <w:r w:rsidRPr="00A52683">
              <w:rPr>
                <w:b/>
                <w:sz w:val="22"/>
                <w:szCs w:val="22"/>
              </w:rPr>
              <w:t xml:space="preserve">ach laboratory should establish the minimum proportion and number of cancer cells needed for mutation detection during validation. </w:t>
            </w:r>
          </w:p>
        </w:tc>
      </w:tr>
    </w:tbl>
    <w:p w:rsidR="004F5518" w:rsidRPr="00A52683" w:rsidRDefault="004F5518" w:rsidP="00FB0E0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F5518" w:rsidRPr="00A52683" w:rsidTr="004952B0">
        <w:tc>
          <w:tcPr>
            <w:tcW w:w="5000" w:type="pct"/>
            <w:vAlign w:val="center"/>
          </w:tcPr>
          <w:p w:rsidR="00481C2E" w:rsidRPr="00A52683" w:rsidRDefault="00481C2E" w:rsidP="009200CE">
            <w:pPr>
              <w:rPr>
                <w:b/>
                <w:sz w:val="22"/>
                <w:szCs w:val="22"/>
              </w:rPr>
            </w:pPr>
            <w:r w:rsidRPr="00A52683">
              <w:rPr>
                <w:b/>
                <w:sz w:val="22"/>
                <w:szCs w:val="22"/>
              </w:rPr>
              <w:t xml:space="preserve">5.3:  Expert </w:t>
            </w:r>
            <w:r w:rsidR="00031CF5">
              <w:rPr>
                <w:b/>
                <w:sz w:val="22"/>
                <w:szCs w:val="22"/>
              </w:rPr>
              <w:t>C</w:t>
            </w:r>
            <w:r w:rsidRPr="00A52683">
              <w:rPr>
                <w:b/>
                <w:sz w:val="22"/>
                <w:szCs w:val="22"/>
              </w:rPr>
              <w:t xml:space="preserve">onsensus </w:t>
            </w:r>
            <w:r w:rsidR="00031CF5">
              <w:rPr>
                <w:b/>
                <w:sz w:val="22"/>
                <w:szCs w:val="22"/>
              </w:rPr>
              <w:t>O</w:t>
            </w:r>
            <w:r w:rsidRPr="00A52683">
              <w:rPr>
                <w:b/>
                <w:sz w:val="22"/>
                <w:szCs w:val="22"/>
              </w:rPr>
              <w:t xml:space="preserve">pinion: A pathologist should assess the tumor content of each specimen and either perform, or guide a trained technologist to perform, </w:t>
            </w:r>
            <w:proofErr w:type="spellStart"/>
            <w:r w:rsidRPr="00A52683">
              <w:rPr>
                <w:b/>
                <w:sz w:val="22"/>
                <w:szCs w:val="22"/>
              </w:rPr>
              <w:t>microdissection</w:t>
            </w:r>
            <w:proofErr w:type="spellEnd"/>
            <w:r w:rsidRPr="00A52683">
              <w:rPr>
                <w:b/>
                <w:sz w:val="22"/>
                <w:szCs w:val="22"/>
              </w:rPr>
              <w:t xml:space="preserve"> for tumor cell enrichment </w:t>
            </w:r>
            <w:r w:rsidR="009200CE">
              <w:rPr>
                <w:b/>
                <w:sz w:val="22"/>
                <w:szCs w:val="22"/>
              </w:rPr>
              <w:t>as</w:t>
            </w:r>
            <w:r w:rsidR="00357441">
              <w:rPr>
                <w:b/>
                <w:sz w:val="22"/>
                <w:szCs w:val="22"/>
              </w:rPr>
              <w:t xml:space="preserve"> </w:t>
            </w:r>
            <w:r w:rsidRPr="00A52683">
              <w:rPr>
                <w:b/>
                <w:sz w:val="22"/>
                <w:szCs w:val="22"/>
              </w:rPr>
              <w:t xml:space="preserve">needed.   </w:t>
            </w:r>
          </w:p>
        </w:tc>
      </w:tr>
    </w:tbl>
    <w:p w:rsidR="00245238" w:rsidRPr="00A52683" w:rsidRDefault="00245238" w:rsidP="008678C3">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678C3" w:rsidRPr="00A52683" w:rsidTr="004952B0">
        <w:tc>
          <w:tcPr>
            <w:tcW w:w="5000" w:type="pct"/>
            <w:vAlign w:val="center"/>
          </w:tcPr>
          <w:p w:rsidR="009E56FC" w:rsidRPr="00A52683" w:rsidRDefault="00AC424E" w:rsidP="00800F78">
            <w:pPr>
              <w:rPr>
                <w:b/>
                <w:sz w:val="22"/>
                <w:szCs w:val="22"/>
              </w:rPr>
            </w:pPr>
            <w:r w:rsidRPr="00A52683">
              <w:rPr>
                <w:b/>
                <w:sz w:val="22"/>
                <w:szCs w:val="22"/>
              </w:rPr>
              <w:br w:type="page"/>
            </w:r>
            <w:r w:rsidR="00481C2E" w:rsidRPr="00A52683">
              <w:rPr>
                <w:b/>
                <w:sz w:val="22"/>
                <w:szCs w:val="22"/>
              </w:rPr>
              <w:t xml:space="preserve">6.1: </w:t>
            </w:r>
            <w:r w:rsidR="00481C2E" w:rsidRPr="00A52683">
              <w:rPr>
                <w:sz w:val="22"/>
                <w:szCs w:val="22"/>
              </w:rPr>
              <w:t xml:space="preserve"> </w:t>
            </w:r>
            <w:r w:rsidR="002B62EA" w:rsidRPr="00A52683">
              <w:rPr>
                <w:b/>
                <w:sz w:val="22"/>
                <w:szCs w:val="22"/>
              </w:rPr>
              <w:t>Recommendation</w:t>
            </w:r>
            <w:r w:rsidR="00481C2E" w:rsidRPr="00A52683">
              <w:rPr>
                <w:b/>
                <w:sz w:val="22"/>
                <w:szCs w:val="22"/>
              </w:rPr>
              <w:t xml:space="preserve">: </w:t>
            </w:r>
            <w:r w:rsidR="00A070F6" w:rsidRPr="00A52683">
              <w:rPr>
                <w:b/>
                <w:sz w:val="22"/>
                <w:szCs w:val="22"/>
              </w:rPr>
              <w:t>L</w:t>
            </w:r>
            <w:r w:rsidR="00481C2E" w:rsidRPr="00A52683">
              <w:rPr>
                <w:b/>
                <w:sz w:val="22"/>
                <w:szCs w:val="22"/>
              </w:rPr>
              <w:t>aboratories may use</w:t>
            </w:r>
            <w:r w:rsidR="00481C2E" w:rsidRPr="00A52683">
              <w:rPr>
                <w:sz w:val="22"/>
                <w:szCs w:val="22"/>
              </w:rPr>
              <w:t xml:space="preserve"> </w:t>
            </w:r>
            <w:r w:rsidR="00481C2E" w:rsidRPr="00A52683">
              <w:rPr>
                <w:b/>
                <w:sz w:val="22"/>
                <w:szCs w:val="22"/>
              </w:rPr>
              <w:t xml:space="preserve">any validated </w:t>
            </w:r>
            <w:r w:rsidR="00481C2E" w:rsidRPr="00A52683">
              <w:rPr>
                <w:b/>
                <w:i/>
                <w:sz w:val="22"/>
                <w:szCs w:val="22"/>
              </w:rPr>
              <w:t>EGFR</w:t>
            </w:r>
            <w:r w:rsidR="00481C2E" w:rsidRPr="00A52683">
              <w:rPr>
                <w:b/>
                <w:sz w:val="22"/>
                <w:szCs w:val="22"/>
              </w:rPr>
              <w:t xml:space="preserve"> testing method with sufficient performance characteristics.</w:t>
            </w:r>
          </w:p>
        </w:tc>
      </w:tr>
      <w:tr w:rsidR="00B5743E" w:rsidRPr="00A52683" w:rsidTr="00B5743E">
        <w:tc>
          <w:tcPr>
            <w:tcW w:w="5000" w:type="pct"/>
            <w:tcBorders>
              <w:top w:val="single" w:sz="4" w:space="0" w:color="auto"/>
              <w:left w:val="single" w:sz="4" w:space="0" w:color="auto"/>
              <w:bottom w:val="single" w:sz="4" w:space="0" w:color="auto"/>
              <w:right w:val="single" w:sz="4" w:space="0" w:color="auto"/>
            </w:tcBorders>
            <w:vAlign w:val="center"/>
          </w:tcPr>
          <w:p w:rsidR="00B5743E" w:rsidRPr="00A52683" w:rsidRDefault="00B5743E" w:rsidP="00880B0F">
            <w:pPr>
              <w:rPr>
                <w:b/>
                <w:sz w:val="22"/>
                <w:szCs w:val="22"/>
              </w:rPr>
            </w:pPr>
            <w:r w:rsidRPr="00A52683">
              <w:rPr>
                <w:b/>
                <w:sz w:val="22"/>
                <w:szCs w:val="22"/>
              </w:rPr>
              <w:t>Evidence base: B</w:t>
            </w:r>
          </w:p>
        </w:tc>
      </w:tr>
      <w:tr w:rsidR="00B5743E" w:rsidRPr="00A52683" w:rsidTr="00B5743E">
        <w:tc>
          <w:tcPr>
            <w:tcW w:w="5000" w:type="pct"/>
            <w:tcBorders>
              <w:top w:val="single" w:sz="4" w:space="0" w:color="auto"/>
              <w:left w:val="single" w:sz="4" w:space="0" w:color="auto"/>
              <w:bottom w:val="single" w:sz="4" w:space="0" w:color="auto"/>
              <w:right w:val="single" w:sz="4" w:space="0" w:color="auto"/>
            </w:tcBorders>
            <w:vAlign w:val="center"/>
          </w:tcPr>
          <w:p w:rsidR="00B5743E" w:rsidRPr="00A52683" w:rsidRDefault="00B5743E" w:rsidP="00880B0F">
            <w:pPr>
              <w:rPr>
                <w:b/>
                <w:sz w:val="22"/>
                <w:szCs w:val="22"/>
              </w:rPr>
            </w:pPr>
            <w:r w:rsidRPr="00A52683">
              <w:rPr>
                <w:b/>
                <w:sz w:val="22"/>
                <w:szCs w:val="22"/>
              </w:rPr>
              <w:t>Consistency: B</w:t>
            </w:r>
          </w:p>
        </w:tc>
      </w:tr>
      <w:tr w:rsidR="00B5743E" w:rsidRPr="00A52683" w:rsidTr="00B5743E">
        <w:tc>
          <w:tcPr>
            <w:tcW w:w="5000" w:type="pct"/>
            <w:tcBorders>
              <w:top w:val="single" w:sz="4" w:space="0" w:color="auto"/>
              <w:left w:val="single" w:sz="4" w:space="0" w:color="auto"/>
              <w:bottom w:val="single" w:sz="4" w:space="0" w:color="auto"/>
              <w:right w:val="single" w:sz="4" w:space="0" w:color="auto"/>
            </w:tcBorders>
            <w:vAlign w:val="center"/>
          </w:tcPr>
          <w:p w:rsidR="00B5743E" w:rsidRPr="00A52683" w:rsidRDefault="00302470" w:rsidP="00880B0F">
            <w:pPr>
              <w:rPr>
                <w:b/>
                <w:sz w:val="22"/>
                <w:szCs w:val="22"/>
              </w:rPr>
            </w:pPr>
            <w:r w:rsidRPr="00A52683">
              <w:rPr>
                <w:b/>
                <w:sz w:val="22"/>
                <w:szCs w:val="22"/>
              </w:rPr>
              <w:t xml:space="preserve">Clinical impact: </w:t>
            </w:r>
            <w:r w:rsidR="00B5743E" w:rsidRPr="00A52683">
              <w:rPr>
                <w:b/>
                <w:sz w:val="22"/>
                <w:szCs w:val="22"/>
              </w:rPr>
              <w:t>A</w:t>
            </w:r>
          </w:p>
        </w:tc>
      </w:tr>
      <w:tr w:rsidR="00B5743E" w:rsidRPr="00A52683" w:rsidTr="00B5743E">
        <w:tc>
          <w:tcPr>
            <w:tcW w:w="5000" w:type="pct"/>
            <w:tcBorders>
              <w:top w:val="single" w:sz="4" w:space="0" w:color="auto"/>
              <w:left w:val="single" w:sz="4" w:space="0" w:color="auto"/>
              <w:bottom w:val="single" w:sz="4" w:space="0" w:color="auto"/>
              <w:right w:val="single" w:sz="4" w:space="0" w:color="auto"/>
            </w:tcBorders>
            <w:vAlign w:val="center"/>
          </w:tcPr>
          <w:p w:rsidR="00B5743E" w:rsidRPr="00A52683" w:rsidRDefault="00302470" w:rsidP="00880B0F">
            <w:pPr>
              <w:rPr>
                <w:b/>
                <w:sz w:val="22"/>
                <w:szCs w:val="22"/>
              </w:rPr>
            </w:pPr>
            <w:proofErr w:type="spellStart"/>
            <w:r w:rsidRPr="00A52683">
              <w:rPr>
                <w:b/>
                <w:sz w:val="22"/>
                <w:szCs w:val="22"/>
              </w:rPr>
              <w:t>Generalizability</w:t>
            </w:r>
            <w:proofErr w:type="spellEnd"/>
            <w:r w:rsidRPr="00A52683">
              <w:rPr>
                <w:b/>
                <w:sz w:val="22"/>
                <w:szCs w:val="22"/>
              </w:rPr>
              <w:t xml:space="preserve">: </w:t>
            </w:r>
            <w:r w:rsidR="00B5743E" w:rsidRPr="00A52683">
              <w:rPr>
                <w:b/>
                <w:sz w:val="22"/>
                <w:szCs w:val="22"/>
              </w:rPr>
              <w:t>A</w:t>
            </w:r>
          </w:p>
        </w:tc>
      </w:tr>
      <w:tr w:rsidR="00B5743E" w:rsidRPr="00A52683" w:rsidTr="00B5743E">
        <w:tc>
          <w:tcPr>
            <w:tcW w:w="5000" w:type="pct"/>
            <w:tcBorders>
              <w:top w:val="single" w:sz="4" w:space="0" w:color="auto"/>
              <w:left w:val="single" w:sz="4" w:space="0" w:color="auto"/>
              <w:bottom w:val="single" w:sz="4" w:space="0" w:color="auto"/>
              <w:right w:val="single" w:sz="4" w:space="0" w:color="auto"/>
            </w:tcBorders>
            <w:vAlign w:val="center"/>
          </w:tcPr>
          <w:p w:rsidR="00B5743E" w:rsidRPr="00A52683" w:rsidRDefault="00302470" w:rsidP="00880B0F">
            <w:pPr>
              <w:rPr>
                <w:b/>
                <w:sz w:val="22"/>
                <w:szCs w:val="22"/>
              </w:rPr>
            </w:pPr>
            <w:r w:rsidRPr="00A52683">
              <w:rPr>
                <w:b/>
                <w:sz w:val="22"/>
                <w:szCs w:val="22"/>
              </w:rPr>
              <w:t xml:space="preserve">Applicability: </w:t>
            </w:r>
            <w:r w:rsidR="00B5743E" w:rsidRPr="00A52683">
              <w:rPr>
                <w:b/>
                <w:sz w:val="22"/>
                <w:szCs w:val="22"/>
              </w:rPr>
              <w:t>A</w:t>
            </w:r>
          </w:p>
        </w:tc>
      </w:tr>
      <w:tr w:rsidR="00B5743E" w:rsidRPr="00A52683" w:rsidTr="00B5743E">
        <w:tc>
          <w:tcPr>
            <w:tcW w:w="5000" w:type="pct"/>
            <w:tcBorders>
              <w:top w:val="single" w:sz="4" w:space="0" w:color="auto"/>
              <w:left w:val="single" w:sz="4" w:space="0" w:color="auto"/>
              <w:bottom w:val="single" w:sz="4" w:space="0" w:color="auto"/>
              <w:right w:val="single" w:sz="4" w:space="0" w:color="auto"/>
            </w:tcBorders>
            <w:vAlign w:val="center"/>
          </w:tcPr>
          <w:p w:rsidR="00B5743E" w:rsidRPr="00A52683" w:rsidRDefault="00B5743E" w:rsidP="00880B0F">
            <w:pPr>
              <w:rPr>
                <w:b/>
                <w:sz w:val="22"/>
                <w:szCs w:val="22"/>
              </w:rPr>
            </w:pPr>
            <w:r w:rsidRPr="00A52683">
              <w:rPr>
                <w:b/>
                <w:sz w:val="22"/>
                <w:szCs w:val="22"/>
              </w:rPr>
              <w:t>Overall Grade: B</w:t>
            </w:r>
          </w:p>
        </w:tc>
      </w:tr>
    </w:tbl>
    <w:p w:rsidR="006A29A6" w:rsidRPr="00A21238" w:rsidRDefault="006A29A6" w:rsidP="00E35579">
      <w:pPr>
        <w:rPr>
          <w:rFonts w:ascii="Century Gothic" w:hAnsi="Century Gothic"/>
          <w:b/>
          <w:sz w:val="20"/>
          <w:szCs w:val="20"/>
        </w:rPr>
      </w:pPr>
    </w:p>
    <w:p w:rsidR="00724062" w:rsidRPr="00A21238" w:rsidRDefault="006A29A6" w:rsidP="00E35579">
      <w:pPr>
        <w:rPr>
          <w:rFonts w:ascii="Century Gothic" w:hAnsi="Century Gothic"/>
          <w:b/>
          <w:sz w:val="20"/>
          <w:szCs w:val="20"/>
        </w:rPr>
      </w:pPr>
      <w:r w:rsidRPr="00A21238">
        <w:rPr>
          <w:rFonts w:ascii="Century Gothic" w:hAnsi="Century Gothic"/>
          <w:b/>
          <w:sz w:val="20"/>
          <w:szCs w:val="20"/>
        </w:rPr>
        <w:br w:type="page"/>
      </w:r>
    </w:p>
    <w:p w:rsidR="00E35579" w:rsidRPr="00A52683" w:rsidRDefault="00665CB4" w:rsidP="00A52683">
      <w:pPr>
        <w:ind w:hanging="540"/>
        <w:rPr>
          <w:b/>
          <w:sz w:val="22"/>
          <w:szCs w:val="22"/>
        </w:rPr>
      </w:pPr>
      <w:r w:rsidRPr="00A52683">
        <w:rPr>
          <w:b/>
          <w:sz w:val="22"/>
          <w:szCs w:val="22"/>
        </w:rPr>
        <w:lastRenderedPageBreak/>
        <w:t xml:space="preserve">Table 20: </w:t>
      </w:r>
      <w:r w:rsidRPr="00A52683">
        <w:rPr>
          <w:color w:val="1F497D"/>
          <w:sz w:val="22"/>
          <w:szCs w:val="22"/>
        </w:rPr>
        <w:t xml:space="preserve"> </w:t>
      </w:r>
      <w:r w:rsidRPr="00A52683">
        <w:rPr>
          <w:b/>
          <w:sz w:val="22"/>
          <w:szCs w:val="22"/>
        </w:rPr>
        <w:t xml:space="preserve">Comparison of Sanger </w:t>
      </w:r>
      <w:proofErr w:type="gramStart"/>
      <w:r w:rsidRPr="00A52683">
        <w:rPr>
          <w:b/>
          <w:sz w:val="22"/>
          <w:szCs w:val="22"/>
        </w:rPr>
        <w:t>Sequencing</w:t>
      </w:r>
      <w:proofErr w:type="gramEnd"/>
      <w:r w:rsidRPr="00A52683">
        <w:rPr>
          <w:b/>
          <w:sz w:val="22"/>
          <w:szCs w:val="22"/>
        </w:rPr>
        <w:t xml:space="preserve"> to other </w:t>
      </w:r>
      <w:r>
        <w:rPr>
          <w:b/>
          <w:sz w:val="22"/>
          <w:szCs w:val="22"/>
        </w:rPr>
        <w:t xml:space="preserve">methods for the detection of </w:t>
      </w:r>
      <w:r w:rsidRPr="00A52683">
        <w:rPr>
          <w:b/>
          <w:i/>
          <w:iCs/>
          <w:sz w:val="22"/>
          <w:szCs w:val="22"/>
        </w:rPr>
        <w:t>EGFR</w:t>
      </w:r>
      <w:r w:rsidRPr="00A52683">
        <w:rPr>
          <w:b/>
          <w:sz w:val="22"/>
          <w:szCs w:val="22"/>
        </w:rPr>
        <w:t xml:space="preserve"> </w:t>
      </w:r>
      <w:proofErr w:type="spellStart"/>
      <w:r w:rsidRPr="00A52683">
        <w:rPr>
          <w:b/>
          <w:sz w:val="22"/>
          <w:szCs w:val="22"/>
        </w:rPr>
        <w:t>mutations</w:t>
      </w:r>
      <w:r w:rsidRPr="00AC081E">
        <w:rPr>
          <w:b/>
          <w:sz w:val="22"/>
          <w:szCs w:val="22"/>
          <w:vertAlign w:val="superscript"/>
        </w:rPr>
        <w:t>a</w:t>
      </w:r>
      <w:proofErr w:type="spellEnd"/>
    </w:p>
    <w:tbl>
      <w:tblPr>
        <w:tblStyle w:val="TableGrid"/>
        <w:tblW w:w="10260" w:type="dxa"/>
        <w:tblInd w:w="-432" w:type="dxa"/>
        <w:tblLayout w:type="fixed"/>
        <w:tblLook w:val="04A0"/>
      </w:tblPr>
      <w:tblGrid>
        <w:gridCol w:w="1980"/>
        <w:gridCol w:w="1350"/>
        <w:gridCol w:w="810"/>
        <w:gridCol w:w="720"/>
        <w:gridCol w:w="720"/>
        <w:gridCol w:w="1170"/>
        <w:gridCol w:w="990"/>
        <w:gridCol w:w="1530"/>
        <w:gridCol w:w="990"/>
      </w:tblGrid>
      <w:tr w:rsidR="001E7475" w:rsidRPr="00A21238" w:rsidTr="00350536">
        <w:tc>
          <w:tcPr>
            <w:tcW w:w="1980" w:type="dxa"/>
            <w:vMerge w:val="restart"/>
            <w:shd w:val="clear" w:color="auto" w:fill="auto"/>
            <w:vAlign w:val="bottom"/>
          </w:tcPr>
          <w:p w:rsidR="00F86266" w:rsidRPr="00A21238" w:rsidRDefault="00757EEA" w:rsidP="00B47370">
            <w:pPr>
              <w:jc w:val="center"/>
              <w:rPr>
                <w:rFonts w:asciiTheme="minorHAnsi" w:hAnsiTheme="minorHAnsi" w:cstheme="minorHAnsi"/>
                <w:b/>
                <w:sz w:val="20"/>
                <w:szCs w:val="20"/>
              </w:rPr>
            </w:pPr>
            <w:r>
              <w:rPr>
                <w:rFonts w:asciiTheme="minorHAnsi" w:hAnsiTheme="minorHAnsi" w:cstheme="minorHAnsi"/>
                <w:b/>
                <w:sz w:val="20"/>
                <w:szCs w:val="20"/>
              </w:rPr>
              <w:t xml:space="preserve">Sanger </w:t>
            </w:r>
            <w:r w:rsidR="00F86266" w:rsidRPr="00A21238">
              <w:rPr>
                <w:rFonts w:asciiTheme="minorHAnsi" w:hAnsiTheme="minorHAnsi" w:cstheme="minorHAnsi"/>
                <w:b/>
                <w:sz w:val="20"/>
                <w:szCs w:val="20"/>
              </w:rPr>
              <w:t>Sequencing vs. Other Methods</w:t>
            </w:r>
          </w:p>
        </w:tc>
        <w:tc>
          <w:tcPr>
            <w:tcW w:w="1350" w:type="dxa"/>
            <w:vMerge w:val="restart"/>
            <w:shd w:val="clear" w:color="auto" w:fill="auto"/>
            <w:vAlign w:val="bottom"/>
          </w:tcPr>
          <w:p w:rsidR="00F86266" w:rsidRPr="00A21238" w:rsidRDefault="00F86266" w:rsidP="00B47370">
            <w:pPr>
              <w:jc w:val="center"/>
              <w:rPr>
                <w:rFonts w:asciiTheme="minorHAnsi" w:hAnsiTheme="minorHAnsi" w:cstheme="minorHAnsi"/>
                <w:b/>
                <w:sz w:val="20"/>
                <w:szCs w:val="20"/>
              </w:rPr>
            </w:pPr>
            <w:r w:rsidRPr="00A21238">
              <w:rPr>
                <w:rFonts w:asciiTheme="minorHAnsi" w:hAnsiTheme="minorHAnsi" w:cstheme="minorHAnsi"/>
                <w:b/>
                <w:sz w:val="20"/>
                <w:szCs w:val="20"/>
              </w:rPr>
              <w:t>Concordance of Methods</w:t>
            </w:r>
          </w:p>
        </w:tc>
        <w:tc>
          <w:tcPr>
            <w:tcW w:w="810" w:type="dxa"/>
            <w:vMerge w:val="restart"/>
            <w:shd w:val="clear" w:color="auto" w:fill="auto"/>
            <w:vAlign w:val="bottom"/>
          </w:tcPr>
          <w:p w:rsidR="00F86266" w:rsidRPr="00A21238" w:rsidRDefault="00F86266" w:rsidP="00B47370">
            <w:pPr>
              <w:jc w:val="center"/>
              <w:rPr>
                <w:rFonts w:asciiTheme="minorHAnsi" w:hAnsiTheme="minorHAnsi" w:cstheme="minorHAnsi"/>
                <w:b/>
                <w:sz w:val="20"/>
                <w:szCs w:val="20"/>
              </w:rPr>
            </w:pPr>
            <w:r w:rsidRPr="00A21238">
              <w:rPr>
                <w:rFonts w:asciiTheme="minorHAnsi" w:hAnsiTheme="minorHAnsi" w:cstheme="minorHAnsi"/>
                <w:b/>
                <w:sz w:val="20"/>
                <w:szCs w:val="20"/>
              </w:rPr>
              <w:t>n(N)</w:t>
            </w:r>
          </w:p>
        </w:tc>
        <w:tc>
          <w:tcPr>
            <w:tcW w:w="720" w:type="dxa"/>
            <w:vMerge w:val="restart"/>
            <w:shd w:val="clear" w:color="auto" w:fill="auto"/>
            <w:vAlign w:val="bottom"/>
          </w:tcPr>
          <w:p w:rsidR="00F86266" w:rsidRPr="00A21238" w:rsidRDefault="00F86266" w:rsidP="00B47370">
            <w:pPr>
              <w:jc w:val="center"/>
              <w:rPr>
                <w:rFonts w:asciiTheme="minorHAnsi" w:hAnsiTheme="minorHAnsi" w:cstheme="minorHAnsi"/>
                <w:b/>
                <w:sz w:val="20"/>
                <w:szCs w:val="20"/>
              </w:rPr>
            </w:pPr>
            <w:proofErr w:type="spellStart"/>
            <w:r w:rsidRPr="00A21238">
              <w:rPr>
                <w:rFonts w:asciiTheme="minorHAnsi" w:hAnsiTheme="minorHAnsi" w:cstheme="minorHAnsi"/>
                <w:b/>
                <w:sz w:val="20"/>
                <w:szCs w:val="20"/>
              </w:rPr>
              <w:t>Seq</w:t>
            </w:r>
            <w:proofErr w:type="spellEnd"/>
            <w:r w:rsidRPr="00A21238">
              <w:rPr>
                <w:rFonts w:asciiTheme="minorHAnsi" w:hAnsiTheme="minorHAnsi" w:cstheme="minorHAnsi"/>
                <w:b/>
                <w:sz w:val="20"/>
                <w:szCs w:val="20"/>
              </w:rPr>
              <w:t>-/ Other+</w:t>
            </w:r>
          </w:p>
        </w:tc>
        <w:tc>
          <w:tcPr>
            <w:tcW w:w="720" w:type="dxa"/>
            <w:vMerge w:val="restart"/>
            <w:shd w:val="clear" w:color="auto" w:fill="auto"/>
            <w:vAlign w:val="bottom"/>
          </w:tcPr>
          <w:p w:rsidR="00F86266" w:rsidRPr="00A21238" w:rsidRDefault="00F86266" w:rsidP="00B47370">
            <w:pPr>
              <w:jc w:val="center"/>
              <w:rPr>
                <w:rFonts w:asciiTheme="minorHAnsi" w:hAnsiTheme="minorHAnsi" w:cstheme="minorHAnsi"/>
                <w:b/>
                <w:sz w:val="20"/>
                <w:szCs w:val="20"/>
              </w:rPr>
            </w:pPr>
            <w:proofErr w:type="spellStart"/>
            <w:r w:rsidRPr="00A21238">
              <w:rPr>
                <w:rFonts w:asciiTheme="minorHAnsi" w:hAnsiTheme="minorHAnsi" w:cstheme="minorHAnsi"/>
                <w:b/>
                <w:sz w:val="20"/>
                <w:szCs w:val="20"/>
              </w:rPr>
              <w:t>Seq</w:t>
            </w:r>
            <w:proofErr w:type="spellEnd"/>
            <w:r w:rsidRPr="00A21238">
              <w:rPr>
                <w:rFonts w:asciiTheme="minorHAnsi" w:hAnsiTheme="minorHAnsi" w:cstheme="minorHAnsi"/>
                <w:b/>
                <w:sz w:val="20"/>
                <w:szCs w:val="20"/>
              </w:rPr>
              <w:t>+/</w:t>
            </w:r>
          </w:p>
          <w:p w:rsidR="00F86266" w:rsidRPr="00A21238" w:rsidRDefault="00F86266" w:rsidP="00B47370">
            <w:pPr>
              <w:jc w:val="center"/>
              <w:rPr>
                <w:rFonts w:asciiTheme="minorHAnsi" w:hAnsiTheme="minorHAnsi" w:cstheme="minorHAnsi"/>
                <w:b/>
                <w:sz w:val="20"/>
                <w:szCs w:val="20"/>
              </w:rPr>
            </w:pPr>
            <w:r w:rsidRPr="00A21238">
              <w:rPr>
                <w:rFonts w:asciiTheme="minorHAnsi" w:hAnsiTheme="minorHAnsi" w:cstheme="minorHAnsi"/>
                <w:b/>
                <w:sz w:val="20"/>
                <w:szCs w:val="20"/>
              </w:rPr>
              <w:t>Other-</w:t>
            </w:r>
          </w:p>
        </w:tc>
        <w:tc>
          <w:tcPr>
            <w:tcW w:w="2160" w:type="dxa"/>
            <w:gridSpan w:val="2"/>
            <w:tcBorders>
              <w:bottom w:val="single" w:sz="4" w:space="0" w:color="auto"/>
            </w:tcBorders>
            <w:shd w:val="clear" w:color="auto" w:fill="auto"/>
            <w:vAlign w:val="bottom"/>
          </w:tcPr>
          <w:p w:rsidR="00F86266" w:rsidRPr="00A21238" w:rsidRDefault="00F86266" w:rsidP="00B47370">
            <w:pPr>
              <w:jc w:val="center"/>
              <w:rPr>
                <w:rFonts w:asciiTheme="minorHAnsi" w:hAnsiTheme="minorHAnsi" w:cstheme="minorHAnsi"/>
                <w:b/>
                <w:sz w:val="20"/>
                <w:szCs w:val="20"/>
              </w:rPr>
            </w:pPr>
            <w:r w:rsidRPr="00A21238">
              <w:rPr>
                <w:rFonts w:asciiTheme="minorHAnsi" w:hAnsiTheme="minorHAnsi" w:cstheme="minorHAnsi"/>
                <w:b/>
                <w:sz w:val="20"/>
                <w:szCs w:val="20"/>
              </w:rPr>
              <w:t xml:space="preserve">Incidence of </w:t>
            </w:r>
            <w:r w:rsidRPr="00A21238">
              <w:rPr>
                <w:rFonts w:asciiTheme="minorHAnsi" w:hAnsiTheme="minorHAnsi" w:cstheme="minorHAnsi"/>
                <w:b/>
                <w:i/>
                <w:sz w:val="20"/>
                <w:szCs w:val="20"/>
              </w:rPr>
              <w:t>EGFR</w:t>
            </w:r>
            <w:r w:rsidRPr="00A21238">
              <w:rPr>
                <w:rFonts w:asciiTheme="minorHAnsi" w:hAnsiTheme="minorHAnsi" w:cstheme="minorHAnsi"/>
                <w:b/>
                <w:sz w:val="20"/>
                <w:szCs w:val="20"/>
              </w:rPr>
              <w:t xml:space="preserve"> Mutations</w:t>
            </w:r>
          </w:p>
        </w:tc>
        <w:tc>
          <w:tcPr>
            <w:tcW w:w="1530" w:type="dxa"/>
            <w:vMerge w:val="restart"/>
            <w:shd w:val="clear" w:color="auto" w:fill="auto"/>
            <w:vAlign w:val="bottom"/>
          </w:tcPr>
          <w:p w:rsidR="00F86266" w:rsidRPr="00A21238" w:rsidRDefault="00F86266" w:rsidP="00B47370">
            <w:pPr>
              <w:jc w:val="center"/>
              <w:rPr>
                <w:rFonts w:asciiTheme="minorHAnsi" w:hAnsiTheme="minorHAnsi" w:cstheme="minorHAnsi"/>
                <w:b/>
                <w:sz w:val="20"/>
                <w:szCs w:val="20"/>
              </w:rPr>
            </w:pPr>
            <w:r w:rsidRPr="00A21238">
              <w:rPr>
                <w:rFonts w:asciiTheme="minorHAnsi" w:hAnsiTheme="minorHAnsi" w:cstheme="minorHAnsi"/>
                <w:b/>
                <w:sz w:val="20"/>
                <w:szCs w:val="20"/>
              </w:rPr>
              <w:t>R</w:t>
            </w:r>
            <w:r w:rsidR="00577551">
              <w:rPr>
                <w:rFonts w:asciiTheme="minorHAnsi" w:hAnsiTheme="minorHAnsi" w:cstheme="minorHAnsi"/>
                <w:b/>
                <w:sz w:val="20"/>
                <w:szCs w:val="20"/>
              </w:rPr>
              <w:t>R [</w:t>
            </w:r>
            <w:r w:rsidRPr="00A21238">
              <w:rPr>
                <w:rFonts w:asciiTheme="minorHAnsi" w:hAnsiTheme="minorHAnsi" w:cstheme="minorHAnsi"/>
                <w:b/>
                <w:sz w:val="20"/>
                <w:szCs w:val="20"/>
              </w:rPr>
              <w:t>95% CI</w:t>
            </w:r>
            <w:r w:rsidR="00577551">
              <w:rPr>
                <w:rFonts w:asciiTheme="minorHAnsi" w:hAnsiTheme="minorHAnsi" w:cstheme="minorHAnsi"/>
                <w:b/>
                <w:sz w:val="20"/>
                <w:szCs w:val="20"/>
              </w:rPr>
              <w:t>]</w:t>
            </w:r>
          </w:p>
        </w:tc>
        <w:tc>
          <w:tcPr>
            <w:tcW w:w="990" w:type="dxa"/>
            <w:vMerge w:val="restart"/>
            <w:shd w:val="clear" w:color="auto" w:fill="auto"/>
            <w:vAlign w:val="bottom"/>
          </w:tcPr>
          <w:p w:rsidR="00F86266" w:rsidRPr="00A21238" w:rsidRDefault="00F646D3" w:rsidP="00B47370">
            <w:pPr>
              <w:jc w:val="center"/>
              <w:rPr>
                <w:rFonts w:asciiTheme="minorHAnsi" w:hAnsiTheme="minorHAnsi" w:cstheme="minorHAnsi"/>
                <w:b/>
                <w:sz w:val="20"/>
                <w:szCs w:val="20"/>
              </w:rPr>
            </w:pPr>
            <w:r w:rsidRPr="00A21238">
              <w:rPr>
                <w:rFonts w:asciiTheme="minorHAnsi" w:hAnsiTheme="minorHAnsi" w:cstheme="minorHAnsi"/>
                <w:b/>
                <w:i/>
                <w:sz w:val="20"/>
                <w:szCs w:val="20"/>
              </w:rPr>
              <w:t>P</w:t>
            </w:r>
            <w:r w:rsidR="00F86266" w:rsidRPr="00A21238">
              <w:rPr>
                <w:rFonts w:asciiTheme="minorHAnsi" w:hAnsiTheme="minorHAnsi" w:cstheme="minorHAnsi"/>
                <w:b/>
                <w:sz w:val="20"/>
                <w:szCs w:val="20"/>
              </w:rPr>
              <w:t xml:space="preserve"> value</w:t>
            </w:r>
          </w:p>
        </w:tc>
      </w:tr>
      <w:tr w:rsidR="001E7475" w:rsidRPr="00A21238" w:rsidTr="00350536">
        <w:tc>
          <w:tcPr>
            <w:tcW w:w="1980" w:type="dxa"/>
            <w:vMerge/>
            <w:tcBorders>
              <w:bottom w:val="single" w:sz="4" w:space="0" w:color="auto"/>
            </w:tcBorders>
            <w:shd w:val="clear" w:color="auto" w:fill="auto"/>
          </w:tcPr>
          <w:p w:rsidR="00F86266" w:rsidRPr="00A21238" w:rsidRDefault="00F86266" w:rsidP="007F72FF">
            <w:pPr>
              <w:rPr>
                <w:rFonts w:asciiTheme="minorHAnsi" w:hAnsiTheme="minorHAnsi" w:cstheme="minorHAnsi"/>
                <w:sz w:val="20"/>
                <w:szCs w:val="20"/>
              </w:rPr>
            </w:pPr>
          </w:p>
        </w:tc>
        <w:tc>
          <w:tcPr>
            <w:tcW w:w="1350" w:type="dxa"/>
            <w:vMerge/>
            <w:tcBorders>
              <w:bottom w:val="single" w:sz="4" w:space="0" w:color="auto"/>
            </w:tcBorders>
            <w:shd w:val="clear" w:color="auto" w:fill="auto"/>
          </w:tcPr>
          <w:p w:rsidR="00F86266" w:rsidRPr="00A21238" w:rsidRDefault="00F86266" w:rsidP="007F72FF">
            <w:pPr>
              <w:rPr>
                <w:rFonts w:asciiTheme="minorHAnsi" w:hAnsiTheme="minorHAnsi" w:cstheme="minorHAnsi"/>
                <w:sz w:val="20"/>
                <w:szCs w:val="20"/>
              </w:rPr>
            </w:pPr>
          </w:p>
        </w:tc>
        <w:tc>
          <w:tcPr>
            <w:tcW w:w="810" w:type="dxa"/>
            <w:vMerge/>
            <w:tcBorders>
              <w:bottom w:val="single" w:sz="4" w:space="0" w:color="auto"/>
            </w:tcBorders>
            <w:shd w:val="clear" w:color="auto" w:fill="auto"/>
          </w:tcPr>
          <w:p w:rsidR="00F86266" w:rsidRPr="00A21238" w:rsidRDefault="00F86266" w:rsidP="007F72FF">
            <w:pPr>
              <w:rPr>
                <w:rFonts w:asciiTheme="minorHAnsi" w:hAnsiTheme="minorHAnsi" w:cstheme="minorHAnsi"/>
                <w:sz w:val="20"/>
                <w:szCs w:val="20"/>
              </w:rPr>
            </w:pPr>
          </w:p>
        </w:tc>
        <w:tc>
          <w:tcPr>
            <w:tcW w:w="720" w:type="dxa"/>
            <w:vMerge/>
            <w:tcBorders>
              <w:bottom w:val="single" w:sz="4" w:space="0" w:color="auto"/>
            </w:tcBorders>
            <w:shd w:val="clear" w:color="auto" w:fill="auto"/>
          </w:tcPr>
          <w:p w:rsidR="00F86266" w:rsidRPr="00A21238" w:rsidRDefault="00F86266" w:rsidP="007F72FF">
            <w:pPr>
              <w:rPr>
                <w:rFonts w:asciiTheme="minorHAnsi" w:hAnsiTheme="minorHAnsi" w:cstheme="minorHAnsi"/>
                <w:sz w:val="20"/>
                <w:szCs w:val="20"/>
              </w:rPr>
            </w:pPr>
          </w:p>
        </w:tc>
        <w:tc>
          <w:tcPr>
            <w:tcW w:w="720" w:type="dxa"/>
            <w:vMerge/>
            <w:tcBorders>
              <w:bottom w:val="single" w:sz="4" w:space="0" w:color="auto"/>
            </w:tcBorders>
            <w:shd w:val="clear" w:color="auto" w:fill="auto"/>
          </w:tcPr>
          <w:p w:rsidR="00F86266" w:rsidRPr="00A21238" w:rsidRDefault="00F86266" w:rsidP="007F72FF">
            <w:pPr>
              <w:rPr>
                <w:rFonts w:asciiTheme="minorHAnsi" w:hAnsiTheme="minorHAnsi" w:cstheme="minorHAnsi"/>
                <w:sz w:val="20"/>
                <w:szCs w:val="20"/>
              </w:rPr>
            </w:pPr>
          </w:p>
        </w:tc>
        <w:tc>
          <w:tcPr>
            <w:tcW w:w="1170" w:type="dxa"/>
            <w:tcBorders>
              <w:bottom w:val="single" w:sz="4" w:space="0" w:color="auto"/>
            </w:tcBorders>
            <w:shd w:val="clear" w:color="auto" w:fill="auto"/>
            <w:vAlign w:val="bottom"/>
          </w:tcPr>
          <w:p w:rsidR="00F86266" w:rsidRPr="00A21238" w:rsidRDefault="00757EEA" w:rsidP="00B47370">
            <w:pPr>
              <w:jc w:val="center"/>
              <w:rPr>
                <w:rFonts w:asciiTheme="minorHAnsi" w:hAnsiTheme="minorHAnsi" w:cstheme="minorHAnsi"/>
                <w:b/>
                <w:sz w:val="20"/>
                <w:szCs w:val="20"/>
              </w:rPr>
            </w:pPr>
            <w:r>
              <w:rPr>
                <w:rFonts w:asciiTheme="minorHAnsi" w:hAnsiTheme="minorHAnsi" w:cstheme="minorHAnsi"/>
                <w:b/>
                <w:sz w:val="20"/>
                <w:szCs w:val="20"/>
              </w:rPr>
              <w:t xml:space="preserve">Sanger </w:t>
            </w:r>
            <w:r w:rsidR="00F86266" w:rsidRPr="00A21238">
              <w:rPr>
                <w:rFonts w:asciiTheme="minorHAnsi" w:hAnsiTheme="minorHAnsi" w:cstheme="minorHAnsi"/>
                <w:b/>
                <w:sz w:val="20"/>
                <w:szCs w:val="20"/>
              </w:rPr>
              <w:t>Sequencing</w:t>
            </w:r>
          </w:p>
        </w:tc>
        <w:tc>
          <w:tcPr>
            <w:tcW w:w="990" w:type="dxa"/>
            <w:tcBorders>
              <w:bottom w:val="single" w:sz="4" w:space="0" w:color="auto"/>
            </w:tcBorders>
            <w:shd w:val="clear" w:color="auto" w:fill="auto"/>
            <w:vAlign w:val="bottom"/>
          </w:tcPr>
          <w:p w:rsidR="00F86266" w:rsidRPr="00A21238" w:rsidRDefault="00F86266" w:rsidP="00B47370">
            <w:pPr>
              <w:jc w:val="center"/>
              <w:rPr>
                <w:rFonts w:asciiTheme="minorHAnsi" w:hAnsiTheme="minorHAnsi" w:cstheme="minorHAnsi"/>
                <w:b/>
                <w:sz w:val="20"/>
                <w:szCs w:val="20"/>
              </w:rPr>
            </w:pPr>
            <w:r w:rsidRPr="00A21238">
              <w:rPr>
                <w:rFonts w:asciiTheme="minorHAnsi" w:hAnsiTheme="minorHAnsi" w:cstheme="minorHAnsi"/>
                <w:b/>
                <w:sz w:val="20"/>
                <w:szCs w:val="20"/>
              </w:rPr>
              <w:t>Other Method</w:t>
            </w:r>
          </w:p>
        </w:tc>
        <w:tc>
          <w:tcPr>
            <w:tcW w:w="1530" w:type="dxa"/>
            <w:vMerge/>
            <w:tcBorders>
              <w:bottom w:val="single" w:sz="4" w:space="0" w:color="auto"/>
            </w:tcBorders>
            <w:shd w:val="clear" w:color="auto" w:fill="auto"/>
          </w:tcPr>
          <w:p w:rsidR="00F86266" w:rsidRPr="00A21238" w:rsidRDefault="00F86266" w:rsidP="007F72FF">
            <w:pPr>
              <w:rPr>
                <w:rFonts w:asciiTheme="minorHAnsi" w:hAnsiTheme="minorHAnsi" w:cstheme="minorHAnsi"/>
                <w:sz w:val="20"/>
                <w:szCs w:val="20"/>
              </w:rPr>
            </w:pPr>
          </w:p>
        </w:tc>
        <w:tc>
          <w:tcPr>
            <w:tcW w:w="990" w:type="dxa"/>
            <w:vMerge/>
            <w:tcBorders>
              <w:bottom w:val="single" w:sz="4" w:space="0" w:color="auto"/>
            </w:tcBorders>
            <w:shd w:val="clear" w:color="auto" w:fill="auto"/>
          </w:tcPr>
          <w:p w:rsidR="00F86266" w:rsidRPr="00A21238" w:rsidRDefault="00F86266" w:rsidP="007F72FF">
            <w:pPr>
              <w:rPr>
                <w:rFonts w:asciiTheme="minorHAnsi" w:hAnsiTheme="minorHAnsi" w:cstheme="minorHAnsi"/>
                <w:sz w:val="20"/>
                <w:szCs w:val="20"/>
              </w:rPr>
            </w:pPr>
          </w:p>
        </w:tc>
      </w:tr>
      <w:tr w:rsidR="001E7475" w:rsidRPr="00A21238" w:rsidTr="00350536">
        <w:tc>
          <w:tcPr>
            <w:tcW w:w="1980" w:type="dxa"/>
            <w:shd w:val="clear" w:color="auto" w:fill="auto"/>
          </w:tcPr>
          <w:p w:rsidR="00F86266" w:rsidRPr="00A21238" w:rsidRDefault="00F86266" w:rsidP="007F72FF">
            <w:pPr>
              <w:rPr>
                <w:rFonts w:asciiTheme="minorHAnsi" w:hAnsiTheme="minorHAnsi" w:cstheme="minorHAnsi"/>
                <w:b/>
                <w:sz w:val="20"/>
                <w:szCs w:val="20"/>
              </w:rPr>
            </w:pPr>
            <w:r w:rsidRPr="00A21238">
              <w:rPr>
                <w:rFonts w:asciiTheme="minorHAnsi" w:hAnsiTheme="minorHAnsi" w:cstheme="minorHAnsi"/>
                <w:b/>
                <w:sz w:val="20"/>
                <w:szCs w:val="20"/>
              </w:rPr>
              <w:t>PCR-based mutation detection</w:t>
            </w:r>
          </w:p>
        </w:tc>
        <w:tc>
          <w:tcPr>
            <w:tcW w:w="1350" w:type="dxa"/>
            <w:shd w:val="clear" w:color="auto" w:fill="auto"/>
            <w:vAlign w:val="bottom"/>
          </w:tcPr>
          <w:p w:rsidR="00F86266" w:rsidRPr="00A21238" w:rsidRDefault="00F86266" w:rsidP="00EB03FC">
            <w:pPr>
              <w:jc w:val="center"/>
              <w:rPr>
                <w:rFonts w:asciiTheme="minorHAnsi" w:hAnsiTheme="minorHAnsi" w:cstheme="minorHAnsi"/>
                <w:sz w:val="20"/>
                <w:szCs w:val="20"/>
              </w:rPr>
            </w:pPr>
          </w:p>
        </w:tc>
        <w:tc>
          <w:tcPr>
            <w:tcW w:w="810" w:type="dxa"/>
            <w:shd w:val="clear" w:color="auto" w:fill="auto"/>
            <w:vAlign w:val="bottom"/>
          </w:tcPr>
          <w:p w:rsidR="00F86266" w:rsidRPr="00A21238" w:rsidRDefault="00F86266" w:rsidP="00EB03FC">
            <w:pPr>
              <w:jc w:val="center"/>
              <w:rPr>
                <w:rFonts w:asciiTheme="minorHAnsi" w:hAnsiTheme="minorHAnsi" w:cstheme="minorHAnsi"/>
                <w:sz w:val="20"/>
                <w:szCs w:val="20"/>
              </w:rPr>
            </w:pPr>
          </w:p>
        </w:tc>
        <w:tc>
          <w:tcPr>
            <w:tcW w:w="720" w:type="dxa"/>
            <w:shd w:val="clear" w:color="auto" w:fill="auto"/>
            <w:vAlign w:val="bottom"/>
          </w:tcPr>
          <w:p w:rsidR="00F86266" w:rsidRPr="00A21238" w:rsidRDefault="00F86266" w:rsidP="00EB03FC">
            <w:pPr>
              <w:jc w:val="center"/>
              <w:rPr>
                <w:rFonts w:asciiTheme="minorHAnsi" w:hAnsiTheme="minorHAnsi" w:cstheme="minorHAnsi"/>
                <w:sz w:val="20"/>
                <w:szCs w:val="20"/>
              </w:rPr>
            </w:pPr>
          </w:p>
        </w:tc>
        <w:tc>
          <w:tcPr>
            <w:tcW w:w="720" w:type="dxa"/>
            <w:shd w:val="clear" w:color="auto" w:fill="auto"/>
            <w:vAlign w:val="bottom"/>
          </w:tcPr>
          <w:p w:rsidR="00F86266" w:rsidRPr="00A21238" w:rsidRDefault="00F86266" w:rsidP="00EB03FC">
            <w:pPr>
              <w:jc w:val="center"/>
              <w:rPr>
                <w:rFonts w:asciiTheme="minorHAnsi" w:hAnsiTheme="minorHAnsi" w:cstheme="minorHAnsi"/>
                <w:sz w:val="20"/>
                <w:szCs w:val="20"/>
              </w:rPr>
            </w:pPr>
          </w:p>
        </w:tc>
        <w:tc>
          <w:tcPr>
            <w:tcW w:w="1170" w:type="dxa"/>
            <w:shd w:val="clear" w:color="auto" w:fill="auto"/>
            <w:vAlign w:val="bottom"/>
          </w:tcPr>
          <w:p w:rsidR="00F86266" w:rsidRPr="00A21238" w:rsidRDefault="00F86266" w:rsidP="00EB03FC">
            <w:pPr>
              <w:jc w:val="center"/>
              <w:rPr>
                <w:rFonts w:asciiTheme="minorHAnsi" w:hAnsiTheme="minorHAnsi" w:cstheme="minorHAnsi"/>
                <w:sz w:val="20"/>
                <w:szCs w:val="20"/>
              </w:rPr>
            </w:pPr>
          </w:p>
        </w:tc>
        <w:tc>
          <w:tcPr>
            <w:tcW w:w="990" w:type="dxa"/>
            <w:shd w:val="clear" w:color="auto" w:fill="auto"/>
            <w:vAlign w:val="bottom"/>
          </w:tcPr>
          <w:p w:rsidR="00F86266" w:rsidRPr="00A21238" w:rsidRDefault="00F86266" w:rsidP="00EB03FC">
            <w:pPr>
              <w:jc w:val="center"/>
              <w:rPr>
                <w:rFonts w:asciiTheme="minorHAnsi" w:hAnsiTheme="minorHAnsi" w:cstheme="minorHAnsi"/>
                <w:sz w:val="20"/>
                <w:szCs w:val="20"/>
              </w:rPr>
            </w:pPr>
          </w:p>
        </w:tc>
        <w:tc>
          <w:tcPr>
            <w:tcW w:w="1530" w:type="dxa"/>
            <w:shd w:val="clear" w:color="auto" w:fill="auto"/>
            <w:vAlign w:val="bottom"/>
          </w:tcPr>
          <w:p w:rsidR="00F86266" w:rsidRPr="00A21238" w:rsidRDefault="00F86266" w:rsidP="00EB03FC">
            <w:pPr>
              <w:jc w:val="center"/>
              <w:rPr>
                <w:rFonts w:asciiTheme="minorHAnsi" w:hAnsiTheme="minorHAnsi" w:cstheme="minorHAnsi"/>
                <w:sz w:val="20"/>
                <w:szCs w:val="20"/>
              </w:rPr>
            </w:pPr>
          </w:p>
        </w:tc>
        <w:tc>
          <w:tcPr>
            <w:tcW w:w="990" w:type="dxa"/>
            <w:shd w:val="clear" w:color="auto" w:fill="auto"/>
            <w:vAlign w:val="bottom"/>
          </w:tcPr>
          <w:p w:rsidR="00F86266" w:rsidRPr="00A21238" w:rsidRDefault="00F86266" w:rsidP="00EB03FC">
            <w:pPr>
              <w:jc w:val="center"/>
              <w:rPr>
                <w:rFonts w:asciiTheme="minorHAnsi" w:hAnsiTheme="minorHAnsi" w:cstheme="minorHAnsi"/>
                <w:sz w:val="20"/>
                <w:szCs w:val="20"/>
              </w:rPr>
            </w:pPr>
          </w:p>
        </w:tc>
      </w:tr>
      <w:tr w:rsidR="001E7475" w:rsidRPr="00A21238" w:rsidTr="00EB03FC">
        <w:tc>
          <w:tcPr>
            <w:tcW w:w="1980" w:type="dxa"/>
          </w:tcPr>
          <w:p w:rsidR="00F86266" w:rsidRPr="00A21238" w:rsidRDefault="00F86266" w:rsidP="0002496E">
            <w:pPr>
              <w:rPr>
                <w:rFonts w:asciiTheme="minorHAnsi" w:hAnsiTheme="minorHAnsi" w:cstheme="minorHAnsi"/>
                <w:sz w:val="20"/>
                <w:szCs w:val="20"/>
              </w:rPr>
            </w:pPr>
            <w:r w:rsidRPr="00A21238">
              <w:rPr>
                <w:rFonts w:asciiTheme="minorHAnsi" w:hAnsiTheme="minorHAnsi" w:cstheme="minorHAnsi"/>
                <w:sz w:val="20"/>
                <w:szCs w:val="20"/>
              </w:rPr>
              <w:t>Allele-specific PCR/ARMS</w:t>
            </w:r>
            <w:r w:rsidR="0002496E" w:rsidRPr="0002496E">
              <w:rPr>
                <w:rFonts w:asciiTheme="minorHAnsi" w:hAnsiTheme="minorHAnsi" w:cstheme="minorHAnsi"/>
                <w:noProof/>
                <w:sz w:val="20"/>
                <w:szCs w:val="20"/>
                <w:vertAlign w:val="superscript"/>
              </w:rPr>
              <w:t>99</w:t>
            </w:r>
          </w:p>
        </w:tc>
        <w:tc>
          <w:tcPr>
            <w:tcW w:w="135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73%</w:t>
            </w:r>
          </w:p>
        </w:tc>
        <w:tc>
          <w:tcPr>
            <w:tcW w:w="81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1(83)</w:t>
            </w:r>
          </w:p>
        </w:tc>
        <w:tc>
          <w:tcPr>
            <w:tcW w:w="72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18</w:t>
            </w:r>
          </w:p>
        </w:tc>
        <w:tc>
          <w:tcPr>
            <w:tcW w:w="72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4</w:t>
            </w:r>
          </w:p>
        </w:tc>
        <w:tc>
          <w:tcPr>
            <w:tcW w:w="117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16%</w:t>
            </w:r>
          </w:p>
        </w:tc>
        <w:tc>
          <w:tcPr>
            <w:tcW w:w="99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33%</w:t>
            </w:r>
          </w:p>
        </w:tc>
        <w:tc>
          <w:tcPr>
            <w:tcW w:w="153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0.48[0.27,0.87]</w:t>
            </w:r>
          </w:p>
        </w:tc>
        <w:tc>
          <w:tcPr>
            <w:tcW w:w="990" w:type="dxa"/>
            <w:vAlign w:val="bottom"/>
          </w:tcPr>
          <w:p w:rsidR="00F86266" w:rsidRPr="00A21238" w:rsidRDefault="00F646D3" w:rsidP="00EB03FC">
            <w:pPr>
              <w:jc w:val="center"/>
              <w:rPr>
                <w:rFonts w:asciiTheme="minorHAnsi" w:hAnsiTheme="minorHAnsi" w:cstheme="minorHAnsi"/>
                <w:b/>
                <w:sz w:val="20"/>
                <w:szCs w:val="20"/>
              </w:rPr>
            </w:pPr>
            <w:r w:rsidRPr="00A21238">
              <w:rPr>
                <w:rFonts w:asciiTheme="minorHAnsi" w:hAnsiTheme="minorHAnsi" w:cstheme="minorHAnsi"/>
                <w:b/>
                <w:i/>
                <w:sz w:val="20"/>
                <w:szCs w:val="20"/>
              </w:rPr>
              <w:t>P</w:t>
            </w:r>
            <w:r w:rsidR="00F86266" w:rsidRPr="00A21238">
              <w:rPr>
                <w:rFonts w:asciiTheme="minorHAnsi" w:hAnsiTheme="minorHAnsi" w:cstheme="minorHAnsi"/>
                <w:b/>
                <w:sz w:val="20"/>
                <w:szCs w:val="20"/>
              </w:rPr>
              <w:t>=.01</w:t>
            </w:r>
          </w:p>
        </w:tc>
      </w:tr>
      <w:tr w:rsidR="001E7475" w:rsidRPr="00A21238" w:rsidTr="00EB03FC">
        <w:tc>
          <w:tcPr>
            <w:tcW w:w="1980" w:type="dxa"/>
          </w:tcPr>
          <w:p w:rsidR="00F86266" w:rsidRPr="00A21238" w:rsidRDefault="00F86266" w:rsidP="0002496E">
            <w:pPr>
              <w:rPr>
                <w:rFonts w:asciiTheme="minorHAnsi" w:hAnsiTheme="minorHAnsi" w:cstheme="minorHAnsi"/>
                <w:sz w:val="20"/>
                <w:szCs w:val="20"/>
              </w:rPr>
            </w:pPr>
            <w:r w:rsidRPr="00A21238">
              <w:rPr>
                <w:rFonts w:asciiTheme="minorHAnsi" w:hAnsiTheme="minorHAnsi" w:cstheme="minorHAnsi"/>
                <w:sz w:val="20"/>
                <w:szCs w:val="20"/>
              </w:rPr>
              <w:t>Real-time PCR</w:t>
            </w:r>
            <w:r w:rsidR="0002496E" w:rsidRPr="0002496E">
              <w:rPr>
                <w:rFonts w:asciiTheme="minorHAnsi" w:hAnsiTheme="minorHAnsi" w:cstheme="minorHAnsi"/>
                <w:noProof/>
                <w:sz w:val="20"/>
                <w:szCs w:val="20"/>
                <w:vertAlign w:val="superscript"/>
              </w:rPr>
              <w:t>51, 100</w:t>
            </w:r>
          </w:p>
        </w:tc>
        <w:tc>
          <w:tcPr>
            <w:tcW w:w="135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97%</w:t>
            </w:r>
          </w:p>
        </w:tc>
        <w:tc>
          <w:tcPr>
            <w:tcW w:w="81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2(102)</w:t>
            </w:r>
          </w:p>
        </w:tc>
        <w:tc>
          <w:tcPr>
            <w:tcW w:w="72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2</w:t>
            </w:r>
          </w:p>
        </w:tc>
        <w:tc>
          <w:tcPr>
            <w:tcW w:w="72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1</w:t>
            </w:r>
          </w:p>
        </w:tc>
        <w:tc>
          <w:tcPr>
            <w:tcW w:w="117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26%</w:t>
            </w:r>
          </w:p>
        </w:tc>
        <w:tc>
          <w:tcPr>
            <w:tcW w:w="99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27%</w:t>
            </w:r>
          </w:p>
        </w:tc>
        <w:tc>
          <w:tcPr>
            <w:tcW w:w="153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0.94[0.60,1.46]</w:t>
            </w:r>
          </w:p>
        </w:tc>
        <w:tc>
          <w:tcPr>
            <w:tcW w:w="990" w:type="dxa"/>
            <w:vAlign w:val="bottom"/>
          </w:tcPr>
          <w:p w:rsidR="00F86266" w:rsidRPr="00A21238" w:rsidRDefault="00F646D3" w:rsidP="00EB03FC">
            <w:pPr>
              <w:jc w:val="center"/>
              <w:rPr>
                <w:rFonts w:asciiTheme="minorHAnsi" w:hAnsiTheme="minorHAnsi" w:cstheme="minorHAnsi"/>
                <w:sz w:val="20"/>
                <w:szCs w:val="20"/>
              </w:rPr>
            </w:pPr>
            <w:r w:rsidRPr="00A21238">
              <w:rPr>
                <w:rFonts w:asciiTheme="minorHAnsi" w:hAnsiTheme="minorHAnsi" w:cstheme="minorHAnsi"/>
                <w:i/>
                <w:sz w:val="20"/>
                <w:szCs w:val="20"/>
              </w:rPr>
              <w:t>P</w:t>
            </w:r>
            <w:r w:rsidR="00F86266" w:rsidRPr="00A21238">
              <w:rPr>
                <w:rFonts w:asciiTheme="minorHAnsi" w:hAnsiTheme="minorHAnsi" w:cstheme="minorHAnsi"/>
                <w:sz w:val="20"/>
                <w:szCs w:val="20"/>
              </w:rPr>
              <w:t>=</w:t>
            </w:r>
            <w:r w:rsidR="00041A50">
              <w:rPr>
                <w:rFonts w:asciiTheme="minorHAnsi" w:hAnsiTheme="minorHAnsi" w:cstheme="minorHAnsi"/>
                <w:sz w:val="20"/>
                <w:szCs w:val="20"/>
              </w:rPr>
              <w:t>.78</w:t>
            </w:r>
          </w:p>
        </w:tc>
      </w:tr>
      <w:tr w:rsidR="001E7475" w:rsidRPr="00A21238" w:rsidTr="00350536">
        <w:tc>
          <w:tcPr>
            <w:tcW w:w="1980" w:type="dxa"/>
            <w:tcBorders>
              <w:bottom w:val="single" w:sz="4" w:space="0" w:color="auto"/>
            </w:tcBorders>
          </w:tcPr>
          <w:p w:rsidR="00F86266" w:rsidRPr="00A21238" w:rsidRDefault="00F86266" w:rsidP="0002496E">
            <w:pPr>
              <w:rPr>
                <w:rFonts w:asciiTheme="minorHAnsi" w:hAnsiTheme="minorHAnsi" w:cstheme="minorHAnsi"/>
                <w:sz w:val="20"/>
                <w:szCs w:val="20"/>
              </w:rPr>
            </w:pPr>
            <w:proofErr w:type="spellStart"/>
            <w:r w:rsidRPr="00A21238">
              <w:rPr>
                <w:rFonts w:asciiTheme="minorHAnsi" w:hAnsiTheme="minorHAnsi" w:cstheme="minorHAnsi"/>
                <w:sz w:val="20"/>
                <w:szCs w:val="20"/>
              </w:rPr>
              <w:t>Cycleave</w:t>
            </w:r>
            <w:proofErr w:type="spellEnd"/>
            <w:r w:rsidRPr="00A21238">
              <w:rPr>
                <w:rFonts w:asciiTheme="minorHAnsi" w:hAnsiTheme="minorHAnsi" w:cstheme="minorHAnsi"/>
                <w:sz w:val="20"/>
                <w:szCs w:val="20"/>
              </w:rPr>
              <w:t xml:space="preserve"> </w:t>
            </w:r>
            <w:r w:rsidR="00665CB4" w:rsidRPr="00A21238">
              <w:rPr>
                <w:rFonts w:asciiTheme="minorHAnsi" w:hAnsiTheme="minorHAnsi" w:cstheme="minorHAnsi"/>
                <w:sz w:val="20"/>
                <w:szCs w:val="20"/>
              </w:rPr>
              <w:t>PCR</w:t>
            </w:r>
            <w:r w:rsidR="00665CB4" w:rsidRPr="0002496E">
              <w:rPr>
                <w:rFonts w:asciiTheme="minorHAnsi" w:hAnsiTheme="minorHAnsi" w:cstheme="minorHAnsi"/>
                <w:noProof/>
                <w:sz w:val="20"/>
                <w:szCs w:val="20"/>
                <w:vertAlign w:val="superscript"/>
              </w:rPr>
              <w:t>101</w:t>
            </w:r>
            <w:r w:rsidR="00665CB4" w:rsidRPr="00AC081E">
              <w:rPr>
                <w:rFonts w:ascii="Calibri" w:hAnsi="Calibri" w:cs="Calibri"/>
                <w:sz w:val="20"/>
                <w:szCs w:val="20"/>
                <w:vertAlign w:val="superscript"/>
              </w:rPr>
              <w:t>,</w:t>
            </w:r>
            <w:r w:rsidR="00665CB4">
              <w:rPr>
                <w:rFonts w:ascii="Calibri" w:hAnsi="Calibri" w:cs="Calibri"/>
                <w:sz w:val="20"/>
                <w:szCs w:val="20"/>
                <w:vertAlign w:val="superscript"/>
              </w:rPr>
              <w:t xml:space="preserve"> </w:t>
            </w:r>
            <w:r w:rsidR="00665CB4" w:rsidRPr="00AC081E">
              <w:rPr>
                <w:rFonts w:ascii="Calibri" w:hAnsi="Calibri" w:cs="Calibri"/>
                <w:sz w:val="20"/>
                <w:szCs w:val="20"/>
                <w:vertAlign w:val="superscript"/>
              </w:rPr>
              <w:t>b</w:t>
            </w:r>
          </w:p>
        </w:tc>
        <w:tc>
          <w:tcPr>
            <w:tcW w:w="1350" w:type="dxa"/>
            <w:tcBorders>
              <w:bottom w:val="single" w:sz="4" w:space="0" w:color="auto"/>
            </w:tcBorders>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95%</w:t>
            </w:r>
          </w:p>
        </w:tc>
        <w:tc>
          <w:tcPr>
            <w:tcW w:w="810" w:type="dxa"/>
            <w:tcBorders>
              <w:bottom w:val="single" w:sz="4" w:space="0" w:color="auto"/>
            </w:tcBorders>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1(195)</w:t>
            </w:r>
          </w:p>
        </w:tc>
        <w:tc>
          <w:tcPr>
            <w:tcW w:w="720" w:type="dxa"/>
            <w:tcBorders>
              <w:bottom w:val="single" w:sz="4" w:space="0" w:color="auto"/>
            </w:tcBorders>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1</w:t>
            </w:r>
          </w:p>
        </w:tc>
        <w:tc>
          <w:tcPr>
            <w:tcW w:w="720" w:type="dxa"/>
            <w:tcBorders>
              <w:bottom w:val="single" w:sz="4" w:space="0" w:color="auto"/>
            </w:tcBorders>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8</w:t>
            </w:r>
          </w:p>
        </w:tc>
        <w:tc>
          <w:tcPr>
            <w:tcW w:w="1170" w:type="dxa"/>
            <w:tcBorders>
              <w:bottom w:val="single" w:sz="4" w:space="0" w:color="auto"/>
            </w:tcBorders>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40%</w:t>
            </w:r>
          </w:p>
        </w:tc>
        <w:tc>
          <w:tcPr>
            <w:tcW w:w="990" w:type="dxa"/>
            <w:tcBorders>
              <w:bottom w:val="single" w:sz="4" w:space="0" w:color="auto"/>
            </w:tcBorders>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36%</w:t>
            </w:r>
          </w:p>
        </w:tc>
        <w:tc>
          <w:tcPr>
            <w:tcW w:w="1530" w:type="dxa"/>
            <w:tcBorders>
              <w:bottom w:val="single" w:sz="4" w:space="0" w:color="auto"/>
            </w:tcBorders>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1.10[0.85,1.41]</w:t>
            </w:r>
          </w:p>
        </w:tc>
        <w:tc>
          <w:tcPr>
            <w:tcW w:w="990" w:type="dxa"/>
            <w:tcBorders>
              <w:bottom w:val="single" w:sz="4" w:space="0" w:color="auto"/>
            </w:tcBorders>
            <w:vAlign w:val="bottom"/>
          </w:tcPr>
          <w:p w:rsidR="00F86266" w:rsidRPr="00A21238" w:rsidRDefault="00F646D3" w:rsidP="00EB03FC">
            <w:pPr>
              <w:jc w:val="center"/>
              <w:rPr>
                <w:rFonts w:asciiTheme="minorHAnsi" w:hAnsiTheme="minorHAnsi" w:cstheme="minorHAnsi"/>
                <w:sz w:val="20"/>
                <w:szCs w:val="20"/>
              </w:rPr>
            </w:pPr>
            <w:r w:rsidRPr="00A21238">
              <w:rPr>
                <w:rFonts w:asciiTheme="minorHAnsi" w:hAnsiTheme="minorHAnsi" w:cstheme="minorHAnsi"/>
                <w:i/>
                <w:sz w:val="20"/>
                <w:szCs w:val="20"/>
              </w:rPr>
              <w:t>P</w:t>
            </w:r>
            <w:r w:rsidR="00F86266" w:rsidRPr="00A21238">
              <w:rPr>
                <w:rFonts w:asciiTheme="minorHAnsi" w:hAnsiTheme="minorHAnsi" w:cstheme="minorHAnsi"/>
                <w:sz w:val="20"/>
                <w:szCs w:val="20"/>
              </w:rPr>
              <w:t>=</w:t>
            </w:r>
            <w:r w:rsidR="00041A50">
              <w:rPr>
                <w:rFonts w:asciiTheme="minorHAnsi" w:hAnsiTheme="minorHAnsi" w:cstheme="minorHAnsi"/>
                <w:sz w:val="20"/>
                <w:szCs w:val="20"/>
              </w:rPr>
              <w:t>.47</w:t>
            </w:r>
          </w:p>
        </w:tc>
      </w:tr>
      <w:tr w:rsidR="001E7475" w:rsidRPr="00A21238" w:rsidTr="00350536">
        <w:tc>
          <w:tcPr>
            <w:tcW w:w="1980" w:type="dxa"/>
            <w:shd w:val="clear" w:color="auto" w:fill="auto"/>
          </w:tcPr>
          <w:p w:rsidR="00F86266" w:rsidRPr="00A21238" w:rsidRDefault="00F86266" w:rsidP="007F72FF">
            <w:pPr>
              <w:rPr>
                <w:rFonts w:asciiTheme="minorHAnsi" w:hAnsiTheme="minorHAnsi" w:cstheme="minorHAnsi"/>
                <w:b/>
                <w:sz w:val="20"/>
                <w:szCs w:val="20"/>
              </w:rPr>
            </w:pPr>
            <w:r w:rsidRPr="00A21238">
              <w:rPr>
                <w:rFonts w:asciiTheme="minorHAnsi" w:hAnsiTheme="minorHAnsi" w:cstheme="minorHAnsi"/>
                <w:b/>
                <w:sz w:val="20"/>
                <w:szCs w:val="20"/>
              </w:rPr>
              <w:t>Post-PCR Mutation detection</w:t>
            </w:r>
          </w:p>
        </w:tc>
        <w:tc>
          <w:tcPr>
            <w:tcW w:w="1350" w:type="dxa"/>
            <w:shd w:val="clear" w:color="auto" w:fill="auto"/>
            <w:vAlign w:val="bottom"/>
          </w:tcPr>
          <w:p w:rsidR="00F86266" w:rsidRPr="00A21238" w:rsidRDefault="00F86266" w:rsidP="00EB03FC">
            <w:pPr>
              <w:jc w:val="center"/>
              <w:rPr>
                <w:rFonts w:asciiTheme="minorHAnsi" w:hAnsiTheme="minorHAnsi" w:cstheme="minorHAnsi"/>
                <w:sz w:val="20"/>
                <w:szCs w:val="20"/>
              </w:rPr>
            </w:pPr>
          </w:p>
        </w:tc>
        <w:tc>
          <w:tcPr>
            <w:tcW w:w="810" w:type="dxa"/>
            <w:shd w:val="clear" w:color="auto" w:fill="auto"/>
            <w:vAlign w:val="bottom"/>
          </w:tcPr>
          <w:p w:rsidR="00F86266" w:rsidRPr="00A21238" w:rsidRDefault="00F86266" w:rsidP="00EB03FC">
            <w:pPr>
              <w:jc w:val="center"/>
              <w:rPr>
                <w:rFonts w:asciiTheme="minorHAnsi" w:hAnsiTheme="minorHAnsi" w:cstheme="minorHAnsi"/>
                <w:sz w:val="20"/>
                <w:szCs w:val="20"/>
              </w:rPr>
            </w:pPr>
          </w:p>
        </w:tc>
        <w:tc>
          <w:tcPr>
            <w:tcW w:w="720" w:type="dxa"/>
            <w:shd w:val="clear" w:color="auto" w:fill="auto"/>
            <w:vAlign w:val="bottom"/>
          </w:tcPr>
          <w:p w:rsidR="00F86266" w:rsidRPr="00A21238" w:rsidRDefault="00F86266" w:rsidP="00EB03FC">
            <w:pPr>
              <w:jc w:val="center"/>
              <w:rPr>
                <w:rFonts w:asciiTheme="minorHAnsi" w:hAnsiTheme="minorHAnsi" w:cstheme="minorHAnsi"/>
                <w:sz w:val="20"/>
                <w:szCs w:val="20"/>
              </w:rPr>
            </w:pPr>
          </w:p>
        </w:tc>
        <w:tc>
          <w:tcPr>
            <w:tcW w:w="720" w:type="dxa"/>
            <w:shd w:val="clear" w:color="auto" w:fill="auto"/>
            <w:vAlign w:val="bottom"/>
          </w:tcPr>
          <w:p w:rsidR="00F86266" w:rsidRPr="00A21238" w:rsidRDefault="00F86266" w:rsidP="00EB03FC">
            <w:pPr>
              <w:jc w:val="center"/>
              <w:rPr>
                <w:rFonts w:asciiTheme="minorHAnsi" w:hAnsiTheme="minorHAnsi" w:cstheme="minorHAnsi"/>
                <w:sz w:val="20"/>
                <w:szCs w:val="20"/>
              </w:rPr>
            </w:pPr>
          </w:p>
        </w:tc>
        <w:tc>
          <w:tcPr>
            <w:tcW w:w="1170" w:type="dxa"/>
            <w:shd w:val="clear" w:color="auto" w:fill="auto"/>
            <w:vAlign w:val="bottom"/>
          </w:tcPr>
          <w:p w:rsidR="00F86266" w:rsidRPr="00A21238" w:rsidRDefault="00F86266" w:rsidP="00EB03FC">
            <w:pPr>
              <w:jc w:val="center"/>
              <w:rPr>
                <w:rFonts w:asciiTheme="minorHAnsi" w:hAnsiTheme="minorHAnsi" w:cstheme="minorHAnsi"/>
                <w:sz w:val="20"/>
                <w:szCs w:val="20"/>
              </w:rPr>
            </w:pPr>
          </w:p>
        </w:tc>
        <w:tc>
          <w:tcPr>
            <w:tcW w:w="990" w:type="dxa"/>
            <w:shd w:val="clear" w:color="auto" w:fill="auto"/>
            <w:vAlign w:val="bottom"/>
          </w:tcPr>
          <w:p w:rsidR="00F86266" w:rsidRPr="00A21238" w:rsidRDefault="00F86266" w:rsidP="00EB03FC">
            <w:pPr>
              <w:jc w:val="center"/>
              <w:rPr>
                <w:rFonts w:asciiTheme="minorHAnsi" w:hAnsiTheme="minorHAnsi" w:cstheme="minorHAnsi"/>
                <w:sz w:val="20"/>
                <w:szCs w:val="20"/>
              </w:rPr>
            </w:pPr>
          </w:p>
        </w:tc>
        <w:tc>
          <w:tcPr>
            <w:tcW w:w="1530" w:type="dxa"/>
            <w:shd w:val="clear" w:color="auto" w:fill="auto"/>
            <w:vAlign w:val="bottom"/>
          </w:tcPr>
          <w:p w:rsidR="00F86266" w:rsidRPr="00A21238" w:rsidRDefault="00F86266" w:rsidP="00EB03FC">
            <w:pPr>
              <w:jc w:val="center"/>
              <w:rPr>
                <w:rFonts w:asciiTheme="minorHAnsi" w:hAnsiTheme="minorHAnsi" w:cstheme="minorHAnsi"/>
                <w:sz w:val="20"/>
                <w:szCs w:val="20"/>
              </w:rPr>
            </w:pPr>
          </w:p>
        </w:tc>
        <w:tc>
          <w:tcPr>
            <w:tcW w:w="990" w:type="dxa"/>
            <w:shd w:val="clear" w:color="auto" w:fill="auto"/>
            <w:vAlign w:val="bottom"/>
          </w:tcPr>
          <w:p w:rsidR="00F86266" w:rsidRPr="00A21238" w:rsidRDefault="00F86266" w:rsidP="00EB03FC">
            <w:pPr>
              <w:jc w:val="center"/>
              <w:rPr>
                <w:rFonts w:asciiTheme="minorHAnsi" w:hAnsiTheme="minorHAnsi" w:cstheme="minorHAnsi"/>
                <w:sz w:val="20"/>
                <w:szCs w:val="20"/>
              </w:rPr>
            </w:pPr>
          </w:p>
        </w:tc>
      </w:tr>
      <w:tr w:rsidR="001E7475" w:rsidRPr="00A21238" w:rsidTr="00EB03FC">
        <w:tc>
          <w:tcPr>
            <w:tcW w:w="1980" w:type="dxa"/>
          </w:tcPr>
          <w:p w:rsidR="00F86266" w:rsidRPr="00A21238" w:rsidRDefault="00F86266" w:rsidP="0002496E">
            <w:pPr>
              <w:rPr>
                <w:rFonts w:asciiTheme="minorHAnsi" w:hAnsiTheme="minorHAnsi" w:cstheme="minorHAnsi"/>
                <w:sz w:val="20"/>
                <w:szCs w:val="20"/>
              </w:rPr>
            </w:pPr>
            <w:r w:rsidRPr="00A21238">
              <w:rPr>
                <w:rFonts w:asciiTheme="minorHAnsi" w:hAnsiTheme="minorHAnsi" w:cstheme="minorHAnsi"/>
                <w:sz w:val="20"/>
                <w:szCs w:val="20"/>
              </w:rPr>
              <w:t>Capillary electrophoresis</w:t>
            </w:r>
            <w:r w:rsidR="0002496E" w:rsidRPr="0002496E">
              <w:rPr>
                <w:rFonts w:asciiTheme="minorHAnsi" w:hAnsiTheme="minorHAnsi" w:cstheme="minorHAnsi"/>
                <w:noProof/>
                <w:sz w:val="20"/>
                <w:szCs w:val="20"/>
                <w:vertAlign w:val="superscript"/>
              </w:rPr>
              <w:t>50, 100</w:t>
            </w:r>
          </w:p>
        </w:tc>
        <w:tc>
          <w:tcPr>
            <w:tcW w:w="135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9</w:t>
            </w:r>
            <w:r w:rsidR="001E7475" w:rsidRPr="00A21238">
              <w:rPr>
                <w:rFonts w:asciiTheme="minorHAnsi" w:hAnsiTheme="minorHAnsi" w:cstheme="minorHAnsi"/>
                <w:sz w:val="20"/>
                <w:szCs w:val="20"/>
              </w:rPr>
              <w:t>8</w:t>
            </w:r>
            <w:r w:rsidRPr="00A21238">
              <w:rPr>
                <w:rFonts w:asciiTheme="minorHAnsi" w:hAnsiTheme="minorHAnsi" w:cstheme="minorHAnsi"/>
                <w:sz w:val="20"/>
                <w:szCs w:val="20"/>
              </w:rPr>
              <w:t>%</w:t>
            </w:r>
          </w:p>
        </w:tc>
        <w:tc>
          <w:tcPr>
            <w:tcW w:w="81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2(61)</w:t>
            </w:r>
          </w:p>
        </w:tc>
        <w:tc>
          <w:tcPr>
            <w:tcW w:w="72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1</w:t>
            </w:r>
          </w:p>
        </w:tc>
        <w:tc>
          <w:tcPr>
            <w:tcW w:w="72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0</w:t>
            </w:r>
          </w:p>
        </w:tc>
        <w:tc>
          <w:tcPr>
            <w:tcW w:w="117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16%</w:t>
            </w:r>
          </w:p>
        </w:tc>
        <w:tc>
          <w:tcPr>
            <w:tcW w:w="99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18%</w:t>
            </w:r>
          </w:p>
        </w:tc>
        <w:tc>
          <w:tcPr>
            <w:tcW w:w="153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0.91[0.42,2.01]</w:t>
            </w:r>
          </w:p>
        </w:tc>
        <w:tc>
          <w:tcPr>
            <w:tcW w:w="990" w:type="dxa"/>
            <w:vAlign w:val="bottom"/>
          </w:tcPr>
          <w:p w:rsidR="00F86266" w:rsidRPr="00A21238" w:rsidRDefault="00F646D3" w:rsidP="00EB03FC">
            <w:pPr>
              <w:jc w:val="center"/>
              <w:rPr>
                <w:rFonts w:asciiTheme="minorHAnsi" w:hAnsiTheme="minorHAnsi" w:cstheme="minorHAnsi"/>
                <w:sz w:val="20"/>
                <w:szCs w:val="20"/>
              </w:rPr>
            </w:pPr>
            <w:r w:rsidRPr="00A21238">
              <w:rPr>
                <w:rFonts w:asciiTheme="minorHAnsi" w:hAnsiTheme="minorHAnsi" w:cstheme="minorHAnsi"/>
                <w:i/>
                <w:sz w:val="20"/>
                <w:szCs w:val="20"/>
              </w:rPr>
              <w:t>P</w:t>
            </w:r>
            <w:r w:rsidR="00F86266" w:rsidRPr="00A21238">
              <w:rPr>
                <w:rFonts w:asciiTheme="minorHAnsi" w:hAnsiTheme="minorHAnsi" w:cstheme="minorHAnsi"/>
                <w:sz w:val="20"/>
                <w:szCs w:val="20"/>
              </w:rPr>
              <w:t>=</w:t>
            </w:r>
            <w:r w:rsidR="00041A50">
              <w:rPr>
                <w:rFonts w:asciiTheme="minorHAnsi" w:hAnsiTheme="minorHAnsi" w:cstheme="minorHAnsi"/>
                <w:sz w:val="20"/>
                <w:szCs w:val="20"/>
              </w:rPr>
              <w:t>.82</w:t>
            </w:r>
          </w:p>
        </w:tc>
      </w:tr>
      <w:tr w:rsidR="001E7475" w:rsidRPr="00A21238" w:rsidTr="00EB03FC">
        <w:tc>
          <w:tcPr>
            <w:tcW w:w="1980" w:type="dxa"/>
          </w:tcPr>
          <w:p w:rsidR="00F86266" w:rsidRPr="00A21238" w:rsidRDefault="00F86266" w:rsidP="0002496E">
            <w:pPr>
              <w:rPr>
                <w:rFonts w:asciiTheme="minorHAnsi" w:hAnsiTheme="minorHAnsi" w:cstheme="minorHAnsi"/>
                <w:sz w:val="20"/>
                <w:szCs w:val="20"/>
              </w:rPr>
            </w:pPr>
            <w:r w:rsidRPr="00A21238">
              <w:rPr>
                <w:rFonts w:asciiTheme="minorHAnsi" w:hAnsiTheme="minorHAnsi" w:cstheme="minorHAnsi"/>
                <w:sz w:val="20"/>
                <w:szCs w:val="20"/>
              </w:rPr>
              <w:t>Restriction fragment length polymorphism</w:t>
            </w:r>
            <w:r w:rsidR="0002496E" w:rsidRPr="0002496E">
              <w:rPr>
                <w:rFonts w:asciiTheme="minorHAnsi" w:hAnsiTheme="minorHAnsi" w:cstheme="minorHAnsi"/>
                <w:noProof/>
                <w:sz w:val="20"/>
                <w:szCs w:val="20"/>
                <w:vertAlign w:val="superscript"/>
              </w:rPr>
              <w:t>16</w:t>
            </w:r>
          </w:p>
        </w:tc>
        <w:tc>
          <w:tcPr>
            <w:tcW w:w="135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99%</w:t>
            </w:r>
          </w:p>
        </w:tc>
        <w:tc>
          <w:tcPr>
            <w:tcW w:w="81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1(109)</w:t>
            </w:r>
          </w:p>
        </w:tc>
        <w:tc>
          <w:tcPr>
            <w:tcW w:w="72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1</w:t>
            </w:r>
          </w:p>
        </w:tc>
        <w:tc>
          <w:tcPr>
            <w:tcW w:w="72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0</w:t>
            </w:r>
          </w:p>
        </w:tc>
        <w:tc>
          <w:tcPr>
            <w:tcW w:w="117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33%</w:t>
            </w:r>
          </w:p>
        </w:tc>
        <w:tc>
          <w:tcPr>
            <w:tcW w:w="99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34%</w:t>
            </w:r>
          </w:p>
        </w:tc>
        <w:tc>
          <w:tcPr>
            <w:tcW w:w="153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0.97[0.67,1.41]</w:t>
            </w:r>
          </w:p>
        </w:tc>
        <w:tc>
          <w:tcPr>
            <w:tcW w:w="990" w:type="dxa"/>
            <w:vAlign w:val="bottom"/>
          </w:tcPr>
          <w:p w:rsidR="00F86266" w:rsidRPr="00A21238" w:rsidRDefault="00F646D3" w:rsidP="00EB03FC">
            <w:pPr>
              <w:jc w:val="center"/>
              <w:rPr>
                <w:rFonts w:asciiTheme="minorHAnsi" w:hAnsiTheme="minorHAnsi" w:cstheme="minorHAnsi"/>
                <w:sz w:val="20"/>
                <w:szCs w:val="20"/>
              </w:rPr>
            </w:pPr>
            <w:r w:rsidRPr="00A21238">
              <w:rPr>
                <w:rFonts w:asciiTheme="minorHAnsi" w:hAnsiTheme="minorHAnsi" w:cstheme="minorHAnsi"/>
                <w:i/>
                <w:sz w:val="20"/>
                <w:szCs w:val="20"/>
              </w:rPr>
              <w:t>P</w:t>
            </w:r>
            <w:r w:rsidR="00F86266" w:rsidRPr="00A21238">
              <w:rPr>
                <w:rFonts w:asciiTheme="minorHAnsi" w:hAnsiTheme="minorHAnsi" w:cstheme="minorHAnsi"/>
                <w:sz w:val="20"/>
                <w:szCs w:val="20"/>
              </w:rPr>
              <w:t>=</w:t>
            </w:r>
            <w:r w:rsidR="00041A50">
              <w:rPr>
                <w:rFonts w:asciiTheme="minorHAnsi" w:hAnsiTheme="minorHAnsi" w:cstheme="minorHAnsi"/>
                <w:sz w:val="20"/>
                <w:szCs w:val="20"/>
              </w:rPr>
              <w:t>.89</w:t>
            </w:r>
          </w:p>
        </w:tc>
      </w:tr>
      <w:tr w:rsidR="001E7475" w:rsidRPr="00A21238" w:rsidTr="00EB03FC">
        <w:tc>
          <w:tcPr>
            <w:tcW w:w="1980" w:type="dxa"/>
          </w:tcPr>
          <w:p w:rsidR="00F86266" w:rsidRPr="00A21238" w:rsidRDefault="00F86266" w:rsidP="0002496E">
            <w:pPr>
              <w:rPr>
                <w:rFonts w:asciiTheme="minorHAnsi" w:hAnsiTheme="minorHAnsi" w:cstheme="minorHAnsi"/>
                <w:sz w:val="20"/>
                <w:szCs w:val="20"/>
              </w:rPr>
            </w:pPr>
            <w:r w:rsidRPr="00A21238">
              <w:rPr>
                <w:rFonts w:asciiTheme="minorHAnsi" w:hAnsiTheme="minorHAnsi" w:cstheme="minorHAnsi"/>
                <w:sz w:val="20"/>
                <w:szCs w:val="20"/>
              </w:rPr>
              <w:t>INVADER</w:t>
            </w:r>
            <w:r w:rsidR="0002496E" w:rsidRPr="0002496E">
              <w:rPr>
                <w:rFonts w:asciiTheme="minorHAnsi" w:hAnsiTheme="minorHAnsi" w:cstheme="minorHAnsi"/>
                <w:noProof/>
                <w:sz w:val="20"/>
                <w:szCs w:val="20"/>
                <w:vertAlign w:val="superscript"/>
              </w:rPr>
              <w:t>102</w:t>
            </w:r>
            <w:r w:rsidR="00AC081E" w:rsidRPr="00AC081E">
              <w:rPr>
                <w:rFonts w:asciiTheme="minorHAnsi" w:hAnsiTheme="minorHAnsi" w:cstheme="minorHAnsi"/>
                <w:sz w:val="20"/>
                <w:szCs w:val="20"/>
                <w:vertAlign w:val="superscript"/>
              </w:rPr>
              <w:t>, c</w:t>
            </w:r>
          </w:p>
        </w:tc>
        <w:tc>
          <w:tcPr>
            <w:tcW w:w="135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86%</w:t>
            </w:r>
          </w:p>
        </w:tc>
        <w:tc>
          <w:tcPr>
            <w:tcW w:w="81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1(42)</w:t>
            </w:r>
          </w:p>
        </w:tc>
        <w:tc>
          <w:tcPr>
            <w:tcW w:w="72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5</w:t>
            </w:r>
          </w:p>
        </w:tc>
        <w:tc>
          <w:tcPr>
            <w:tcW w:w="72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1</w:t>
            </w:r>
          </w:p>
        </w:tc>
        <w:tc>
          <w:tcPr>
            <w:tcW w:w="117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43%</w:t>
            </w:r>
          </w:p>
        </w:tc>
        <w:tc>
          <w:tcPr>
            <w:tcW w:w="99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52%</w:t>
            </w:r>
          </w:p>
        </w:tc>
        <w:tc>
          <w:tcPr>
            <w:tcW w:w="153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0.82[0.52,1.29]</w:t>
            </w:r>
          </w:p>
        </w:tc>
        <w:tc>
          <w:tcPr>
            <w:tcW w:w="990" w:type="dxa"/>
            <w:vAlign w:val="bottom"/>
          </w:tcPr>
          <w:p w:rsidR="00F86266" w:rsidRPr="00A21238" w:rsidRDefault="00F646D3" w:rsidP="00EB03FC">
            <w:pPr>
              <w:jc w:val="center"/>
              <w:rPr>
                <w:rFonts w:asciiTheme="minorHAnsi" w:hAnsiTheme="minorHAnsi" w:cstheme="minorHAnsi"/>
                <w:sz w:val="20"/>
                <w:szCs w:val="20"/>
              </w:rPr>
            </w:pPr>
            <w:r w:rsidRPr="00A21238">
              <w:rPr>
                <w:rFonts w:asciiTheme="minorHAnsi" w:hAnsiTheme="minorHAnsi" w:cstheme="minorHAnsi"/>
                <w:i/>
                <w:sz w:val="20"/>
                <w:szCs w:val="20"/>
              </w:rPr>
              <w:t>P</w:t>
            </w:r>
            <w:r w:rsidR="001E7475" w:rsidRPr="00A21238">
              <w:rPr>
                <w:rFonts w:asciiTheme="minorHAnsi" w:hAnsiTheme="minorHAnsi" w:cstheme="minorHAnsi"/>
                <w:sz w:val="20"/>
                <w:szCs w:val="20"/>
              </w:rPr>
              <w:t>=</w:t>
            </w:r>
            <w:r w:rsidR="00041A50">
              <w:rPr>
                <w:rFonts w:asciiTheme="minorHAnsi" w:hAnsiTheme="minorHAnsi" w:cstheme="minorHAnsi"/>
                <w:sz w:val="20"/>
                <w:szCs w:val="20"/>
              </w:rPr>
              <w:t>.39</w:t>
            </w:r>
          </w:p>
        </w:tc>
      </w:tr>
      <w:tr w:rsidR="001E7475" w:rsidRPr="00A21238" w:rsidTr="00350536">
        <w:tc>
          <w:tcPr>
            <w:tcW w:w="1980" w:type="dxa"/>
            <w:tcBorders>
              <w:bottom w:val="single" w:sz="4" w:space="0" w:color="auto"/>
            </w:tcBorders>
          </w:tcPr>
          <w:p w:rsidR="00F86266" w:rsidRPr="00A21238" w:rsidRDefault="00F86266" w:rsidP="0002496E">
            <w:pPr>
              <w:rPr>
                <w:rFonts w:asciiTheme="minorHAnsi" w:hAnsiTheme="minorHAnsi" w:cstheme="minorHAnsi"/>
                <w:sz w:val="20"/>
                <w:szCs w:val="20"/>
              </w:rPr>
            </w:pPr>
            <w:r w:rsidRPr="00A21238">
              <w:rPr>
                <w:rFonts w:asciiTheme="minorHAnsi" w:hAnsiTheme="minorHAnsi" w:cstheme="minorHAnsi"/>
                <w:sz w:val="20"/>
                <w:szCs w:val="20"/>
              </w:rPr>
              <w:t>Pyrosequencing</w:t>
            </w:r>
            <w:r w:rsidR="0002496E" w:rsidRPr="0002496E">
              <w:rPr>
                <w:rFonts w:asciiTheme="minorHAnsi" w:hAnsiTheme="minorHAnsi" w:cstheme="minorHAnsi"/>
                <w:noProof/>
                <w:sz w:val="20"/>
                <w:szCs w:val="20"/>
                <w:vertAlign w:val="superscript"/>
              </w:rPr>
              <w:t>103, 104</w:t>
            </w:r>
          </w:p>
        </w:tc>
        <w:tc>
          <w:tcPr>
            <w:tcW w:w="1350" w:type="dxa"/>
            <w:tcBorders>
              <w:bottom w:val="single" w:sz="4" w:space="0" w:color="auto"/>
            </w:tcBorders>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96%</w:t>
            </w:r>
          </w:p>
        </w:tc>
        <w:tc>
          <w:tcPr>
            <w:tcW w:w="810" w:type="dxa"/>
            <w:tcBorders>
              <w:bottom w:val="single" w:sz="4" w:space="0" w:color="auto"/>
            </w:tcBorders>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3(140)</w:t>
            </w:r>
          </w:p>
        </w:tc>
        <w:tc>
          <w:tcPr>
            <w:tcW w:w="720" w:type="dxa"/>
            <w:tcBorders>
              <w:bottom w:val="single" w:sz="4" w:space="0" w:color="auto"/>
            </w:tcBorders>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6</w:t>
            </w:r>
          </w:p>
        </w:tc>
        <w:tc>
          <w:tcPr>
            <w:tcW w:w="720" w:type="dxa"/>
            <w:tcBorders>
              <w:bottom w:val="single" w:sz="4" w:space="0" w:color="auto"/>
            </w:tcBorders>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0</w:t>
            </w:r>
          </w:p>
        </w:tc>
        <w:tc>
          <w:tcPr>
            <w:tcW w:w="1170" w:type="dxa"/>
            <w:tcBorders>
              <w:bottom w:val="single" w:sz="4" w:space="0" w:color="auto"/>
            </w:tcBorders>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16%</w:t>
            </w:r>
          </w:p>
        </w:tc>
        <w:tc>
          <w:tcPr>
            <w:tcW w:w="990" w:type="dxa"/>
            <w:tcBorders>
              <w:bottom w:val="single" w:sz="4" w:space="0" w:color="auto"/>
            </w:tcBorders>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20%</w:t>
            </w:r>
          </w:p>
        </w:tc>
        <w:tc>
          <w:tcPr>
            <w:tcW w:w="1530" w:type="dxa"/>
            <w:tcBorders>
              <w:bottom w:val="single" w:sz="4" w:space="0" w:color="auto"/>
            </w:tcBorders>
            <w:vAlign w:val="bottom"/>
          </w:tcPr>
          <w:p w:rsidR="00F86266" w:rsidRPr="00A21238" w:rsidRDefault="001E7475" w:rsidP="00EB03FC">
            <w:pPr>
              <w:jc w:val="center"/>
              <w:rPr>
                <w:rFonts w:asciiTheme="minorHAnsi" w:hAnsiTheme="minorHAnsi" w:cstheme="minorHAnsi"/>
                <w:sz w:val="20"/>
                <w:szCs w:val="20"/>
              </w:rPr>
            </w:pPr>
            <w:r w:rsidRPr="00A21238">
              <w:rPr>
                <w:rFonts w:asciiTheme="minorHAnsi" w:hAnsiTheme="minorHAnsi" w:cstheme="minorHAnsi"/>
                <w:sz w:val="20"/>
                <w:szCs w:val="20"/>
              </w:rPr>
              <w:t>0.78[0.49,1.25]</w:t>
            </w:r>
          </w:p>
        </w:tc>
        <w:tc>
          <w:tcPr>
            <w:tcW w:w="990" w:type="dxa"/>
            <w:tcBorders>
              <w:bottom w:val="single" w:sz="4" w:space="0" w:color="auto"/>
            </w:tcBorders>
            <w:vAlign w:val="bottom"/>
          </w:tcPr>
          <w:p w:rsidR="00F86266" w:rsidRPr="00A21238" w:rsidRDefault="00F646D3" w:rsidP="00EB03FC">
            <w:pPr>
              <w:jc w:val="center"/>
              <w:rPr>
                <w:rFonts w:asciiTheme="minorHAnsi" w:hAnsiTheme="minorHAnsi" w:cstheme="minorHAnsi"/>
                <w:sz w:val="20"/>
                <w:szCs w:val="20"/>
              </w:rPr>
            </w:pPr>
            <w:r w:rsidRPr="00A21238">
              <w:rPr>
                <w:rFonts w:asciiTheme="minorHAnsi" w:hAnsiTheme="minorHAnsi" w:cstheme="minorHAnsi"/>
                <w:i/>
                <w:sz w:val="20"/>
                <w:szCs w:val="20"/>
              </w:rPr>
              <w:t>P</w:t>
            </w:r>
            <w:r w:rsidR="001E7475" w:rsidRPr="00A21238">
              <w:rPr>
                <w:rFonts w:asciiTheme="minorHAnsi" w:hAnsiTheme="minorHAnsi" w:cstheme="minorHAnsi"/>
                <w:sz w:val="20"/>
                <w:szCs w:val="20"/>
              </w:rPr>
              <w:t>=</w:t>
            </w:r>
            <w:r w:rsidR="00041A50">
              <w:rPr>
                <w:rFonts w:asciiTheme="minorHAnsi" w:hAnsiTheme="minorHAnsi" w:cstheme="minorHAnsi"/>
                <w:sz w:val="20"/>
                <w:szCs w:val="20"/>
              </w:rPr>
              <w:t>.3</w:t>
            </w:r>
          </w:p>
        </w:tc>
      </w:tr>
      <w:tr w:rsidR="001E7475" w:rsidRPr="00A21238" w:rsidTr="00350536">
        <w:tc>
          <w:tcPr>
            <w:tcW w:w="1980" w:type="dxa"/>
            <w:shd w:val="clear" w:color="auto" w:fill="auto"/>
          </w:tcPr>
          <w:p w:rsidR="00F86266" w:rsidRPr="00A21238" w:rsidRDefault="00F86266" w:rsidP="007F72FF">
            <w:pPr>
              <w:rPr>
                <w:rFonts w:asciiTheme="minorHAnsi" w:hAnsiTheme="minorHAnsi" w:cstheme="minorHAnsi"/>
                <w:b/>
                <w:sz w:val="20"/>
                <w:szCs w:val="20"/>
              </w:rPr>
            </w:pPr>
            <w:r w:rsidRPr="00A21238">
              <w:rPr>
                <w:rFonts w:asciiTheme="minorHAnsi" w:hAnsiTheme="minorHAnsi" w:cstheme="minorHAnsi"/>
                <w:b/>
                <w:sz w:val="20"/>
                <w:szCs w:val="20"/>
              </w:rPr>
              <w:t>Mutation scanning</w:t>
            </w:r>
          </w:p>
        </w:tc>
        <w:tc>
          <w:tcPr>
            <w:tcW w:w="1350" w:type="dxa"/>
            <w:shd w:val="clear" w:color="auto" w:fill="auto"/>
            <w:vAlign w:val="bottom"/>
          </w:tcPr>
          <w:p w:rsidR="00F86266" w:rsidRPr="00A21238" w:rsidRDefault="00F86266" w:rsidP="00EB03FC">
            <w:pPr>
              <w:jc w:val="center"/>
              <w:rPr>
                <w:rFonts w:asciiTheme="minorHAnsi" w:hAnsiTheme="minorHAnsi" w:cstheme="minorHAnsi"/>
                <w:sz w:val="20"/>
                <w:szCs w:val="20"/>
              </w:rPr>
            </w:pPr>
          </w:p>
        </w:tc>
        <w:tc>
          <w:tcPr>
            <w:tcW w:w="810" w:type="dxa"/>
            <w:shd w:val="clear" w:color="auto" w:fill="auto"/>
            <w:vAlign w:val="bottom"/>
          </w:tcPr>
          <w:p w:rsidR="00F86266" w:rsidRPr="00A21238" w:rsidRDefault="00F86266" w:rsidP="00EB03FC">
            <w:pPr>
              <w:jc w:val="center"/>
              <w:rPr>
                <w:rFonts w:asciiTheme="minorHAnsi" w:hAnsiTheme="minorHAnsi" w:cstheme="minorHAnsi"/>
                <w:sz w:val="20"/>
                <w:szCs w:val="20"/>
              </w:rPr>
            </w:pPr>
          </w:p>
        </w:tc>
        <w:tc>
          <w:tcPr>
            <w:tcW w:w="720" w:type="dxa"/>
            <w:shd w:val="clear" w:color="auto" w:fill="auto"/>
            <w:vAlign w:val="bottom"/>
          </w:tcPr>
          <w:p w:rsidR="00F86266" w:rsidRPr="00A21238" w:rsidRDefault="00F86266" w:rsidP="00EB03FC">
            <w:pPr>
              <w:jc w:val="center"/>
              <w:rPr>
                <w:rFonts w:asciiTheme="minorHAnsi" w:hAnsiTheme="minorHAnsi" w:cstheme="minorHAnsi"/>
                <w:sz w:val="20"/>
                <w:szCs w:val="20"/>
              </w:rPr>
            </w:pPr>
          </w:p>
        </w:tc>
        <w:tc>
          <w:tcPr>
            <w:tcW w:w="720" w:type="dxa"/>
            <w:shd w:val="clear" w:color="auto" w:fill="auto"/>
            <w:vAlign w:val="bottom"/>
          </w:tcPr>
          <w:p w:rsidR="00F86266" w:rsidRPr="00A21238" w:rsidRDefault="00F86266" w:rsidP="00EB03FC">
            <w:pPr>
              <w:jc w:val="center"/>
              <w:rPr>
                <w:rFonts w:asciiTheme="minorHAnsi" w:hAnsiTheme="minorHAnsi" w:cstheme="minorHAnsi"/>
                <w:sz w:val="20"/>
                <w:szCs w:val="20"/>
              </w:rPr>
            </w:pPr>
          </w:p>
        </w:tc>
        <w:tc>
          <w:tcPr>
            <w:tcW w:w="1170" w:type="dxa"/>
            <w:shd w:val="clear" w:color="auto" w:fill="auto"/>
            <w:vAlign w:val="bottom"/>
          </w:tcPr>
          <w:p w:rsidR="00F86266" w:rsidRPr="00A21238" w:rsidRDefault="00F86266" w:rsidP="00EB03FC">
            <w:pPr>
              <w:jc w:val="center"/>
              <w:rPr>
                <w:rFonts w:asciiTheme="minorHAnsi" w:hAnsiTheme="minorHAnsi" w:cstheme="minorHAnsi"/>
                <w:sz w:val="20"/>
                <w:szCs w:val="20"/>
              </w:rPr>
            </w:pPr>
          </w:p>
        </w:tc>
        <w:tc>
          <w:tcPr>
            <w:tcW w:w="990" w:type="dxa"/>
            <w:shd w:val="clear" w:color="auto" w:fill="auto"/>
            <w:vAlign w:val="bottom"/>
          </w:tcPr>
          <w:p w:rsidR="00F86266" w:rsidRPr="00A21238" w:rsidRDefault="00F86266" w:rsidP="00EB03FC">
            <w:pPr>
              <w:jc w:val="center"/>
              <w:rPr>
                <w:rFonts w:asciiTheme="minorHAnsi" w:hAnsiTheme="minorHAnsi" w:cstheme="minorHAnsi"/>
                <w:sz w:val="20"/>
                <w:szCs w:val="20"/>
              </w:rPr>
            </w:pPr>
          </w:p>
        </w:tc>
        <w:tc>
          <w:tcPr>
            <w:tcW w:w="1530" w:type="dxa"/>
            <w:shd w:val="clear" w:color="auto" w:fill="auto"/>
            <w:vAlign w:val="bottom"/>
          </w:tcPr>
          <w:p w:rsidR="00F86266" w:rsidRPr="00A21238" w:rsidRDefault="00F86266" w:rsidP="00EB03FC">
            <w:pPr>
              <w:jc w:val="center"/>
              <w:rPr>
                <w:rFonts w:asciiTheme="minorHAnsi" w:hAnsiTheme="minorHAnsi" w:cstheme="minorHAnsi"/>
                <w:sz w:val="20"/>
                <w:szCs w:val="20"/>
              </w:rPr>
            </w:pPr>
          </w:p>
        </w:tc>
        <w:tc>
          <w:tcPr>
            <w:tcW w:w="990" w:type="dxa"/>
            <w:shd w:val="clear" w:color="auto" w:fill="auto"/>
            <w:vAlign w:val="bottom"/>
          </w:tcPr>
          <w:p w:rsidR="00F86266" w:rsidRPr="00A21238" w:rsidRDefault="00F86266" w:rsidP="00EB03FC">
            <w:pPr>
              <w:jc w:val="center"/>
              <w:rPr>
                <w:rFonts w:asciiTheme="minorHAnsi" w:hAnsiTheme="minorHAnsi" w:cstheme="minorHAnsi"/>
                <w:sz w:val="20"/>
                <w:szCs w:val="20"/>
              </w:rPr>
            </w:pPr>
          </w:p>
        </w:tc>
      </w:tr>
      <w:tr w:rsidR="001E7475" w:rsidRPr="00A21238" w:rsidTr="00EB03FC">
        <w:tc>
          <w:tcPr>
            <w:tcW w:w="1980" w:type="dxa"/>
          </w:tcPr>
          <w:p w:rsidR="00F86266" w:rsidRPr="00A21238" w:rsidRDefault="00F86266" w:rsidP="0002496E">
            <w:pPr>
              <w:rPr>
                <w:rFonts w:asciiTheme="minorHAnsi" w:hAnsiTheme="minorHAnsi" w:cstheme="minorHAnsi"/>
                <w:sz w:val="20"/>
                <w:szCs w:val="20"/>
              </w:rPr>
            </w:pPr>
            <w:r w:rsidRPr="00A21238">
              <w:rPr>
                <w:rFonts w:asciiTheme="minorHAnsi" w:hAnsiTheme="minorHAnsi" w:cstheme="minorHAnsi"/>
                <w:sz w:val="20"/>
                <w:szCs w:val="20"/>
              </w:rPr>
              <w:t>Denaturing HPLC</w:t>
            </w:r>
            <w:r w:rsidR="0002496E" w:rsidRPr="0002496E">
              <w:rPr>
                <w:rFonts w:asciiTheme="minorHAnsi" w:hAnsiTheme="minorHAnsi" w:cstheme="minorHAnsi"/>
                <w:noProof/>
                <w:sz w:val="20"/>
                <w:szCs w:val="20"/>
                <w:vertAlign w:val="superscript"/>
              </w:rPr>
              <w:t>105, 106</w:t>
            </w:r>
          </w:p>
        </w:tc>
        <w:tc>
          <w:tcPr>
            <w:tcW w:w="135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94%</w:t>
            </w:r>
          </w:p>
        </w:tc>
        <w:tc>
          <w:tcPr>
            <w:tcW w:w="81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2(196)</w:t>
            </w:r>
          </w:p>
        </w:tc>
        <w:tc>
          <w:tcPr>
            <w:tcW w:w="72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12</w:t>
            </w:r>
          </w:p>
        </w:tc>
        <w:tc>
          <w:tcPr>
            <w:tcW w:w="72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0</w:t>
            </w:r>
          </w:p>
        </w:tc>
        <w:tc>
          <w:tcPr>
            <w:tcW w:w="117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20%</w:t>
            </w:r>
          </w:p>
        </w:tc>
        <w:tc>
          <w:tcPr>
            <w:tcW w:w="99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27%</w:t>
            </w:r>
          </w:p>
        </w:tc>
        <w:tc>
          <w:tcPr>
            <w:tcW w:w="1530" w:type="dxa"/>
            <w:vAlign w:val="bottom"/>
          </w:tcPr>
          <w:p w:rsidR="00F86266" w:rsidRPr="00A21238" w:rsidRDefault="001E7475" w:rsidP="00EB03FC">
            <w:pPr>
              <w:jc w:val="center"/>
              <w:rPr>
                <w:rFonts w:asciiTheme="minorHAnsi" w:hAnsiTheme="minorHAnsi" w:cstheme="minorHAnsi"/>
                <w:sz w:val="20"/>
                <w:szCs w:val="20"/>
              </w:rPr>
            </w:pPr>
            <w:r w:rsidRPr="00A21238">
              <w:rPr>
                <w:rFonts w:asciiTheme="minorHAnsi" w:hAnsiTheme="minorHAnsi" w:cstheme="minorHAnsi"/>
                <w:sz w:val="20"/>
                <w:szCs w:val="20"/>
              </w:rPr>
              <w:t>0.66[0.27,1.63]</w:t>
            </w:r>
          </w:p>
        </w:tc>
        <w:tc>
          <w:tcPr>
            <w:tcW w:w="990" w:type="dxa"/>
            <w:vAlign w:val="bottom"/>
          </w:tcPr>
          <w:p w:rsidR="00F86266" w:rsidRPr="00A21238" w:rsidRDefault="00F646D3" w:rsidP="00EB03FC">
            <w:pPr>
              <w:jc w:val="center"/>
              <w:rPr>
                <w:rFonts w:asciiTheme="minorHAnsi" w:hAnsiTheme="minorHAnsi" w:cstheme="minorHAnsi"/>
                <w:sz w:val="20"/>
                <w:szCs w:val="20"/>
              </w:rPr>
            </w:pPr>
            <w:r w:rsidRPr="00A21238">
              <w:rPr>
                <w:rFonts w:asciiTheme="minorHAnsi" w:hAnsiTheme="minorHAnsi" w:cstheme="minorHAnsi"/>
                <w:i/>
                <w:sz w:val="20"/>
                <w:szCs w:val="20"/>
              </w:rPr>
              <w:t>P</w:t>
            </w:r>
            <w:r w:rsidR="001E7475" w:rsidRPr="00A21238">
              <w:rPr>
                <w:rFonts w:asciiTheme="minorHAnsi" w:hAnsiTheme="minorHAnsi" w:cstheme="minorHAnsi"/>
                <w:sz w:val="20"/>
                <w:szCs w:val="20"/>
              </w:rPr>
              <w:t>=</w:t>
            </w:r>
            <w:r w:rsidR="00041A50">
              <w:rPr>
                <w:rFonts w:asciiTheme="minorHAnsi" w:hAnsiTheme="minorHAnsi" w:cstheme="minorHAnsi"/>
                <w:sz w:val="20"/>
                <w:szCs w:val="20"/>
              </w:rPr>
              <w:t>.37</w:t>
            </w:r>
          </w:p>
        </w:tc>
      </w:tr>
      <w:tr w:rsidR="001E7475" w:rsidRPr="00A21238" w:rsidTr="00EB03FC">
        <w:tc>
          <w:tcPr>
            <w:tcW w:w="1980" w:type="dxa"/>
          </w:tcPr>
          <w:p w:rsidR="00F86266" w:rsidRPr="00A21238" w:rsidRDefault="00F86266" w:rsidP="0002496E">
            <w:pPr>
              <w:rPr>
                <w:rFonts w:asciiTheme="minorHAnsi" w:hAnsiTheme="minorHAnsi" w:cstheme="minorHAnsi"/>
                <w:sz w:val="20"/>
                <w:szCs w:val="20"/>
              </w:rPr>
            </w:pPr>
            <w:r w:rsidRPr="00A21238">
              <w:rPr>
                <w:rFonts w:asciiTheme="minorHAnsi" w:hAnsiTheme="minorHAnsi" w:cstheme="minorHAnsi"/>
                <w:sz w:val="20"/>
                <w:szCs w:val="20"/>
              </w:rPr>
              <w:t>Single stranded conformational polymorphism</w:t>
            </w:r>
            <w:r w:rsidR="0002496E" w:rsidRPr="0002496E">
              <w:rPr>
                <w:rFonts w:asciiTheme="minorHAnsi" w:hAnsiTheme="minorHAnsi" w:cstheme="minorHAnsi"/>
                <w:noProof/>
                <w:sz w:val="20"/>
                <w:szCs w:val="20"/>
                <w:vertAlign w:val="superscript"/>
              </w:rPr>
              <w:t>107</w:t>
            </w:r>
          </w:p>
        </w:tc>
        <w:tc>
          <w:tcPr>
            <w:tcW w:w="135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98%</w:t>
            </w:r>
          </w:p>
        </w:tc>
        <w:tc>
          <w:tcPr>
            <w:tcW w:w="81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1(375)</w:t>
            </w:r>
          </w:p>
        </w:tc>
        <w:tc>
          <w:tcPr>
            <w:tcW w:w="72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8</w:t>
            </w:r>
          </w:p>
        </w:tc>
        <w:tc>
          <w:tcPr>
            <w:tcW w:w="72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0</w:t>
            </w:r>
          </w:p>
        </w:tc>
        <w:tc>
          <w:tcPr>
            <w:tcW w:w="117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8%</w:t>
            </w:r>
          </w:p>
        </w:tc>
        <w:tc>
          <w:tcPr>
            <w:tcW w:w="99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10%</w:t>
            </w:r>
          </w:p>
        </w:tc>
        <w:tc>
          <w:tcPr>
            <w:tcW w:w="1530" w:type="dxa"/>
            <w:vAlign w:val="bottom"/>
          </w:tcPr>
          <w:p w:rsidR="00F86266" w:rsidRPr="00A21238" w:rsidRDefault="001E7475" w:rsidP="00EB03FC">
            <w:pPr>
              <w:jc w:val="center"/>
              <w:rPr>
                <w:rFonts w:asciiTheme="minorHAnsi" w:hAnsiTheme="minorHAnsi" w:cstheme="minorHAnsi"/>
                <w:sz w:val="20"/>
                <w:szCs w:val="20"/>
              </w:rPr>
            </w:pPr>
            <w:r w:rsidRPr="00A21238">
              <w:rPr>
                <w:rFonts w:asciiTheme="minorHAnsi" w:hAnsiTheme="minorHAnsi" w:cstheme="minorHAnsi"/>
                <w:sz w:val="20"/>
                <w:szCs w:val="20"/>
              </w:rPr>
              <w:t>0.79[0.51,1.25]</w:t>
            </w:r>
          </w:p>
        </w:tc>
        <w:tc>
          <w:tcPr>
            <w:tcW w:w="990" w:type="dxa"/>
            <w:vAlign w:val="bottom"/>
          </w:tcPr>
          <w:p w:rsidR="00F86266" w:rsidRPr="00A21238" w:rsidRDefault="00F646D3" w:rsidP="00EB03FC">
            <w:pPr>
              <w:jc w:val="center"/>
              <w:rPr>
                <w:rFonts w:asciiTheme="minorHAnsi" w:hAnsiTheme="minorHAnsi" w:cstheme="minorHAnsi"/>
                <w:sz w:val="20"/>
                <w:szCs w:val="20"/>
              </w:rPr>
            </w:pPr>
            <w:r w:rsidRPr="00A21238">
              <w:rPr>
                <w:rFonts w:asciiTheme="minorHAnsi" w:hAnsiTheme="minorHAnsi" w:cstheme="minorHAnsi"/>
                <w:i/>
                <w:sz w:val="20"/>
                <w:szCs w:val="20"/>
              </w:rPr>
              <w:t>P</w:t>
            </w:r>
            <w:r w:rsidR="001E7475" w:rsidRPr="00A21238">
              <w:rPr>
                <w:rFonts w:asciiTheme="minorHAnsi" w:hAnsiTheme="minorHAnsi" w:cstheme="minorHAnsi"/>
                <w:sz w:val="20"/>
                <w:szCs w:val="20"/>
              </w:rPr>
              <w:t>=</w:t>
            </w:r>
            <w:r w:rsidR="00041A50">
              <w:rPr>
                <w:rFonts w:asciiTheme="minorHAnsi" w:hAnsiTheme="minorHAnsi" w:cstheme="minorHAnsi"/>
                <w:sz w:val="20"/>
                <w:szCs w:val="20"/>
              </w:rPr>
              <w:t>.32</w:t>
            </w:r>
          </w:p>
        </w:tc>
      </w:tr>
      <w:tr w:rsidR="001E7475" w:rsidRPr="00A21238" w:rsidTr="00EB03FC">
        <w:tc>
          <w:tcPr>
            <w:tcW w:w="1980" w:type="dxa"/>
          </w:tcPr>
          <w:p w:rsidR="00F86266" w:rsidRPr="00A21238" w:rsidRDefault="00F86266" w:rsidP="0002496E">
            <w:pPr>
              <w:rPr>
                <w:rFonts w:asciiTheme="minorHAnsi" w:hAnsiTheme="minorHAnsi" w:cstheme="minorHAnsi"/>
                <w:sz w:val="20"/>
                <w:szCs w:val="20"/>
              </w:rPr>
            </w:pPr>
            <w:r w:rsidRPr="00A21238">
              <w:rPr>
                <w:rFonts w:asciiTheme="minorHAnsi" w:hAnsiTheme="minorHAnsi" w:cstheme="minorHAnsi"/>
                <w:sz w:val="20"/>
                <w:szCs w:val="20"/>
              </w:rPr>
              <w:t>High resolution melting analysis</w:t>
            </w:r>
            <w:r w:rsidR="0002496E" w:rsidRPr="0002496E">
              <w:rPr>
                <w:rFonts w:asciiTheme="minorHAnsi" w:hAnsiTheme="minorHAnsi" w:cstheme="minorHAnsi"/>
                <w:noProof/>
                <w:sz w:val="20"/>
                <w:szCs w:val="20"/>
                <w:vertAlign w:val="superscript"/>
              </w:rPr>
              <w:t>108-110</w:t>
            </w:r>
          </w:p>
        </w:tc>
        <w:tc>
          <w:tcPr>
            <w:tcW w:w="1350" w:type="dxa"/>
            <w:vAlign w:val="bottom"/>
          </w:tcPr>
          <w:p w:rsidR="00F86266" w:rsidRPr="00A21238" w:rsidRDefault="00C50BAF" w:rsidP="00EB03FC">
            <w:pPr>
              <w:jc w:val="center"/>
              <w:rPr>
                <w:rFonts w:asciiTheme="minorHAnsi" w:hAnsiTheme="minorHAnsi" w:cstheme="minorHAnsi"/>
                <w:sz w:val="20"/>
                <w:szCs w:val="20"/>
              </w:rPr>
            </w:pPr>
            <w:r>
              <w:rPr>
                <w:rFonts w:asciiTheme="minorHAnsi" w:hAnsiTheme="minorHAnsi" w:cstheme="minorHAnsi"/>
                <w:sz w:val="20"/>
                <w:szCs w:val="20"/>
              </w:rPr>
              <w:t>83%</w:t>
            </w:r>
          </w:p>
        </w:tc>
        <w:tc>
          <w:tcPr>
            <w:tcW w:w="810" w:type="dxa"/>
            <w:vAlign w:val="bottom"/>
          </w:tcPr>
          <w:p w:rsidR="00F86266" w:rsidRPr="00A21238" w:rsidRDefault="00C50BAF" w:rsidP="00EB03FC">
            <w:pPr>
              <w:jc w:val="center"/>
              <w:rPr>
                <w:rFonts w:asciiTheme="minorHAnsi" w:hAnsiTheme="minorHAnsi" w:cstheme="minorHAnsi"/>
                <w:sz w:val="20"/>
                <w:szCs w:val="20"/>
              </w:rPr>
            </w:pPr>
            <w:r>
              <w:rPr>
                <w:rFonts w:asciiTheme="minorHAnsi" w:hAnsiTheme="minorHAnsi" w:cstheme="minorHAnsi"/>
                <w:sz w:val="20"/>
                <w:szCs w:val="20"/>
              </w:rPr>
              <w:t>3(321)</w:t>
            </w:r>
          </w:p>
        </w:tc>
        <w:tc>
          <w:tcPr>
            <w:tcW w:w="720" w:type="dxa"/>
            <w:vAlign w:val="bottom"/>
          </w:tcPr>
          <w:p w:rsidR="00F86266" w:rsidRPr="00A21238" w:rsidRDefault="00C50BAF" w:rsidP="00EB03FC">
            <w:pPr>
              <w:jc w:val="center"/>
              <w:rPr>
                <w:rFonts w:asciiTheme="minorHAnsi" w:hAnsiTheme="minorHAnsi" w:cstheme="minorHAnsi"/>
                <w:sz w:val="20"/>
                <w:szCs w:val="20"/>
              </w:rPr>
            </w:pPr>
            <w:r>
              <w:rPr>
                <w:rFonts w:asciiTheme="minorHAnsi" w:hAnsiTheme="minorHAnsi" w:cstheme="minorHAnsi"/>
                <w:sz w:val="20"/>
                <w:szCs w:val="20"/>
              </w:rPr>
              <w:t>54</w:t>
            </w:r>
          </w:p>
        </w:tc>
        <w:tc>
          <w:tcPr>
            <w:tcW w:w="72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0</w:t>
            </w:r>
          </w:p>
        </w:tc>
        <w:tc>
          <w:tcPr>
            <w:tcW w:w="1170" w:type="dxa"/>
            <w:vAlign w:val="bottom"/>
          </w:tcPr>
          <w:p w:rsidR="00F86266" w:rsidRPr="00A21238" w:rsidRDefault="00C50BAF" w:rsidP="00EB03FC">
            <w:pPr>
              <w:jc w:val="center"/>
              <w:rPr>
                <w:rFonts w:asciiTheme="minorHAnsi" w:hAnsiTheme="minorHAnsi" w:cstheme="minorHAnsi"/>
                <w:sz w:val="20"/>
                <w:szCs w:val="20"/>
              </w:rPr>
            </w:pPr>
            <w:r>
              <w:rPr>
                <w:rFonts w:asciiTheme="minorHAnsi" w:hAnsiTheme="minorHAnsi" w:cstheme="minorHAnsi"/>
                <w:sz w:val="20"/>
                <w:szCs w:val="20"/>
              </w:rPr>
              <w:t>36%</w:t>
            </w:r>
          </w:p>
        </w:tc>
        <w:tc>
          <w:tcPr>
            <w:tcW w:w="990" w:type="dxa"/>
            <w:vAlign w:val="bottom"/>
          </w:tcPr>
          <w:p w:rsidR="00F86266" w:rsidRPr="00A21238" w:rsidRDefault="00C50BAF" w:rsidP="00EB03FC">
            <w:pPr>
              <w:jc w:val="center"/>
              <w:rPr>
                <w:rFonts w:asciiTheme="minorHAnsi" w:hAnsiTheme="minorHAnsi" w:cstheme="minorHAnsi"/>
                <w:sz w:val="20"/>
                <w:szCs w:val="20"/>
              </w:rPr>
            </w:pPr>
            <w:r>
              <w:rPr>
                <w:rFonts w:asciiTheme="minorHAnsi" w:hAnsiTheme="minorHAnsi" w:cstheme="minorHAnsi"/>
                <w:sz w:val="20"/>
                <w:szCs w:val="20"/>
              </w:rPr>
              <w:t>53%</w:t>
            </w:r>
          </w:p>
        </w:tc>
        <w:tc>
          <w:tcPr>
            <w:tcW w:w="1530" w:type="dxa"/>
            <w:vAlign w:val="bottom"/>
          </w:tcPr>
          <w:p w:rsidR="00F86266" w:rsidRPr="00A21238" w:rsidRDefault="0051566A" w:rsidP="00EB03FC">
            <w:pPr>
              <w:jc w:val="center"/>
              <w:rPr>
                <w:rFonts w:asciiTheme="minorHAnsi" w:hAnsiTheme="minorHAnsi" w:cstheme="minorHAnsi"/>
                <w:sz w:val="20"/>
                <w:szCs w:val="20"/>
              </w:rPr>
            </w:pPr>
            <w:r>
              <w:rPr>
                <w:rFonts w:asciiTheme="minorHAnsi" w:hAnsiTheme="minorHAnsi" w:cstheme="minorHAnsi"/>
                <w:sz w:val="20"/>
                <w:szCs w:val="20"/>
              </w:rPr>
              <w:t>0.70[0.46, 1.06]</w:t>
            </w:r>
          </w:p>
        </w:tc>
        <w:tc>
          <w:tcPr>
            <w:tcW w:w="990" w:type="dxa"/>
            <w:vAlign w:val="bottom"/>
          </w:tcPr>
          <w:p w:rsidR="00F86266" w:rsidRPr="00A21238" w:rsidRDefault="0051566A" w:rsidP="00EB03FC">
            <w:pPr>
              <w:jc w:val="center"/>
              <w:rPr>
                <w:rFonts w:asciiTheme="minorHAnsi" w:hAnsiTheme="minorHAnsi" w:cstheme="minorHAnsi"/>
                <w:b/>
                <w:sz w:val="20"/>
                <w:szCs w:val="20"/>
              </w:rPr>
            </w:pPr>
            <w:r>
              <w:rPr>
                <w:rFonts w:asciiTheme="minorHAnsi" w:hAnsiTheme="minorHAnsi" w:cstheme="minorHAnsi"/>
                <w:b/>
                <w:i/>
                <w:sz w:val="20"/>
                <w:szCs w:val="20"/>
              </w:rPr>
              <w:t>P</w:t>
            </w:r>
            <w:r w:rsidRPr="0051566A">
              <w:rPr>
                <w:rFonts w:asciiTheme="minorHAnsi" w:hAnsiTheme="minorHAnsi" w:cstheme="minorHAnsi"/>
                <w:b/>
                <w:sz w:val="20"/>
                <w:szCs w:val="20"/>
              </w:rPr>
              <w:t>=.09</w:t>
            </w:r>
          </w:p>
        </w:tc>
      </w:tr>
      <w:tr w:rsidR="001E7475" w:rsidRPr="00A21238" w:rsidTr="00350536">
        <w:tc>
          <w:tcPr>
            <w:tcW w:w="1980" w:type="dxa"/>
            <w:tcBorders>
              <w:bottom w:val="single" w:sz="4" w:space="0" w:color="auto"/>
            </w:tcBorders>
          </w:tcPr>
          <w:p w:rsidR="00F86266" w:rsidRPr="00A21238" w:rsidRDefault="00F86266" w:rsidP="0002496E">
            <w:pPr>
              <w:rPr>
                <w:rFonts w:asciiTheme="minorHAnsi" w:hAnsiTheme="minorHAnsi" w:cstheme="minorHAnsi"/>
                <w:sz w:val="20"/>
                <w:szCs w:val="20"/>
              </w:rPr>
            </w:pPr>
            <w:r w:rsidRPr="00A21238">
              <w:rPr>
                <w:rFonts w:asciiTheme="minorHAnsi" w:hAnsiTheme="minorHAnsi" w:cstheme="minorHAnsi"/>
                <w:sz w:val="20"/>
                <w:szCs w:val="20"/>
              </w:rPr>
              <w:t>Loop-Hybrid mobility shift assay</w:t>
            </w:r>
            <w:r w:rsidR="0002496E" w:rsidRPr="0002496E">
              <w:rPr>
                <w:rFonts w:asciiTheme="minorHAnsi" w:hAnsiTheme="minorHAnsi" w:cstheme="minorHAnsi"/>
                <w:noProof/>
                <w:sz w:val="20"/>
                <w:szCs w:val="20"/>
                <w:vertAlign w:val="superscript"/>
              </w:rPr>
              <w:t>111</w:t>
            </w:r>
          </w:p>
        </w:tc>
        <w:tc>
          <w:tcPr>
            <w:tcW w:w="1350" w:type="dxa"/>
            <w:tcBorders>
              <w:bottom w:val="single" w:sz="4" w:space="0" w:color="auto"/>
            </w:tcBorders>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100%</w:t>
            </w:r>
          </w:p>
        </w:tc>
        <w:tc>
          <w:tcPr>
            <w:tcW w:w="810" w:type="dxa"/>
            <w:tcBorders>
              <w:bottom w:val="single" w:sz="4" w:space="0" w:color="auto"/>
            </w:tcBorders>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1(43)</w:t>
            </w:r>
          </w:p>
        </w:tc>
        <w:tc>
          <w:tcPr>
            <w:tcW w:w="720" w:type="dxa"/>
            <w:tcBorders>
              <w:bottom w:val="single" w:sz="4" w:space="0" w:color="auto"/>
            </w:tcBorders>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0</w:t>
            </w:r>
          </w:p>
        </w:tc>
        <w:tc>
          <w:tcPr>
            <w:tcW w:w="720" w:type="dxa"/>
            <w:tcBorders>
              <w:bottom w:val="single" w:sz="4" w:space="0" w:color="auto"/>
            </w:tcBorders>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0</w:t>
            </w:r>
          </w:p>
        </w:tc>
        <w:tc>
          <w:tcPr>
            <w:tcW w:w="1170" w:type="dxa"/>
            <w:tcBorders>
              <w:bottom w:val="single" w:sz="4" w:space="0" w:color="auto"/>
            </w:tcBorders>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26%</w:t>
            </w:r>
          </w:p>
        </w:tc>
        <w:tc>
          <w:tcPr>
            <w:tcW w:w="990" w:type="dxa"/>
            <w:tcBorders>
              <w:bottom w:val="single" w:sz="4" w:space="0" w:color="auto"/>
            </w:tcBorders>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26%</w:t>
            </w:r>
          </w:p>
        </w:tc>
        <w:tc>
          <w:tcPr>
            <w:tcW w:w="1530" w:type="dxa"/>
            <w:tcBorders>
              <w:bottom w:val="single" w:sz="4" w:space="0" w:color="auto"/>
            </w:tcBorders>
            <w:vAlign w:val="bottom"/>
          </w:tcPr>
          <w:p w:rsidR="00F86266" w:rsidRPr="00A21238" w:rsidRDefault="001E7475" w:rsidP="00EB03FC">
            <w:pPr>
              <w:jc w:val="center"/>
              <w:rPr>
                <w:rFonts w:asciiTheme="minorHAnsi" w:hAnsiTheme="minorHAnsi" w:cstheme="minorHAnsi"/>
                <w:sz w:val="20"/>
                <w:szCs w:val="20"/>
              </w:rPr>
            </w:pPr>
            <w:r w:rsidRPr="00A21238">
              <w:rPr>
                <w:rFonts w:asciiTheme="minorHAnsi" w:hAnsiTheme="minorHAnsi" w:cstheme="minorHAnsi"/>
                <w:sz w:val="20"/>
                <w:szCs w:val="20"/>
              </w:rPr>
              <w:t>1.00[0.49,2.06]</w:t>
            </w:r>
          </w:p>
        </w:tc>
        <w:tc>
          <w:tcPr>
            <w:tcW w:w="990" w:type="dxa"/>
            <w:tcBorders>
              <w:bottom w:val="single" w:sz="4" w:space="0" w:color="auto"/>
            </w:tcBorders>
            <w:vAlign w:val="bottom"/>
          </w:tcPr>
          <w:p w:rsidR="00F86266" w:rsidRPr="00A21238" w:rsidRDefault="00F646D3" w:rsidP="00EB03FC">
            <w:pPr>
              <w:jc w:val="center"/>
              <w:rPr>
                <w:rFonts w:asciiTheme="minorHAnsi" w:hAnsiTheme="minorHAnsi" w:cstheme="minorHAnsi"/>
                <w:sz w:val="20"/>
                <w:szCs w:val="20"/>
              </w:rPr>
            </w:pPr>
            <w:r w:rsidRPr="00A21238">
              <w:rPr>
                <w:rFonts w:asciiTheme="minorHAnsi" w:hAnsiTheme="minorHAnsi" w:cstheme="minorHAnsi"/>
                <w:i/>
                <w:sz w:val="20"/>
                <w:szCs w:val="20"/>
              </w:rPr>
              <w:t>P</w:t>
            </w:r>
            <w:r w:rsidR="00535C9E">
              <w:rPr>
                <w:rFonts w:asciiTheme="minorHAnsi" w:hAnsiTheme="minorHAnsi" w:cstheme="minorHAnsi"/>
                <w:sz w:val="20"/>
                <w:szCs w:val="20"/>
              </w:rPr>
              <w:t>&gt;.99</w:t>
            </w:r>
          </w:p>
        </w:tc>
      </w:tr>
      <w:tr w:rsidR="001E7475" w:rsidRPr="00A21238" w:rsidTr="00350536">
        <w:tc>
          <w:tcPr>
            <w:tcW w:w="1980" w:type="dxa"/>
            <w:shd w:val="clear" w:color="auto" w:fill="auto"/>
          </w:tcPr>
          <w:p w:rsidR="00F86266" w:rsidRPr="00A21238" w:rsidRDefault="00F86266" w:rsidP="007F72FF">
            <w:pPr>
              <w:rPr>
                <w:rFonts w:asciiTheme="minorHAnsi" w:hAnsiTheme="minorHAnsi" w:cstheme="minorHAnsi"/>
                <w:b/>
                <w:sz w:val="20"/>
                <w:szCs w:val="20"/>
              </w:rPr>
            </w:pPr>
            <w:r w:rsidRPr="00A21238">
              <w:rPr>
                <w:rFonts w:asciiTheme="minorHAnsi" w:hAnsiTheme="minorHAnsi" w:cstheme="minorHAnsi"/>
                <w:b/>
                <w:sz w:val="20"/>
                <w:szCs w:val="20"/>
              </w:rPr>
              <w:t>Mutant enrichment</w:t>
            </w:r>
          </w:p>
        </w:tc>
        <w:tc>
          <w:tcPr>
            <w:tcW w:w="1350" w:type="dxa"/>
            <w:shd w:val="clear" w:color="auto" w:fill="auto"/>
            <w:vAlign w:val="bottom"/>
          </w:tcPr>
          <w:p w:rsidR="00F86266" w:rsidRPr="00A21238" w:rsidRDefault="00F86266" w:rsidP="00EB03FC">
            <w:pPr>
              <w:jc w:val="center"/>
              <w:rPr>
                <w:rFonts w:asciiTheme="minorHAnsi" w:hAnsiTheme="minorHAnsi" w:cstheme="minorHAnsi"/>
                <w:sz w:val="20"/>
                <w:szCs w:val="20"/>
              </w:rPr>
            </w:pPr>
          </w:p>
        </w:tc>
        <w:tc>
          <w:tcPr>
            <w:tcW w:w="810" w:type="dxa"/>
            <w:shd w:val="clear" w:color="auto" w:fill="auto"/>
            <w:vAlign w:val="bottom"/>
          </w:tcPr>
          <w:p w:rsidR="00F86266" w:rsidRPr="00A21238" w:rsidRDefault="00F86266" w:rsidP="00EB03FC">
            <w:pPr>
              <w:jc w:val="center"/>
              <w:rPr>
                <w:rFonts w:asciiTheme="minorHAnsi" w:hAnsiTheme="minorHAnsi" w:cstheme="minorHAnsi"/>
                <w:sz w:val="20"/>
                <w:szCs w:val="20"/>
              </w:rPr>
            </w:pPr>
          </w:p>
        </w:tc>
        <w:tc>
          <w:tcPr>
            <w:tcW w:w="720" w:type="dxa"/>
            <w:shd w:val="clear" w:color="auto" w:fill="auto"/>
            <w:vAlign w:val="bottom"/>
          </w:tcPr>
          <w:p w:rsidR="00F86266" w:rsidRPr="00A21238" w:rsidRDefault="00F86266" w:rsidP="00EB03FC">
            <w:pPr>
              <w:jc w:val="center"/>
              <w:rPr>
                <w:rFonts w:asciiTheme="minorHAnsi" w:hAnsiTheme="minorHAnsi" w:cstheme="minorHAnsi"/>
                <w:sz w:val="20"/>
                <w:szCs w:val="20"/>
              </w:rPr>
            </w:pPr>
          </w:p>
        </w:tc>
        <w:tc>
          <w:tcPr>
            <w:tcW w:w="720" w:type="dxa"/>
            <w:shd w:val="clear" w:color="auto" w:fill="auto"/>
            <w:vAlign w:val="bottom"/>
          </w:tcPr>
          <w:p w:rsidR="00F86266" w:rsidRPr="00A21238" w:rsidRDefault="00F86266" w:rsidP="00EB03FC">
            <w:pPr>
              <w:jc w:val="center"/>
              <w:rPr>
                <w:rFonts w:asciiTheme="minorHAnsi" w:hAnsiTheme="minorHAnsi" w:cstheme="minorHAnsi"/>
                <w:sz w:val="20"/>
                <w:szCs w:val="20"/>
              </w:rPr>
            </w:pPr>
          </w:p>
        </w:tc>
        <w:tc>
          <w:tcPr>
            <w:tcW w:w="1170" w:type="dxa"/>
            <w:shd w:val="clear" w:color="auto" w:fill="auto"/>
            <w:vAlign w:val="bottom"/>
          </w:tcPr>
          <w:p w:rsidR="00F86266" w:rsidRPr="00A21238" w:rsidRDefault="00F86266" w:rsidP="00EB03FC">
            <w:pPr>
              <w:jc w:val="center"/>
              <w:rPr>
                <w:rFonts w:asciiTheme="minorHAnsi" w:hAnsiTheme="minorHAnsi" w:cstheme="minorHAnsi"/>
                <w:sz w:val="20"/>
                <w:szCs w:val="20"/>
              </w:rPr>
            </w:pPr>
          </w:p>
        </w:tc>
        <w:tc>
          <w:tcPr>
            <w:tcW w:w="990" w:type="dxa"/>
            <w:shd w:val="clear" w:color="auto" w:fill="auto"/>
            <w:vAlign w:val="bottom"/>
          </w:tcPr>
          <w:p w:rsidR="00F86266" w:rsidRPr="00A21238" w:rsidRDefault="00F86266" w:rsidP="00EB03FC">
            <w:pPr>
              <w:jc w:val="center"/>
              <w:rPr>
                <w:rFonts w:asciiTheme="minorHAnsi" w:hAnsiTheme="minorHAnsi" w:cstheme="minorHAnsi"/>
                <w:sz w:val="20"/>
                <w:szCs w:val="20"/>
              </w:rPr>
            </w:pPr>
          </w:p>
        </w:tc>
        <w:tc>
          <w:tcPr>
            <w:tcW w:w="1530" w:type="dxa"/>
            <w:shd w:val="clear" w:color="auto" w:fill="auto"/>
            <w:vAlign w:val="bottom"/>
          </w:tcPr>
          <w:p w:rsidR="00F86266" w:rsidRPr="00A21238" w:rsidRDefault="00F86266" w:rsidP="00EB03FC">
            <w:pPr>
              <w:jc w:val="center"/>
              <w:rPr>
                <w:rFonts w:asciiTheme="minorHAnsi" w:hAnsiTheme="minorHAnsi" w:cstheme="minorHAnsi"/>
                <w:sz w:val="20"/>
                <w:szCs w:val="20"/>
              </w:rPr>
            </w:pPr>
          </w:p>
        </w:tc>
        <w:tc>
          <w:tcPr>
            <w:tcW w:w="990" w:type="dxa"/>
            <w:shd w:val="clear" w:color="auto" w:fill="auto"/>
            <w:vAlign w:val="bottom"/>
          </w:tcPr>
          <w:p w:rsidR="00F86266" w:rsidRPr="00A21238" w:rsidRDefault="00F86266" w:rsidP="00EB03FC">
            <w:pPr>
              <w:jc w:val="center"/>
              <w:rPr>
                <w:rFonts w:asciiTheme="minorHAnsi" w:hAnsiTheme="minorHAnsi" w:cstheme="minorHAnsi"/>
                <w:sz w:val="20"/>
                <w:szCs w:val="20"/>
              </w:rPr>
            </w:pPr>
          </w:p>
        </w:tc>
      </w:tr>
      <w:tr w:rsidR="001E7475" w:rsidRPr="00A21238" w:rsidTr="00EB03FC">
        <w:tc>
          <w:tcPr>
            <w:tcW w:w="1980" w:type="dxa"/>
          </w:tcPr>
          <w:p w:rsidR="00F86266" w:rsidRPr="00A21238" w:rsidRDefault="00F86266" w:rsidP="0002496E">
            <w:pPr>
              <w:rPr>
                <w:rFonts w:asciiTheme="minorHAnsi" w:hAnsiTheme="minorHAnsi" w:cstheme="minorHAnsi"/>
                <w:sz w:val="20"/>
                <w:szCs w:val="20"/>
              </w:rPr>
            </w:pPr>
            <w:r w:rsidRPr="00A21238">
              <w:rPr>
                <w:rFonts w:asciiTheme="minorHAnsi" w:hAnsiTheme="minorHAnsi" w:cstheme="minorHAnsi"/>
                <w:sz w:val="20"/>
                <w:szCs w:val="20"/>
              </w:rPr>
              <w:t>Peptide nucleic acid/locked nucleic acid clamped amplification</w:t>
            </w:r>
            <w:r w:rsidR="0002496E" w:rsidRPr="0002496E">
              <w:rPr>
                <w:rFonts w:asciiTheme="minorHAnsi" w:hAnsiTheme="minorHAnsi" w:cstheme="minorHAnsi"/>
                <w:noProof/>
                <w:sz w:val="20"/>
                <w:szCs w:val="20"/>
                <w:vertAlign w:val="superscript"/>
              </w:rPr>
              <w:t>112, 113</w:t>
            </w:r>
          </w:p>
        </w:tc>
        <w:tc>
          <w:tcPr>
            <w:tcW w:w="135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96%</w:t>
            </w:r>
          </w:p>
        </w:tc>
        <w:tc>
          <w:tcPr>
            <w:tcW w:w="81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2(150)</w:t>
            </w:r>
          </w:p>
        </w:tc>
        <w:tc>
          <w:tcPr>
            <w:tcW w:w="72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4</w:t>
            </w:r>
          </w:p>
        </w:tc>
        <w:tc>
          <w:tcPr>
            <w:tcW w:w="72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2</w:t>
            </w:r>
          </w:p>
        </w:tc>
        <w:tc>
          <w:tcPr>
            <w:tcW w:w="117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11%</w:t>
            </w:r>
          </w:p>
        </w:tc>
        <w:tc>
          <w:tcPr>
            <w:tcW w:w="99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12%</w:t>
            </w:r>
          </w:p>
        </w:tc>
        <w:tc>
          <w:tcPr>
            <w:tcW w:w="1530" w:type="dxa"/>
            <w:vAlign w:val="bottom"/>
          </w:tcPr>
          <w:p w:rsidR="00F86266" w:rsidRPr="00A21238" w:rsidRDefault="001E7475" w:rsidP="00EB03FC">
            <w:pPr>
              <w:jc w:val="center"/>
              <w:rPr>
                <w:rFonts w:asciiTheme="minorHAnsi" w:hAnsiTheme="minorHAnsi" w:cstheme="minorHAnsi"/>
                <w:sz w:val="20"/>
                <w:szCs w:val="20"/>
              </w:rPr>
            </w:pPr>
            <w:r w:rsidRPr="00A21238">
              <w:rPr>
                <w:rFonts w:asciiTheme="minorHAnsi" w:hAnsiTheme="minorHAnsi" w:cstheme="minorHAnsi"/>
                <w:sz w:val="20"/>
                <w:szCs w:val="20"/>
              </w:rPr>
              <w:t>0.91[0.49,1.67]</w:t>
            </w:r>
          </w:p>
        </w:tc>
        <w:tc>
          <w:tcPr>
            <w:tcW w:w="990" w:type="dxa"/>
            <w:vAlign w:val="bottom"/>
          </w:tcPr>
          <w:p w:rsidR="00F86266" w:rsidRPr="00A21238" w:rsidRDefault="00F646D3" w:rsidP="00EB03FC">
            <w:pPr>
              <w:jc w:val="center"/>
              <w:rPr>
                <w:rFonts w:asciiTheme="minorHAnsi" w:hAnsiTheme="minorHAnsi" w:cstheme="minorHAnsi"/>
                <w:sz w:val="20"/>
                <w:szCs w:val="20"/>
              </w:rPr>
            </w:pPr>
            <w:r w:rsidRPr="00A21238">
              <w:rPr>
                <w:rFonts w:asciiTheme="minorHAnsi" w:hAnsiTheme="minorHAnsi" w:cstheme="minorHAnsi"/>
                <w:i/>
                <w:sz w:val="20"/>
                <w:szCs w:val="20"/>
              </w:rPr>
              <w:t>P</w:t>
            </w:r>
            <w:r w:rsidR="001E7475" w:rsidRPr="00A21238">
              <w:rPr>
                <w:rFonts w:asciiTheme="minorHAnsi" w:hAnsiTheme="minorHAnsi" w:cstheme="minorHAnsi"/>
                <w:sz w:val="20"/>
                <w:szCs w:val="20"/>
              </w:rPr>
              <w:t>=</w:t>
            </w:r>
            <w:r w:rsidR="00041A50">
              <w:rPr>
                <w:rFonts w:asciiTheme="minorHAnsi" w:hAnsiTheme="minorHAnsi" w:cstheme="minorHAnsi"/>
                <w:sz w:val="20"/>
                <w:szCs w:val="20"/>
              </w:rPr>
              <w:t>.75</w:t>
            </w:r>
          </w:p>
        </w:tc>
      </w:tr>
      <w:tr w:rsidR="001E7475" w:rsidRPr="00A21238" w:rsidTr="00EB03FC">
        <w:tc>
          <w:tcPr>
            <w:tcW w:w="1980" w:type="dxa"/>
          </w:tcPr>
          <w:p w:rsidR="00F86266" w:rsidRPr="00A21238" w:rsidRDefault="00F86266" w:rsidP="0002496E">
            <w:pPr>
              <w:rPr>
                <w:rFonts w:asciiTheme="minorHAnsi" w:hAnsiTheme="minorHAnsi" w:cstheme="minorHAnsi"/>
                <w:sz w:val="20"/>
                <w:szCs w:val="20"/>
              </w:rPr>
            </w:pPr>
            <w:r w:rsidRPr="00A21238">
              <w:rPr>
                <w:rFonts w:asciiTheme="minorHAnsi" w:hAnsiTheme="minorHAnsi" w:cstheme="minorHAnsi"/>
                <w:sz w:val="20"/>
                <w:szCs w:val="20"/>
              </w:rPr>
              <w:t>COLD PCR</w:t>
            </w:r>
            <w:r w:rsidR="0002496E" w:rsidRPr="0002496E">
              <w:rPr>
                <w:rFonts w:asciiTheme="minorHAnsi" w:hAnsiTheme="minorHAnsi" w:cstheme="minorHAnsi"/>
                <w:noProof/>
                <w:sz w:val="20"/>
                <w:szCs w:val="20"/>
                <w:vertAlign w:val="superscript"/>
              </w:rPr>
              <w:t>114</w:t>
            </w:r>
          </w:p>
        </w:tc>
        <w:tc>
          <w:tcPr>
            <w:tcW w:w="135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100%</w:t>
            </w:r>
          </w:p>
        </w:tc>
        <w:tc>
          <w:tcPr>
            <w:tcW w:w="81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1(126)</w:t>
            </w:r>
          </w:p>
        </w:tc>
        <w:tc>
          <w:tcPr>
            <w:tcW w:w="72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0</w:t>
            </w:r>
          </w:p>
        </w:tc>
        <w:tc>
          <w:tcPr>
            <w:tcW w:w="72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0</w:t>
            </w:r>
          </w:p>
        </w:tc>
        <w:tc>
          <w:tcPr>
            <w:tcW w:w="117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10%</w:t>
            </w:r>
          </w:p>
        </w:tc>
        <w:tc>
          <w:tcPr>
            <w:tcW w:w="99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10%</w:t>
            </w:r>
          </w:p>
        </w:tc>
        <w:tc>
          <w:tcPr>
            <w:tcW w:w="1530" w:type="dxa"/>
            <w:vAlign w:val="bottom"/>
          </w:tcPr>
          <w:p w:rsidR="00F86266" w:rsidRPr="00A21238" w:rsidRDefault="001E7475" w:rsidP="00EB03FC">
            <w:pPr>
              <w:jc w:val="center"/>
              <w:rPr>
                <w:rFonts w:asciiTheme="minorHAnsi" w:hAnsiTheme="minorHAnsi" w:cstheme="minorHAnsi"/>
                <w:sz w:val="20"/>
                <w:szCs w:val="20"/>
              </w:rPr>
            </w:pPr>
            <w:r w:rsidRPr="00A21238">
              <w:rPr>
                <w:rFonts w:asciiTheme="minorHAnsi" w:hAnsiTheme="minorHAnsi" w:cstheme="minorHAnsi"/>
                <w:sz w:val="20"/>
                <w:szCs w:val="20"/>
              </w:rPr>
              <w:t>1.00[0.48,2.07]</w:t>
            </w:r>
          </w:p>
        </w:tc>
        <w:tc>
          <w:tcPr>
            <w:tcW w:w="990" w:type="dxa"/>
            <w:vAlign w:val="bottom"/>
          </w:tcPr>
          <w:p w:rsidR="00F86266" w:rsidRPr="00A21238" w:rsidRDefault="00F646D3" w:rsidP="00EB03FC">
            <w:pPr>
              <w:jc w:val="center"/>
              <w:rPr>
                <w:rFonts w:asciiTheme="minorHAnsi" w:hAnsiTheme="minorHAnsi" w:cstheme="minorHAnsi"/>
                <w:sz w:val="20"/>
                <w:szCs w:val="20"/>
              </w:rPr>
            </w:pPr>
            <w:r w:rsidRPr="00A21238">
              <w:rPr>
                <w:rFonts w:asciiTheme="minorHAnsi" w:hAnsiTheme="minorHAnsi" w:cstheme="minorHAnsi"/>
                <w:i/>
                <w:sz w:val="20"/>
                <w:szCs w:val="20"/>
              </w:rPr>
              <w:t>P</w:t>
            </w:r>
            <w:r w:rsidR="00535C9E">
              <w:rPr>
                <w:rFonts w:asciiTheme="minorHAnsi" w:hAnsiTheme="minorHAnsi" w:cstheme="minorHAnsi"/>
                <w:sz w:val="20"/>
                <w:szCs w:val="20"/>
              </w:rPr>
              <w:t>&gt;.99</w:t>
            </w:r>
          </w:p>
        </w:tc>
      </w:tr>
      <w:tr w:rsidR="001E7475" w:rsidRPr="00A21238" w:rsidTr="00EB03FC">
        <w:tc>
          <w:tcPr>
            <w:tcW w:w="1980" w:type="dxa"/>
          </w:tcPr>
          <w:p w:rsidR="00F86266" w:rsidRPr="00A21238" w:rsidRDefault="00F86266" w:rsidP="0002496E">
            <w:pPr>
              <w:rPr>
                <w:rFonts w:asciiTheme="minorHAnsi" w:hAnsiTheme="minorHAnsi" w:cstheme="minorHAnsi"/>
                <w:sz w:val="20"/>
                <w:szCs w:val="20"/>
              </w:rPr>
            </w:pPr>
            <w:r w:rsidRPr="00A21238">
              <w:rPr>
                <w:rFonts w:asciiTheme="minorHAnsi" w:hAnsiTheme="minorHAnsi" w:cstheme="minorHAnsi"/>
                <w:sz w:val="20"/>
                <w:szCs w:val="20"/>
              </w:rPr>
              <w:t>Smart-Amplification process</w:t>
            </w:r>
            <w:r w:rsidR="0002496E" w:rsidRPr="0002496E">
              <w:rPr>
                <w:rFonts w:asciiTheme="minorHAnsi" w:hAnsiTheme="minorHAnsi" w:cstheme="minorHAnsi"/>
                <w:noProof/>
                <w:sz w:val="20"/>
                <w:szCs w:val="20"/>
                <w:vertAlign w:val="superscript"/>
              </w:rPr>
              <w:t>112, 115, 116</w:t>
            </w:r>
          </w:p>
        </w:tc>
        <w:tc>
          <w:tcPr>
            <w:tcW w:w="135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86%</w:t>
            </w:r>
          </w:p>
        </w:tc>
        <w:tc>
          <w:tcPr>
            <w:tcW w:w="81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4(220)</w:t>
            </w:r>
          </w:p>
        </w:tc>
        <w:tc>
          <w:tcPr>
            <w:tcW w:w="72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30</w:t>
            </w:r>
          </w:p>
        </w:tc>
        <w:tc>
          <w:tcPr>
            <w:tcW w:w="72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0</w:t>
            </w:r>
          </w:p>
        </w:tc>
        <w:tc>
          <w:tcPr>
            <w:tcW w:w="117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20%</w:t>
            </w:r>
          </w:p>
        </w:tc>
        <w:tc>
          <w:tcPr>
            <w:tcW w:w="990" w:type="dxa"/>
            <w:vAlign w:val="bottom"/>
          </w:tcPr>
          <w:p w:rsidR="00F86266" w:rsidRPr="00A21238" w:rsidRDefault="00F86266" w:rsidP="00EB03FC">
            <w:pPr>
              <w:jc w:val="center"/>
              <w:rPr>
                <w:rFonts w:asciiTheme="minorHAnsi" w:hAnsiTheme="minorHAnsi" w:cstheme="minorHAnsi"/>
                <w:sz w:val="20"/>
                <w:szCs w:val="20"/>
              </w:rPr>
            </w:pPr>
            <w:r w:rsidRPr="00A21238">
              <w:rPr>
                <w:rFonts w:asciiTheme="minorHAnsi" w:hAnsiTheme="minorHAnsi" w:cstheme="minorHAnsi"/>
                <w:sz w:val="20"/>
                <w:szCs w:val="20"/>
              </w:rPr>
              <w:t>34%</w:t>
            </w:r>
          </w:p>
        </w:tc>
        <w:tc>
          <w:tcPr>
            <w:tcW w:w="1530" w:type="dxa"/>
            <w:vAlign w:val="bottom"/>
          </w:tcPr>
          <w:p w:rsidR="00F86266" w:rsidRPr="00A21238" w:rsidRDefault="001E7475" w:rsidP="00EB03FC">
            <w:pPr>
              <w:jc w:val="center"/>
              <w:rPr>
                <w:rFonts w:asciiTheme="minorHAnsi" w:hAnsiTheme="minorHAnsi" w:cstheme="minorHAnsi"/>
                <w:sz w:val="20"/>
                <w:szCs w:val="20"/>
              </w:rPr>
            </w:pPr>
            <w:r w:rsidRPr="00A21238">
              <w:rPr>
                <w:rFonts w:asciiTheme="minorHAnsi" w:hAnsiTheme="minorHAnsi" w:cstheme="minorHAnsi"/>
                <w:sz w:val="20"/>
                <w:szCs w:val="20"/>
              </w:rPr>
              <w:t>0.58[0.44,0.77]</w:t>
            </w:r>
          </w:p>
        </w:tc>
        <w:tc>
          <w:tcPr>
            <w:tcW w:w="990" w:type="dxa"/>
            <w:vAlign w:val="bottom"/>
          </w:tcPr>
          <w:p w:rsidR="00F86266" w:rsidRPr="00A21238" w:rsidRDefault="00F646D3" w:rsidP="00EB03FC">
            <w:pPr>
              <w:jc w:val="center"/>
              <w:rPr>
                <w:rFonts w:asciiTheme="minorHAnsi" w:hAnsiTheme="minorHAnsi" w:cstheme="minorHAnsi"/>
                <w:b/>
                <w:sz w:val="20"/>
                <w:szCs w:val="20"/>
              </w:rPr>
            </w:pPr>
            <w:r w:rsidRPr="00A21238">
              <w:rPr>
                <w:rFonts w:asciiTheme="minorHAnsi" w:hAnsiTheme="minorHAnsi" w:cstheme="minorHAnsi"/>
                <w:b/>
                <w:bCs/>
                <w:i/>
                <w:sz w:val="20"/>
                <w:szCs w:val="20"/>
              </w:rPr>
              <w:t>P</w:t>
            </w:r>
            <w:r w:rsidRPr="00A21238">
              <w:rPr>
                <w:rFonts w:asciiTheme="minorHAnsi" w:hAnsiTheme="minorHAnsi" w:cstheme="minorHAnsi"/>
                <w:b/>
                <w:bCs/>
                <w:sz w:val="20"/>
                <w:szCs w:val="20"/>
              </w:rPr>
              <w:t>&lt;.001</w:t>
            </w:r>
          </w:p>
        </w:tc>
      </w:tr>
    </w:tbl>
    <w:p w:rsidR="00577551" w:rsidRPr="00A26FF8" w:rsidRDefault="001E7475" w:rsidP="00577551">
      <w:pPr>
        <w:ind w:left="-540"/>
        <w:rPr>
          <w:rFonts w:ascii="Calibri" w:hAnsi="Calibri" w:cs="Calibri"/>
          <w:bCs/>
          <w:sz w:val="18"/>
          <w:szCs w:val="18"/>
        </w:rPr>
      </w:pPr>
      <w:r w:rsidRPr="00A21238">
        <w:rPr>
          <w:rFonts w:asciiTheme="minorHAnsi" w:hAnsiTheme="minorHAnsi"/>
          <w:sz w:val="20"/>
          <w:szCs w:val="20"/>
        </w:rPr>
        <w:t xml:space="preserve"> </w:t>
      </w:r>
      <w:r w:rsidR="00E36EA3" w:rsidRPr="00A26FF8">
        <w:rPr>
          <w:rFonts w:asciiTheme="minorHAnsi" w:hAnsiTheme="minorHAnsi"/>
          <w:sz w:val="18"/>
          <w:szCs w:val="18"/>
        </w:rPr>
        <w:t xml:space="preserve">Abbreviations: </w:t>
      </w:r>
      <w:r w:rsidR="00470CE4" w:rsidRPr="00A26FF8">
        <w:rPr>
          <w:rFonts w:ascii="Calibri" w:hAnsi="Calibri" w:cs="Calibri"/>
          <w:sz w:val="18"/>
          <w:szCs w:val="18"/>
        </w:rPr>
        <w:t>ARMS,</w:t>
      </w:r>
      <w:r w:rsidR="00E36EA3" w:rsidRPr="00A26FF8">
        <w:rPr>
          <w:rFonts w:ascii="Calibri" w:hAnsi="Calibri" w:cs="Calibri"/>
          <w:sz w:val="18"/>
          <w:szCs w:val="18"/>
        </w:rPr>
        <w:t xml:space="preserve"> amplification refractory mutation system</w:t>
      </w:r>
      <w:r w:rsidR="00470CE4" w:rsidRPr="00A26FF8">
        <w:rPr>
          <w:rFonts w:ascii="Calibri" w:hAnsi="Calibri" w:cs="Calibri"/>
          <w:sz w:val="18"/>
          <w:szCs w:val="18"/>
        </w:rPr>
        <w:t>;</w:t>
      </w:r>
      <w:r w:rsidR="00E36EA3" w:rsidRPr="00A26FF8">
        <w:rPr>
          <w:rFonts w:asciiTheme="minorHAnsi" w:hAnsiTheme="minorHAnsi"/>
          <w:sz w:val="18"/>
          <w:szCs w:val="18"/>
        </w:rPr>
        <w:t xml:space="preserve"> </w:t>
      </w:r>
      <w:r w:rsidRPr="00A26FF8">
        <w:rPr>
          <w:rFonts w:asciiTheme="minorHAnsi" w:hAnsiTheme="minorHAnsi"/>
          <w:sz w:val="18"/>
          <w:szCs w:val="18"/>
        </w:rPr>
        <w:t>CI</w:t>
      </w:r>
      <w:r w:rsidR="00470CE4" w:rsidRPr="00A26FF8">
        <w:rPr>
          <w:rFonts w:asciiTheme="minorHAnsi" w:hAnsiTheme="minorHAnsi"/>
          <w:sz w:val="18"/>
          <w:szCs w:val="18"/>
        </w:rPr>
        <w:t>,</w:t>
      </w:r>
      <w:r w:rsidRPr="00A26FF8">
        <w:rPr>
          <w:rFonts w:asciiTheme="minorHAnsi" w:hAnsiTheme="minorHAnsi"/>
          <w:sz w:val="18"/>
          <w:szCs w:val="18"/>
        </w:rPr>
        <w:t xml:space="preserve"> Confidence interval; </w:t>
      </w:r>
      <w:r w:rsidR="00470CE4" w:rsidRPr="00A26FF8">
        <w:rPr>
          <w:rFonts w:ascii="Calibri" w:hAnsi="Calibri" w:cs="Calibri"/>
          <w:sz w:val="18"/>
          <w:szCs w:val="18"/>
        </w:rPr>
        <w:t>COLD,</w:t>
      </w:r>
      <w:r w:rsidR="00E36EA3" w:rsidRPr="00A26FF8">
        <w:rPr>
          <w:rFonts w:ascii="Calibri" w:hAnsi="Calibri" w:cs="Calibri"/>
          <w:sz w:val="18"/>
          <w:szCs w:val="18"/>
        </w:rPr>
        <w:t xml:space="preserve"> co-amplification at low </w:t>
      </w:r>
      <w:proofErr w:type="spellStart"/>
      <w:r w:rsidR="00E36EA3" w:rsidRPr="00A26FF8">
        <w:rPr>
          <w:rFonts w:ascii="Calibri" w:hAnsi="Calibri" w:cs="Calibri"/>
          <w:sz w:val="18"/>
          <w:szCs w:val="18"/>
        </w:rPr>
        <w:t>denaturation</w:t>
      </w:r>
      <w:proofErr w:type="spellEnd"/>
      <w:r w:rsidR="00E36EA3" w:rsidRPr="00A26FF8">
        <w:rPr>
          <w:rFonts w:ascii="Calibri" w:hAnsi="Calibri" w:cs="Calibri"/>
          <w:sz w:val="18"/>
          <w:szCs w:val="18"/>
        </w:rPr>
        <w:t xml:space="preserve"> temperature; </w:t>
      </w:r>
      <w:r w:rsidR="00470CE4" w:rsidRPr="00A26FF8">
        <w:rPr>
          <w:rFonts w:asciiTheme="minorHAnsi" w:hAnsiTheme="minorHAnsi"/>
          <w:sz w:val="18"/>
          <w:szCs w:val="18"/>
        </w:rPr>
        <w:t>HPLC,</w:t>
      </w:r>
      <w:r w:rsidR="00E36EA3" w:rsidRPr="00A26FF8">
        <w:rPr>
          <w:rFonts w:asciiTheme="minorHAnsi" w:hAnsiTheme="minorHAnsi"/>
          <w:sz w:val="18"/>
          <w:szCs w:val="18"/>
        </w:rPr>
        <w:t xml:space="preserve"> High Performance Liquid Chromatography</w:t>
      </w:r>
      <w:r w:rsidR="00470CE4" w:rsidRPr="00A26FF8">
        <w:rPr>
          <w:rFonts w:asciiTheme="minorHAnsi" w:hAnsiTheme="minorHAnsi"/>
          <w:sz w:val="18"/>
          <w:szCs w:val="18"/>
        </w:rPr>
        <w:t>;</w:t>
      </w:r>
      <w:r w:rsidR="00E36EA3" w:rsidRPr="00A26FF8">
        <w:rPr>
          <w:rFonts w:asciiTheme="minorHAnsi" w:hAnsiTheme="minorHAnsi"/>
          <w:sz w:val="18"/>
          <w:szCs w:val="18"/>
        </w:rPr>
        <w:t xml:space="preserve"> </w:t>
      </w:r>
      <w:r w:rsidRPr="00A26FF8">
        <w:rPr>
          <w:rFonts w:asciiTheme="minorHAnsi" w:hAnsiTheme="minorHAnsi"/>
          <w:sz w:val="18"/>
          <w:szCs w:val="18"/>
        </w:rPr>
        <w:t>n</w:t>
      </w:r>
      <w:r w:rsidR="00470CE4" w:rsidRPr="00A26FF8">
        <w:rPr>
          <w:rFonts w:asciiTheme="minorHAnsi" w:hAnsiTheme="minorHAnsi"/>
          <w:sz w:val="18"/>
          <w:szCs w:val="18"/>
        </w:rPr>
        <w:t>,</w:t>
      </w:r>
      <w:r w:rsidRPr="00A26FF8">
        <w:rPr>
          <w:rFonts w:asciiTheme="minorHAnsi" w:hAnsiTheme="minorHAnsi"/>
          <w:sz w:val="18"/>
          <w:szCs w:val="18"/>
        </w:rPr>
        <w:t xml:space="preserve"> Number of studies; N</w:t>
      </w:r>
      <w:r w:rsidR="00470CE4" w:rsidRPr="00A26FF8">
        <w:rPr>
          <w:rFonts w:asciiTheme="minorHAnsi" w:hAnsiTheme="minorHAnsi"/>
          <w:sz w:val="18"/>
          <w:szCs w:val="18"/>
        </w:rPr>
        <w:t>,</w:t>
      </w:r>
      <w:r w:rsidRPr="00A26FF8">
        <w:rPr>
          <w:rFonts w:asciiTheme="minorHAnsi" w:hAnsiTheme="minorHAnsi"/>
          <w:sz w:val="18"/>
          <w:szCs w:val="18"/>
        </w:rPr>
        <w:t xml:space="preserve"> Number of patients</w:t>
      </w:r>
      <w:r w:rsidR="007F34E3" w:rsidRPr="00A26FF8">
        <w:rPr>
          <w:rFonts w:asciiTheme="minorHAnsi" w:hAnsiTheme="minorHAnsi"/>
          <w:sz w:val="18"/>
          <w:szCs w:val="18"/>
        </w:rPr>
        <w:t>; PCR</w:t>
      </w:r>
      <w:r w:rsidR="00470CE4" w:rsidRPr="00A26FF8">
        <w:rPr>
          <w:rFonts w:asciiTheme="minorHAnsi" w:hAnsiTheme="minorHAnsi"/>
          <w:sz w:val="18"/>
          <w:szCs w:val="18"/>
        </w:rPr>
        <w:t>,</w:t>
      </w:r>
      <w:r w:rsidR="007F34E3" w:rsidRPr="00A26FF8">
        <w:rPr>
          <w:rFonts w:asciiTheme="minorHAnsi" w:hAnsiTheme="minorHAnsi"/>
          <w:sz w:val="18"/>
          <w:szCs w:val="18"/>
        </w:rPr>
        <w:t xml:space="preserve"> Polymerase Chain Reaction</w:t>
      </w:r>
      <w:r w:rsidR="00577551" w:rsidRPr="00A26FF8">
        <w:rPr>
          <w:rFonts w:asciiTheme="minorHAnsi" w:hAnsiTheme="minorHAnsi"/>
          <w:sz w:val="18"/>
          <w:szCs w:val="18"/>
        </w:rPr>
        <w:t>; RR</w:t>
      </w:r>
      <w:r w:rsidR="00470CE4" w:rsidRPr="00A26FF8">
        <w:rPr>
          <w:rFonts w:asciiTheme="minorHAnsi" w:hAnsiTheme="minorHAnsi"/>
          <w:sz w:val="18"/>
          <w:szCs w:val="18"/>
        </w:rPr>
        <w:t>,</w:t>
      </w:r>
      <w:r w:rsidR="00577551" w:rsidRPr="00A26FF8">
        <w:rPr>
          <w:rFonts w:asciiTheme="minorHAnsi" w:hAnsiTheme="minorHAnsi" w:cstheme="minorHAnsi"/>
          <w:b/>
          <w:sz w:val="18"/>
          <w:szCs w:val="18"/>
        </w:rPr>
        <w:t xml:space="preserve"> </w:t>
      </w:r>
      <w:r w:rsidR="00577551" w:rsidRPr="00A26FF8">
        <w:rPr>
          <w:rFonts w:asciiTheme="minorHAnsi" w:hAnsiTheme="minorHAnsi" w:cstheme="minorHAnsi"/>
          <w:sz w:val="18"/>
          <w:szCs w:val="18"/>
        </w:rPr>
        <w:t>Relative Risk, Mantel-Haenszel, Random Effects model, [95% CI]</w:t>
      </w:r>
      <w:r w:rsidR="00535C9E" w:rsidRPr="00A26FF8">
        <w:rPr>
          <w:rFonts w:ascii="Calibri" w:hAnsi="Calibri" w:cs="Calibri"/>
          <w:sz w:val="18"/>
          <w:szCs w:val="18"/>
        </w:rPr>
        <w:t>; PCR</w:t>
      </w:r>
      <w:r w:rsidR="00470CE4" w:rsidRPr="00A26FF8">
        <w:rPr>
          <w:rFonts w:ascii="Calibri" w:hAnsi="Calibri" w:cs="Calibri"/>
          <w:sz w:val="18"/>
          <w:szCs w:val="18"/>
        </w:rPr>
        <w:t>,</w:t>
      </w:r>
      <w:r w:rsidR="00535C9E" w:rsidRPr="00A26FF8">
        <w:rPr>
          <w:rFonts w:ascii="Calibri" w:hAnsi="Calibri" w:cs="Calibri"/>
          <w:sz w:val="18"/>
          <w:szCs w:val="18"/>
        </w:rPr>
        <w:t xml:space="preserve"> polymerase chain reaction; HPLC</w:t>
      </w:r>
      <w:r w:rsidR="00470CE4" w:rsidRPr="00A26FF8">
        <w:rPr>
          <w:rFonts w:ascii="Calibri" w:hAnsi="Calibri" w:cs="Calibri"/>
          <w:sz w:val="18"/>
          <w:szCs w:val="18"/>
        </w:rPr>
        <w:t>,</w:t>
      </w:r>
      <w:r w:rsidR="00535C9E" w:rsidRPr="00A26FF8">
        <w:rPr>
          <w:rFonts w:ascii="Calibri" w:hAnsi="Calibri" w:cs="Calibri"/>
          <w:sz w:val="18"/>
          <w:szCs w:val="18"/>
        </w:rPr>
        <w:t xml:space="preserve"> high performance liquid chromatography; </w:t>
      </w:r>
      <w:proofErr w:type="spellStart"/>
      <w:r w:rsidR="00535C9E" w:rsidRPr="00A26FF8">
        <w:rPr>
          <w:rFonts w:ascii="Calibri" w:hAnsi="Calibri" w:cs="Calibri"/>
          <w:sz w:val="18"/>
          <w:szCs w:val="18"/>
        </w:rPr>
        <w:t>Seq</w:t>
      </w:r>
      <w:proofErr w:type="spellEnd"/>
      <w:r w:rsidR="00535C9E" w:rsidRPr="00A26FF8">
        <w:rPr>
          <w:rFonts w:ascii="Calibri" w:hAnsi="Calibri" w:cs="Calibri"/>
          <w:sz w:val="18"/>
          <w:szCs w:val="18"/>
        </w:rPr>
        <w:t xml:space="preserve"> -</w:t>
      </w:r>
      <w:r w:rsidR="00470CE4" w:rsidRPr="00A26FF8">
        <w:rPr>
          <w:rFonts w:ascii="Calibri" w:hAnsi="Calibri" w:cs="Calibri"/>
          <w:sz w:val="18"/>
          <w:szCs w:val="18"/>
        </w:rPr>
        <w:t>,</w:t>
      </w:r>
      <w:r w:rsidR="00535C9E" w:rsidRPr="00A26FF8">
        <w:rPr>
          <w:rFonts w:ascii="Calibri" w:hAnsi="Calibri" w:cs="Calibri"/>
          <w:sz w:val="18"/>
          <w:szCs w:val="18"/>
        </w:rPr>
        <w:t xml:space="preserve"> Negative by Sanger Sequencing; </w:t>
      </w:r>
      <w:proofErr w:type="spellStart"/>
      <w:r w:rsidR="00535C9E" w:rsidRPr="00A26FF8">
        <w:rPr>
          <w:rFonts w:ascii="Calibri" w:hAnsi="Calibri" w:cs="Calibri"/>
          <w:sz w:val="18"/>
          <w:szCs w:val="18"/>
        </w:rPr>
        <w:t>Seq</w:t>
      </w:r>
      <w:proofErr w:type="spellEnd"/>
      <w:r w:rsidR="00535C9E" w:rsidRPr="00A26FF8">
        <w:rPr>
          <w:rFonts w:ascii="Calibri" w:hAnsi="Calibri" w:cs="Calibri"/>
          <w:sz w:val="18"/>
          <w:szCs w:val="18"/>
        </w:rPr>
        <w:t xml:space="preserve"> +</w:t>
      </w:r>
      <w:r w:rsidR="00470CE4" w:rsidRPr="00A26FF8">
        <w:rPr>
          <w:rFonts w:ascii="Calibri" w:hAnsi="Calibri" w:cs="Calibri"/>
          <w:sz w:val="18"/>
          <w:szCs w:val="18"/>
        </w:rPr>
        <w:t>,</w:t>
      </w:r>
      <w:r w:rsidR="00535C9E" w:rsidRPr="00A26FF8">
        <w:rPr>
          <w:rFonts w:ascii="Calibri" w:hAnsi="Calibri" w:cs="Calibri"/>
          <w:sz w:val="18"/>
          <w:szCs w:val="18"/>
        </w:rPr>
        <w:t xml:space="preserve"> Positive by Sanger Sequencing</w:t>
      </w:r>
    </w:p>
    <w:p w:rsidR="00E36EA3" w:rsidRPr="00A26FF8" w:rsidRDefault="00665CB4" w:rsidP="00E36EA3">
      <w:pPr>
        <w:ind w:left="-540"/>
        <w:rPr>
          <w:rFonts w:ascii="Calibri" w:hAnsi="Calibri" w:cs="Calibri"/>
          <w:sz w:val="18"/>
          <w:szCs w:val="18"/>
        </w:rPr>
      </w:pPr>
      <w:proofErr w:type="gramStart"/>
      <w:r w:rsidRPr="00A26FF8">
        <w:rPr>
          <w:rFonts w:asciiTheme="minorHAnsi" w:hAnsiTheme="minorHAnsi"/>
          <w:sz w:val="18"/>
          <w:szCs w:val="18"/>
          <w:vertAlign w:val="superscript"/>
        </w:rPr>
        <w:t>a</w:t>
      </w:r>
      <w:proofErr w:type="gramEnd"/>
      <w:r>
        <w:rPr>
          <w:rFonts w:asciiTheme="minorHAnsi" w:hAnsiTheme="minorHAnsi"/>
          <w:sz w:val="18"/>
          <w:szCs w:val="18"/>
          <w:vertAlign w:val="superscript"/>
        </w:rPr>
        <w:t xml:space="preserve"> </w:t>
      </w:r>
      <w:r w:rsidRPr="00A26FF8">
        <w:rPr>
          <w:rFonts w:ascii="Calibri" w:hAnsi="Calibri" w:cs="Calibri"/>
          <w:sz w:val="18"/>
          <w:szCs w:val="18"/>
        </w:rPr>
        <w:t>The</w:t>
      </w:r>
      <w:r w:rsidR="00757EEA" w:rsidRPr="00A26FF8">
        <w:rPr>
          <w:rFonts w:ascii="Calibri" w:hAnsi="Calibri" w:cs="Calibri"/>
          <w:sz w:val="18"/>
          <w:szCs w:val="18"/>
        </w:rPr>
        <w:t xml:space="preserve"> variation in </w:t>
      </w:r>
      <w:r w:rsidR="00757EEA" w:rsidRPr="00A26FF8">
        <w:rPr>
          <w:rFonts w:ascii="Calibri" w:hAnsi="Calibri" w:cs="Calibri"/>
          <w:i/>
          <w:iCs/>
          <w:sz w:val="18"/>
          <w:szCs w:val="18"/>
        </w:rPr>
        <w:t>EGFR</w:t>
      </w:r>
      <w:r w:rsidR="00757EEA" w:rsidRPr="00A26FF8">
        <w:rPr>
          <w:rFonts w:ascii="Calibri" w:hAnsi="Calibri" w:cs="Calibri"/>
          <w:sz w:val="18"/>
          <w:szCs w:val="18"/>
        </w:rPr>
        <w:t xml:space="preserve"> mutation rate between rows may reflect studies performed in different patient populations (Asian </w:t>
      </w:r>
      <w:r w:rsidRPr="00A26FF8">
        <w:rPr>
          <w:rFonts w:ascii="Calibri" w:hAnsi="Calibri" w:cs="Calibri"/>
          <w:sz w:val="18"/>
          <w:szCs w:val="18"/>
        </w:rPr>
        <w:t>vs.</w:t>
      </w:r>
      <w:r w:rsidR="00757EEA" w:rsidRPr="00A26FF8">
        <w:rPr>
          <w:rFonts w:ascii="Calibri" w:hAnsi="Calibri" w:cs="Calibri"/>
          <w:sz w:val="18"/>
          <w:szCs w:val="18"/>
        </w:rPr>
        <w:t xml:space="preserve"> non-Asian). No statistical comparisons </w:t>
      </w:r>
      <w:proofErr w:type="gramStart"/>
      <w:r w:rsidR="00757EEA" w:rsidRPr="00A26FF8">
        <w:rPr>
          <w:rFonts w:ascii="Calibri" w:hAnsi="Calibri" w:cs="Calibri"/>
          <w:sz w:val="18"/>
          <w:szCs w:val="18"/>
        </w:rPr>
        <w:t>were performed</w:t>
      </w:r>
      <w:proofErr w:type="gramEnd"/>
      <w:r w:rsidR="00757EEA" w:rsidRPr="00A26FF8">
        <w:rPr>
          <w:rFonts w:ascii="Calibri" w:hAnsi="Calibri" w:cs="Calibri"/>
          <w:sz w:val="18"/>
          <w:szCs w:val="18"/>
        </w:rPr>
        <w:t xml:space="preserve"> between rows. </w:t>
      </w:r>
    </w:p>
    <w:p w:rsidR="00E36EA3" w:rsidRPr="00A26FF8" w:rsidRDefault="00AC081E" w:rsidP="00577551">
      <w:pPr>
        <w:ind w:left="-540"/>
        <w:rPr>
          <w:rFonts w:asciiTheme="minorHAnsi" w:eastAsia="Calibri" w:hAnsiTheme="minorHAnsi" w:cstheme="minorHAnsi"/>
          <w:sz w:val="18"/>
          <w:szCs w:val="18"/>
        </w:rPr>
      </w:pPr>
      <w:proofErr w:type="gramStart"/>
      <w:r w:rsidRPr="00A26FF8">
        <w:rPr>
          <w:rFonts w:asciiTheme="minorHAnsi" w:hAnsiTheme="minorHAnsi" w:cstheme="minorHAnsi"/>
          <w:sz w:val="18"/>
          <w:szCs w:val="18"/>
          <w:vertAlign w:val="superscript"/>
        </w:rPr>
        <w:t>b</w:t>
      </w:r>
      <w:proofErr w:type="gramEnd"/>
      <w:r w:rsidRPr="00A26FF8">
        <w:rPr>
          <w:rFonts w:asciiTheme="minorHAnsi" w:hAnsiTheme="minorHAnsi" w:cstheme="minorHAnsi"/>
          <w:sz w:val="18"/>
          <w:szCs w:val="18"/>
        </w:rPr>
        <w:t xml:space="preserve"> </w:t>
      </w:r>
      <w:proofErr w:type="spellStart"/>
      <w:r w:rsidRPr="00A26FF8">
        <w:rPr>
          <w:rFonts w:asciiTheme="minorHAnsi" w:eastAsia="Calibri" w:hAnsiTheme="minorHAnsi" w:cstheme="minorHAnsi"/>
          <w:sz w:val="18"/>
          <w:szCs w:val="18"/>
        </w:rPr>
        <w:t>Cycleave</w:t>
      </w:r>
      <w:proofErr w:type="spellEnd"/>
      <w:r w:rsidRPr="00A26FF8">
        <w:rPr>
          <w:rFonts w:asciiTheme="minorHAnsi" w:eastAsia="Calibri" w:hAnsiTheme="minorHAnsi" w:cstheme="minorHAnsi"/>
          <w:sz w:val="18"/>
          <w:szCs w:val="18"/>
        </w:rPr>
        <w:t xml:space="preserve"> (Takara Bio, Otsu, Shiga, Japan).</w:t>
      </w:r>
    </w:p>
    <w:p w:rsidR="00E36EA3" w:rsidRPr="00A26FF8" w:rsidRDefault="00665CB4" w:rsidP="00577551">
      <w:pPr>
        <w:ind w:left="-540"/>
        <w:rPr>
          <w:rFonts w:asciiTheme="minorHAnsi" w:hAnsiTheme="minorHAnsi" w:cstheme="minorHAnsi"/>
          <w:sz w:val="18"/>
          <w:szCs w:val="18"/>
        </w:rPr>
      </w:pPr>
      <w:proofErr w:type="gramStart"/>
      <w:r w:rsidRPr="00A26FF8">
        <w:rPr>
          <w:rFonts w:asciiTheme="minorHAnsi" w:eastAsia="Calibri" w:hAnsiTheme="minorHAnsi" w:cstheme="minorHAnsi"/>
          <w:sz w:val="18"/>
          <w:szCs w:val="18"/>
          <w:vertAlign w:val="superscript"/>
        </w:rPr>
        <w:t>c</w:t>
      </w:r>
      <w:proofErr w:type="gramEnd"/>
      <w:r>
        <w:rPr>
          <w:rFonts w:asciiTheme="minorHAnsi" w:eastAsia="Calibri" w:hAnsiTheme="minorHAnsi" w:cstheme="minorHAnsi"/>
          <w:sz w:val="18"/>
          <w:szCs w:val="18"/>
          <w:vertAlign w:val="superscript"/>
        </w:rPr>
        <w:t xml:space="preserve"> </w:t>
      </w:r>
      <w:r w:rsidRPr="00A26FF8">
        <w:rPr>
          <w:rFonts w:asciiTheme="minorHAnsi" w:eastAsia="Calibri" w:hAnsiTheme="minorHAnsi" w:cstheme="minorHAnsi"/>
          <w:sz w:val="18"/>
          <w:szCs w:val="18"/>
        </w:rPr>
        <w:t>Invader</w:t>
      </w:r>
      <w:r w:rsidR="00AC081E" w:rsidRPr="00A26FF8">
        <w:rPr>
          <w:rFonts w:asciiTheme="minorHAnsi" w:eastAsia="Calibri" w:hAnsiTheme="minorHAnsi" w:cstheme="minorHAnsi"/>
          <w:sz w:val="18"/>
          <w:szCs w:val="18"/>
        </w:rPr>
        <w:t xml:space="preserve"> (</w:t>
      </w:r>
      <w:proofErr w:type="spellStart"/>
      <w:r w:rsidR="00AC081E" w:rsidRPr="00A26FF8">
        <w:rPr>
          <w:rFonts w:asciiTheme="minorHAnsi" w:eastAsia="Calibri" w:hAnsiTheme="minorHAnsi" w:cstheme="minorHAnsi"/>
          <w:sz w:val="18"/>
          <w:szCs w:val="18"/>
        </w:rPr>
        <w:t>Hologic</w:t>
      </w:r>
      <w:proofErr w:type="spellEnd"/>
      <w:r w:rsidR="00AC081E" w:rsidRPr="00A26FF8">
        <w:rPr>
          <w:rFonts w:asciiTheme="minorHAnsi" w:eastAsia="Calibri" w:hAnsiTheme="minorHAnsi" w:cstheme="minorHAnsi"/>
          <w:sz w:val="18"/>
          <w:szCs w:val="18"/>
        </w:rPr>
        <w:t>, Madison, Wisconsin).</w:t>
      </w:r>
    </w:p>
    <w:p w:rsidR="00C72B67" w:rsidRPr="00E15107" w:rsidRDefault="00C72B67" w:rsidP="00E35579">
      <w:pPr>
        <w:rPr>
          <w:rFonts w:ascii="Century Gothic" w:hAnsi="Century Gothic"/>
          <w:sz w:val="20"/>
          <w:szCs w:val="20"/>
        </w:rPr>
      </w:pPr>
    </w:p>
    <w:p w:rsidR="001E7475" w:rsidRPr="00A21238" w:rsidRDefault="00C167BC" w:rsidP="00E35579">
      <w:pPr>
        <w:rPr>
          <w:rFonts w:ascii="Century Gothic" w:hAnsi="Century Gothic"/>
          <w:sz w:val="20"/>
          <w:szCs w:val="20"/>
        </w:rPr>
      </w:pPr>
      <w:r w:rsidRPr="00A21238">
        <w:rPr>
          <w:rFonts w:ascii="Century Gothic" w:hAnsi="Century Gothic"/>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86518" w:rsidRPr="00A52683" w:rsidTr="004952B0">
        <w:tc>
          <w:tcPr>
            <w:tcW w:w="5000" w:type="pct"/>
            <w:vAlign w:val="center"/>
          </w:tcPr>
          <w:p w:rsidR="009E56FC" w:rsidRPr="00A52683" w:rsidRDefault="00481C2E" w:rsidP="009200CE">
            <w:pPr>
              <w:rPr>
                <w:b/>
                <w:sz w:val="22"/>
                <w:szCs w:val="22"/>
              </w:rPr>
            </w:pPr>
            <w:r w:rsidRPr="00A52683">
              <w:rPr>
                <w:b/>
                <w:sz w:val="22"/>
                <w:szCs w:val="22"/>
              </w:rPr>
              <w:lastRenderedPageBreak/>
              <w:t xml:space="preserve">6.2:  Expert </w:t>
            </w:r>
            <w:r w:rsidR="00031CF5">
              <w:rPr>
                <w:b/>
                <w:sz w:val="22"/>
                <w:szCs w:val="22"/>
              </w:rPr>
              <w:t>C</w:t>
            </w:r>
            <w:r w:rsidRPr="00A52683">
              <w:rPr>
                <w:b/>
                <w:sz w:val="22"/>
                <w:szCs w:val="22"/>
              </w:rPr>
              <w:t xml:space="preserve">onsensus </w:t>
            </w:r>
            <w:r w:rsidR="00031CF5">
              <w:rPr>
                <w:b/>
                <w:sz w:val="22"/>
                <w:szCs w:val="22"/>
              </w:rPr>
              <w:t>O</w:t>
            </w:r>
            <w:r w:rsidRPr="00A52683">
              <w:rPr>
                <w:b/>
                <w:sz w:val="22"/>
                <w:szCs w:val="22"/>
              </w:rPr>
              <w:t xml:space="preserve">pinion: </w:t>
            </w:r>
            <w:r w:rsidR="00A070F6" w:rsidRPr="00A52683">
              <w:rPr>
                <w:b/>
                <w:sz w:val="22"/>
                <w:szCs w:val="22"/>
              </w:rPr>
              <w:t>L</w:t>
            </w:r>
            <w:r w:rsidRPr="00A52683">
              <w:rPr>
                <w:b/>
                <w:sz w:val="22"/>
                <w:szCs w:val="22"/>
              </w:rPr>
              <w:t xml:space="preserve">aboratories should use </w:t>
            </w:r>
            <w:r w:rsidRPr="00A52683">
              <w:rPr>
                <w:b/>
                <w:i/>
                <w:sz w:val="22"/>
                <w:szCs w:val="22"/>
              </w:rPr>
              <w:t>EGFR</w:t>
            </w:r>
            <w:r w:rsidRPr="00A52683">
              <w:rPr>
                <w:b/>
                <w:sz w:val="22"/>
                <w:szCs w:val="22"/>
              </w:rPr>
              <w:t xml:space="preserve"> test methods that are able to detect mutations in specimens with at least 50% cancer cell content, although laboratories are strongly encouraged to </w:t>
            </w:r>
            <w:r w:rsidR="009200CE">
              <w:rPr>
                <w:b/>
                <w:sz w:val="22"/>
                <w:szCs w:val="22"/>
              </w:rPr>
              <w:t>use</w:t>
            </w:r>
            <w:r w:rsidR="00357441">
              <w:rPr>
                <w:b/>
                <w:sz w:val="22"/>
                <w:szCs w:val="22"/>
              </w:rPr>
              <w:t xml:space="preserve"> </w:t>
            </w:r>
            <w:r w:rsidRPr="00A52683">
              <w:rPr>
                <w:b/>
                <w:sz w:val="22"/>
                <w:szCs w:val="22"/>
              </w:rPr>
              <w:t>(or have available at an external reference laboratory) more sensitive tests that are able to detect mutations in specimens with as little as 10% cancer cells.</w:t>
            </w:r>
          </w:p>
        </w:tc>
      </w:tr>
    </w:tbl>
    <w:p w:rsidR="00486518" w:rsidRPr="00A52683" w:rsidRDefault="00486518" w:rsidP="00486518">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678C3" w:rsidRPr="00A52683" w:rsidTr="004952B0">
        <w:tc>
          <w:tcPr>
            <w:tcW w:w="5000" w:type="pct"/>
            <w:vAlign w:val="center"/>
          </w:tcPr>
          <w:p w:rsidR="00481C2E" w:rsidRPr="00A52683" w:rsidRDefault="008678C3" w:rsidP="00971A5D">
            <w:pPr>
              <w:tabs>
                <w:tab w:val="left" w:pos="8595"/>
              </w:tabs>
              <w:spacing w:after="200" w:line="276" w:lineRule="auto"/>
              <w:rPr>
                <w:sz w:val="22"/>
                <w:szCs w:val="22"/>
              </w:rPr>
            </w:pPr>
            <w:r w:rsidRPr="00A52683">
              <w:rPr>
                <w:sz w:val="22"/>
                <w:szCs w:val="22"/>
              </w:rPr>
              <w:br w:type="page"/>
            </w:r>
            <w:r w:rsidR="00214A00" w:rsidRPr="00A52683">
              <w:rPr>
                <w:b/>
                <w:sz w:val="22"/>
                <w:szCs w:val="22"/>
              </w:rPr>
              <w:t xml:space="preserve"> </w:t>
            </w:r>
            <w:r w:rsidR="00481C2E" w:rsidRPr="00A52683">
              <w:rPr>
                <w:b/>
                <w:sz w:val="22"/>
                <w:szCs w:val="22"/>
              </w:rPr>
              <w:t xml:space="preserve">6.3: Expert </w:t>
            </w:r>
            <w:r w:rsidR="00031CF5">
              <w:rPr>
                <w:b/>
                <w:sz w:val="22"/>
                <w:szCs w:val="22"/>
              </w:rPr>
              <w:t>C</w:t>
            </w:r>
            <w:r w:rsidR="00481C2E" w:rsidRPr="00A52683">
              <w:rPr>
                <w:b/>
                <w:sz w:val="22"/>
                <w:szCs w:val="22"/>
              </w:rPr>
              <w:t xml:space="preserve">onsensus </w:t>
            </w:r>
            <w:r w:rsidR="00031CF5">
              <w:rPr>
                <w:b/>
                <w:sz w:val="22"/>
                <w:szCs w:val="22"/>
              </w:rPr>
              <w:t>O</w:t>
            </w:r>
            <w:r w:rsidR="00481C2E" w:rsidRPr="00A52683">
              <w:rPr>
                <w:b/>
                <w:sz w:val="22"/>
                <w:szCs w:val="22"/>
              </w:rPr>
              <w:t xml:space="preserve">pinion: </w:t>
            </w:r>
            <w:r w:rsidR="00A070F6" w:rsidRPr="00A52683">
              <w:rPr>
                <w:b/>
                <w:sz w:val="22"/>
                <w:szCs w:val="22"/>
              </w:rPr>
              <w:t>C</w:t>
            </w:r>
            <w:r w:rsidR="00481C2E" w:rsidRPr="00A52683">
              <w:rPr>
                <w:b/>
                <w:sz w:val="22"/>
                <w:szCs w:val="22"/>
              </w:rPr>
              <w:t xml:space="preserve">linical </w:t>
            </w:r>
            <w:r w:rsidR="00481C2E" w:rsidRPr="00A52683">
              <w:rPr>
                <w:b/>
                <w:i/>
                <w:sz w:val="22"/>
                <w:szCs w:val="22"/>
              </w:rPr>
              <w:t>EGFR</w:t>
            </w:r>
            <w:r w:rsidR="00481C2E" w:rsidRPr="00A52683">
              <w:rPr>
                <w:b/>
                <w:sz w:val="22"/>
                <w:szCs w:val="22"/>
              </w:rPr>
              <w:t xml:space="preserve"> mutation testing should be able to </w:t>
            </w:r>
            <w:r w:rsidR="005E0D7C" w:rsidRPr="00A52683">
              <w:rPr>
                <w:b/>
                <w:sz w:val="22"/>
                <w:szCs w:val="22"/>
              </w:rPr>
              <w:t>detect all</w:t>
            </w:r>
            <w:r w:rsidR="00481C2E" w:rsidRPr="00A52683">
              <w:rPr>
                <w:b/>
                <w:sz w:val="22"/>
                <w:szCs w:val="22"/>
              </w:rPr>
              <w:t xml:space="preserve"> individual mutations </w:t>
            </w:r>
            <w:r w:rsidR="0063023D">
              <w:rPr>
                <w:b/>
                <w:sz w:val="22"/>
                <w:szCs w:val="22"/>
              </w:rPr>
              <w:t xml:space="preserve">that </w:t>
            </w:r>
            <w:proofErr w:type="gramStart"/>
            <w:r w:rsidR="0063023D">
              <w:rPr>
                <w:b/>
                <w:sz w:val="22"/>
                <w:szCs w:val="22"/>
              </w:rPr>
              <w:t>have been reported</w:t>
            </w:r>
            <w:proofErr w:type="gramEnd"/>
            <w:r w:rsidR="0063023D">
              <w:rPr>
                <w:b/>
                <w:sz w:val="22"/>
                <w:szCs w:val="22"/>
              </w:rPr>
              <w:t xml:space="preserve"> with a frequency of </w:t>
            </w:r>
            <w:r w:rsidR="00481C2E" w:rsidRPr="00A52683">
              <w:rPr>
                <w:b/>
                <w:sz w:val="22"/>
                <w:szCs w:val="22"/>
              </w:rPr>
              <w:t xml:space="preserve">at least 1% of </w:t>
            </w:r>
            <w:r w:rsidR="00481C2E" w:rsidRPr="00A52683">
              <w:rPr>
                <w:b/>
                <w:i/>
                <w:sz w:val="22"/>
                <w:szCs w:val="22"/>
              </w:rPr>
              <w:t>EGFR</w:t>
            </w:r>
            <w:r w:rsidR="00481C2E" w:rsidRPr="00A52683">
              <w:rPr>
                <w:b/>
                <w:sz w:val="22"/>
                <w:szCs w:val="22"/>
              </w:rPr>
              <w:t xml:space="preserve">-mutated lung adenocarcinomas.  </w:t>
            </w:r>
          </w:p>
        </w:tc>
      </w:tr>
    </w:tbl>
    <w:p w:rsidR="003A36C5" w:rsidRPr="00A52683" w:rsidRDefault="003A36C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678C3" w:rsidRPr="00A52683" w:rsidTr="004952B0">
        <w:tc>
          <w:tcPr>
            <w:tcW w:w="5000" w:type="pct"/>
            <w:vAlign w:val="center"/>
          </w:tcPr>
          <w:p w:rsidR="00481C2E" w:rsidRPr="00A52683" w:rsidRDefault="008678C3" w:rsidP="00481C2E">
            <w:pPr>
              <w:rPr>
                <w:b/>
                <w:sz w:val="22"/>
                <w:szCs w:val="22"/>
              </w:rPr>
            </w:pPr>
            <w:r w:rsidRPr="00A52683">
              <w:rPr>
                <w:sz w:val="22"/>
                <w:szCs w:val="22"/>
              </w:rPr>
              <w:br w:type="page"/>
            </w:r>
            <w:r w:rsidR="00481C2E" w:rsidRPr="00A52683">
              <w:rPr>
                <w:b/>
                <w:kern w:val="28"/>
                <w:sz w:val="22"/>
                <w:szCs w:val="22"/>
              </w:rPr>
              <w:t xml:space="preserve">6.4:  Recommendation: Immunohistochemistry for total </w:t>
            </w:r>
            <w:r w:rsidR="00AC081E" w:rsidRPr="00AC081E">
              <w:rPr>
                <w:b/>
                <w:kern w:val="28"/>
                <w:sz w:val="22"/>
                <w:szCs w:val="22"/>
              </w:rPr>
              <w:t>EGFR</w:t>
            </w:r>
            <w:r w:rsidR="00481C2E" w:rsidRPr="00A52683">
              <w:rPr>
                <w:b/>
                <w:kern w:val="28"/>
                <w:sz w:val="22"/>
                <w:szCs w:val="22"/>
              </w:rPr>
              <w:t xml:space="preserve"> </w:t>
            </w:r>
            <w:proofErr w:type="gramStart"/>
            <w:r w:rsidR="00481C2E" w:rsidRPr="00A52683">
              <w:rPr>
                <w:b/>
                <w:kern w:val="28"/>
                <w:sz w:val="22"/>
                <w:szCs w:val="22"/>
              </w:rPr>
              <w:t>is not</w:t>
            </w:r>
            <w:r w:rsidR="004A0542" w:rsidRPr="00A52683">
              <w:rPr>
                <w:b/>
                <w:kern w:val="28"/>
                <w:sz w:val="22"/>
                <w:szCs w:val="22"/>
              </w:rPr>
              <w:t xml:space="preserve"> </w:t>
            </w:r>
            <w:r w:rsidR="00481C2E" w:rsidRPr="00A52683">
              <w:rPr>
                <w:b/>
                <w:kern w:val="28"/>
                <w:sz w:val="22"/>
                <w:szCs w:val="22"/>
              </w:rPr>
              <w:t>recommended</w:t>
            </w:r>
            <w:proofErr w:type="gramEnd"/>
            <w:r w:rsidR="00481C2E" w:rsidRPr="00A52683">
              <w:rPr>
                <w:b/>
                <w:kern w:val="28"/>
                <w:sz w:val="22"/>
                <w:szCs w:val="22"/>
              </w:rPr>
              <w:t xml:space="preserve"> for selection of </w:t>
            </w:r>
            <w:r w:rsidR="00481C2E" w:rsidRPr="00B8122E">
              <w:rPr>
                <w:b/>
                <w:kern w:val="28"/>
                <w:sz w:val="22"/>
                <w:szCs w:val="22"/>
              </w:rPr>
              <w:t>EGFR</w:t>
            </w:r>
            <w:r w:rsidR="00481C2E" w:rsidRPr="00A52683">
              <w:rPr>
                <w:b/>
                <w:kern w:val="28"/>
                <w:sz w:val="22"/>
                <w:szCs w:val="22"/>
              </w:rPr>
              <w:t xml:space="preserve"> TKI therapy.</w:t>
            </w:r>
          </w:p>
        </w:tc>
      </w:tr>
      <w:tr w:rsidR="008678C3" w:rsidRPr="00A52683" w:rsidTr="004952B0">
        <w:tc>
          <w:tcPr>
            <w:tcW w:w="5000" w:type="pct"/>
            <w:vAlign w:val="center"/>
          </w:tcPr>
          <w:p w:rsidR="008678C3" w:rsidRPr="00A52683" w:rsidRDefault="008678C3" w:rsidP="006F6695">
            <w:pPr>
              <w:rPr>
                <w:sz w:val="22"/>
                <w:szCs w:val="22"/>
              </w:rPr>
            </w:pPr>
            <w:r w:rsidRPr="00A52683">
              <w:rPr>
                <w:b/>
                <w:bCs/>
                <w:sz w:val="22"/>
                <w:szCs w:val="22"/>
              </w:rPr>
              <w:t xml:space="preserve">Evidence base: </w:t>
            </w:r>
            <w:r w:rsidR="006F6695" w:rsidRPr="00A52683">
              <w:rPr>
                <w:b/>
                <w:bCs/>
                <w:sz w:val="22"/>
                <w:szCs w:val="22"/>
              </w:rPr>
              <w:t>A</w:t>
            </w:r>
          </w:p>
        </w:tc>
      </w:tr>
      <w:tr w:rsidR="008678C3" w:rsidRPr="00A52683" w:rsidTr="004952B0">
        <w:tc>
          <w:tcPr>
            <w:tcW w:w="5000" w:type="pct"/>
            <w:vAlign w:val="center"/>
          </w:tcPr>
          <w:p w:rsidR="008678C3" w:rsidRPr="00A52683" w:rsidRDefault="005E0D7C" w:rsidP="006F6695">
            <w:pPr>
              <w:rPr>
                <w:sz w:val="22"/>
                <w:szCs w:val="22"/>
              </w:rPr>
            </w:pPr>
            <w:r w:rsidRPr="00A52683">
              <w:rPr>
                <w:b/>
                <w:bCs/>
                <w:sz w:val="22"/>
                <w:szCs w:val="22"/>
              </w:rPr>
              <w:t>Consistency: A</w:t>
            </w:r>
          </w:p>
        </w:tc>
      </w:tr>
      <w:tr w:rsidR="008678C3" w:rsidRPr="00A52683" w:rsidTr="004952B0">
        <w:tc>
          <w:tcPr>
            <w:tcW w:w="5000" w:type="pct"/>
            <w:vAlign w:val="center"/>
          </w:tcPr>
          <w:p w:rsidR="008678C3" w:rsidRPr="00A52683" w:rsidRDefault="008678C3" w:rsidP="00D14783">
            <w:pPr>
              <w:rPr>
                <w:b/>
                <w:bCs/>
                <w:sz w:val="22"/>
                <w:szCs w:val="22"/>
              </w:rPr>
            </w:pPr>
            <w:r w:rsidRPr="00A52683">
              <w:rPr>
                <w:b/>
                <w:bCs/>
                <w:sz w:val="22"/>
                <w:szCs w:val="22"/>
              </w:rPr>
              <w:t>Clinical impact: A</w:t>
            </w:r>
          </w:p>
        </w:tc>
      </w:tr>
      <w:tr w:rsidR="008678C3" w:rsidRPr="00A52683" w:rsidTr="004952B0">
        <w:tc>
          <w:tcPr>
            <w:tcW w:w="5000" w:type="pct"/>
            <w:vAlign w:val="center"/>
          </w:tcPr>
          <w:p w:rsidR="008678C3" w:rsidRPr="00A52683" w:rsidRDefault="008678C3" w:rsidP="00D14783">
            <w:pPr>
              <w:rPr>
                <w:b/>
                <w:bCs/>
                <w:sz w:val="22"/>
                <w:szCs w:val="22"/>
              </w:rPr>
            </w:pPr>
            <w:proofErr w:type="spellStart"/>
            <w:r w:rsidRPr="00A52683">
              <w:rPr>
                <w:b/>
                <w:bCs/>
                <w:sz w:val="22"/>
                <w:szCs w:val="22"/>
              </w:rPr>
              <w:t>Generalizability</w:t>
            </w:r>
            <w:proofErr w:type="spellEnd"/>
            <w:r w:rsidRPr="00A52683">
              <w:rPr>
                <w:b/>
                <w:bCs/>
                <w:sz w:val="22"/>
                <w:szCs w:val="22"/>
              </w:rPr>
              <w:t>: A</w:t>
            </w:r>
          </w:p>
        </w:tc>
      </w:tr>
      <w:tr w:rsidR="008678C3" w:rsidRPr="00A52683" w:rsidTr="004952B0">
        <w:tc>
          <w:tcPr>
            <w:tcW w:w="5000" w:type="pct"/>
            <w:vAlign w:val="center"/>
          </w:tcPr>
          <w:p w:rsidR="008678C3" w:rsidRPr="00A52683" w:rsidRDefault="008678C3" w:rsidP="00D14783">
            <w:pPr>
              <w:rPr>
                <w:b/>
                <w:bCs/>
                <w:sz w:val="22"/>
                <w:szCs w:val="22"/>
              </w:rPr>
            </w:pPr>
            <w:r w:rsidRPr="00A52683">
              <w:rPr>
                <w:b/>
                <w:bCs/>
                <w:sz w:val="22"/>
                <w:szCs w:val="22"/>
              </w:rPr>
              <w:t>Applicability</w:t>
            </w:r>
            <w:r w:rsidR="00D14783" w:rsidRPr="00A52683">
              <w:rPr>
                <w:b/>
                <w:bCs/>
                <w:sz w:val="22"/>
                <w:szCs w:val="22"/>
              </w:rPr>
              <w:t xml:space="preserve">: </w:t>
            </w:r>
            <w:r w:rsidRPr="00A52683">
              <w:rPr>
                <w:b/>
                <w:bCs/>
                <w:sz w:val="22"/>
                <w:szCs w:val="22"/>
              </w:rPr>
              <w:t>A</w:t>
            </w:r>
          </w:p>
        </w:tc>
      </w:tr>
      <w:tr w:rsidR="008678C3" w:rsidRPr="00A52683" w:rsidTr="004952B0">
        <w:tc>
          <w:tcPr>
            <w:tcW w:w="5000" w:type="pct"/>
            <w:vAlign w:val="center"/>
          </w:tcPr>
          <w:p w:rsidR="008678C3" w:rsidRPr="00A52683" w:rsidRDefault="008678C3" w:rsidP="006F6695">
            <w:pPr>
              <w:rPr>
                <w:b/>
                <w:bCs/>
                <w:sz w:val="22"/>
                <w:szCs w:val="22"/>
              </w:rPr>
            </w:pPr>
            <w:r w:rsidRPr="00A52683">
              <w:rPr>
                <w:b/>
                <w:sz w:val="22"/>
                <w:szCs w:val="22"/>
              </w:rPr>
              <w:t xml:space="preserve">Overall Grade: </w:t>
            </w:r>
            <w:r w:rsidR="00214A00" w:rsidRPr="00A52683">
              <w:rPr>
                <w:b/>
                <w:sz w:val="22"/>
                <w:szCs w:val="22"/>
              </w:rPr>
              <w:t xml:space="preserve"> </w:t>
            </w:r>
            <w:r w:rsidR="006F6695" w:rsidRPr="00A52683">
              <w:rPr>
                <w:b/>
                <w:sz w:val="22"/>
                <w:szCs w:val="22"/>
              </w:rPr>
              <w:t>A</w:t>
            </w:r>
          </w:p>
        </w:tc>
      </w:tr>
    </w:tbl>
    <w:p w:rsidR="008678C3" w:rsidRPr="00A52683" w:rsidRDefault="008678C3" w:rsidP="006E23CA">
      <w:pPr>
        <w:rPr>
          <w:sz w:val="22"/>
          <w:szCs w:val="22"/>
        </w:rPr>
      </w:pPr>
    </w:p>
    <w:p w:rsidR="003A49AB" w:rsidRPr="00A52683" w:rsidRDefault="003A49AB" w:rsidP="00307856">
      <w:pPr>
        <w:rPr>
          <w:b/>
          <w:sz w:val="22"/>
          <w:szCs w:val="22"/>
        </w:rPr>
      </w:pPr>
    </w:p>
    <w:p w:rsidR="00307856" w:rsidRPr="00A52683" w:rsidRDefault="000E2454" w:rsidP="00307856">
      <w:pPr>
        <w:rPr>
          <w:b/>
          <w:sz w:val="22"/>
          <w:szCs w:val="22"/>
        </w:rPr>
      </w:pPr>
      <w:r w:rsidRPr="00A52683">
        <w:rPr>
          <w:b/>
          <w:sz w:val="22"/>
          <w:szCs w:val="22"/>
        </w:rPr>
        <w:t xml:space="preserve">Table </w:t>
      </w:r>
      <w:r w:rsidR="00245238" w:rsidRPr="00A52683">
        <w:rPr>
          <w:b/>
          <w:sz w:val="22"/>
          <w:szCs w:val="22"/>
        </w:rPr>
        <w:t>2</w:t>
      </w:r>
      <w:r w:rsidR="00A566D8" w:rsidRPr="00A52683">
        <w:rPr>
          <w:b/>
          <w:sz w:val="22"/>
          <w:szCs w:val="22"/>
        </w:rPr>
        <w:t>1</w:t>
      </w:r>
      <w:r w:rsidR="00307856" w:rsidRPr="00A52683">
        <w:rPr>
          <w:b/>
          <w:sz w:val="22"/>
          <w:szCs w:val="22"/>
        </w:rPr>
        <w:t>: Different outcomes with the use of Tyrosine Kinase Inhibitor</w:t>
      </w:r>
      <w:r w:rsidR="003F0041" w:rsidRPr="00A52683">
        <w:rPr>
          <w:b/>
          <w:sz w:val="22"/>
          <w:szCs w:val="22"/>
        </w:rPr>
        <w:t>s</w:t>
      </w:r>
      <w:r w:rsidR="00307856" w:rsidRPr="00A52683">
        <w:rPr>
          <w:b/>
          <w:sz w:val="22"/>
          <w:szCs w:val="22"/>
        </w:rPr>
        <w:t xml:space="preserve"> in patients tested by </w:t>
      </w:r>
      <w:r w:rsidR="0056004E" w:rsidRPr="00B8122E">
        <w:rPr>
          <w:b/>
          <w:sz w:val="22"/>
          <w:szCs w:val="22"/>
        </w:rPr>
        <w:t>EGFR</w:t>
      </w:r>
      <w:r w:rsidR="0056004E" w:rsidRPr="00A52683">
        <w:rPr>
          <w:b/>
          <w:sz w:val="22"/>
          <w:szCs w:val="22"/>
        </w:rPr>
        <w:t xml:space="preserve"> </w:t>
      </w:r>
      <w:r w:rsidR="00307856" w:rsidRPr="00A52683">
        <w:rPr>
          <w:b/>
          <w:sz w:val="22"/>
          <w:szCs w:val="22"/>
        </w:rPr>
        <w:t xml:space="preserve">Immunohistochemistry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9"/>
        <w:gridCol w:w="1312"/>
        <w:gridCol w:w="1498"/>
        <w:gridCol w:w="1220"/>
        <w:gridCol w:w="1805"/>
        <w:gridCol w:w="19"/>
        <w:gridCol w:w="1146"/>
      </w:tblGrid>
      <w:tr w:rsidR="00D1268D" w:rsidRPr="00A21238" w:rsidTr="005E32CB">
        <w:tc>
          <w:tcPr>
            <w:tcW w:w="1304" w:type="pct"/>
            <w:vMerge w:val="restart"/>
            <w:vAlign w:val="bottom"/>
          </w:tcPr>
          <w:p w:rsidR="00D1268D" w:rsidRPr="00A21238" w:rsidRDefault="00D1268D" w:rsidP="00EB03FC">
            <w:pPr>
              <w:rPr>
                <w:rFonts w:asciiTheme="minorHAnsi" w:hAnsiTheme="minorHAnsi" w:cs="Arial"/>
                <w:b/>
                <w:sz w:val="20"/>
                <w:szCs w:val="20"/>
              </w:rPr>
            </w:pPr>
            <w:r w:rsidRPr="00A21238">
              <w:rPr>
                <w:rFonts w:asciiTheme="minorHAnsi" w:hAnsiTheme="minorHAnsi" w:cs="Arial"/>
                <w:b/>
                <w:sz w:val="20"/>
                <w:szCs w:val="20"/>
              </w:rPr>
              <w:t>Outcome</w:t>
            </w:r>
          </w:p>
        </w:tc>
        <w:tc>
          <w:tcPr>
            <w:tcW w:w="1484" w:type="pct"/>
            <w:gridSpan w:val="2"/>
            <w:vAlign w:val="bottom"/>
          </w:tcPr>
          <w:p w:rsidR="00D1268D" w:rsidRPr="00A21238" w:rsidRDefault="00D1268D" w:rsidP="00EB03FC">
            <w:pPr>
              <w:jc w:val="center"/>
              <w:rPr>
                <w:rFonts w:asciiTheme="minorHAnsi" w:hAnsiTheme="minorHAnsi" w:cs="Arial"/>
                <w:b/>
                <w:sz w:val="20"/>
                <w:szCs w:val="20"/>
              </w:rPr>
            </w:pPr>
            <w:r w:rsidRPr="00A21238">
              <w:rPr>
                <w:rFonts w:asciiTheme="minorHAnsi" w:hAnsiTheme="minorHAnsi" w:cs="Arial"/>
                <w:b/>
                <w:sz w:val="20"/>
                <w:szCs w:val="20"/>
              </w:rPr>
              <w:t>Percentage</w:t>
            </w:r>
          </w:p>
        </w:tc>
        <w:tc>
          <w:tcPr>
            <w:tcW w:w="644" w:type="pct"/>
            <w:vMerge w:val="restart"/>
            <w:vAlign w:val="bottom"/>
          </w:tcPr>
          <w:p w:rsidR="00D1268D" w:rsidRPr="00A21238" w:rsidRDefault="00D1268D" w:rsidP="00EB03FC">
            <w:pPr>
              <w:jc w:val="center"/>
              <w:rPr>
                <w:rFonts w:asciiTheme="minorHAnsi" w:hAnsiTheme="minorHAnsi" w:cs="Arial"/>
                <w:b/>
                <w:sz w:val="20"/>
                <w:szCs w:val="20"/>
              </w:rPr>
            </w:pPr>
          </w:p>
          <w:p w:rsidR="00D1268D" w:rsidRPr="00A21238" w:rsidRDefault="00D1268D" w:rsidP="00EB03FC">
            <w:pPr>
              <w:jc w:val="center"/>
              <w:rPr>
                <w:rFonts w:asciiTheme="minorHAnsi" w:hAnsiTheme="minorHAnsi" w:cs="Arial"/>
                <w:b/>
                <w:sz w:val="20"/>
                <w:szCs w:val="20"/>
              </w:rPr>
            </w:pPr>
            <w:r w:rsidRPr="00A21238">
              <w:rPr>
                <w:rFonts w:asciiTheme="minorHAnsi" w:hAnsiTheme="minorHAnsi" w:cs="Arial"/>
                <w:b/>
                <w:sz w:val="20"/>
                <w:szCs w:val="20"/>
              </w:rPr>
              <w:t>n(N)</w:t>
            </w:r>
          </w:p>
        </w:tc>
        <w:tc>
          <w:tcPr>
            <w:tcW w:w="963" w:type="pct"/>
            <w:gridSpan w:val="2"/>
            <w:vMerge w:val="restart"/>
            <w:vAlign w:val="bottom"/>
          </w:tcPr>
          <w:p w:rsidR="00D1268D" w:rsidRPr="00A21238" w:rsidRDefault="00D1268D" w:rsidP="00EB03FC">
            <w:pPr>
              <w:jc w:val="center"/>
              <w:rPr>
                <w:rFonts w:asciiTheme="minorHAnsi" w:hAnsiTheme="minorHAnsi" w:cs="Arial"/>
                <w:b/>
                <w:sz w:val="20"/>
                <w:szCs w:val="20"/>
              </w:rPr>
            </w:pPr>
            <w:r w:rsidRPr="00A21238">
              <w:rPr>
                <w:rFonts w:asciiTheme="minorHAnsi" w:hAnsiTheme="minorHAnsi" w:cs="Arial"/>
                <w:b/>
                <w:sz w:val="20"/>
                <w:szCs w:val="20"/>
              </w:rPr>
              <w:t>RR[95% CI[ or WMD [95% CI]</w:t>
            </w:r>
          </w:p>
        </w:tc>
        <w:tc>
          <w:tcPr>
            <w:tcW w:w="606" w:type="pct"/>
            <w:vMerge w:val="restart"/>
            <w:vAlign w:val="bottom"/>
          </w:tcPr>
          <w:p w:rsidR="00D1268D" w:rsidRPr="00A21238" w:rsidRDefault="00147832" w:rsidP="00EB03FC">
            <w:pPr>
              <w:jc w:val="center"/>
              <w:rPr>
                <w:rFonts w:asciiTheme="minorHAnsi" w:hAnsiTheme="minorHAnsi" w:cs="Arial"/>
                <w:b/>
                <w:sz w:val="20"/>
                <w:szCs w:val="20"/>
              </w:rPr>
            </w:pPr>
            <w:r w:rsidRPr="00A21238">
              <w:rPr>
                <w:rFonts w:asciiTheme="minorHAnsi" w:hAnsiTheme="minorHAnsi" w:cs="Arial"/>
                <w:b/>
                <w:i/>
                <w:sz w:val="20"/>
                <w:szCs w:val="20"/>
              </w:rPr>
              <w:t>P</w:t>
            </w:r>
            <w:r w:rsidR="00D1268D" w:rsidRPr="00A21238">
              <w:rPr>
                <w:rFonts w:asciiTheme="minorHAnsi" w:hAnsiTheme="minorHAnsi" w:cs="Arial"/>
                <w:b/>
                <w:sz w:val="20"/>
                <w:szCs w:val="20"/>
              </w:rPr>
              <w:t xml:space="preserve"> value</w:t>
            </w:r>
          </w:p>
        </w:tc>
      </w:tr>
      <w:tr w:rsidR="00D1268D" w:rsidRPr="00A21238" w:rsidTr="005E32CB">
        <w:trPr>
          <w:trHeight w:val="530"/>
        </w:trPr>
        <w:tc>
          <w:tcPr>
            <w:tcW w:w="1304" w:type="pct"/>
            <w:vMerge/>
          </w:tcPr>
          <w:p w:rsidR="00D1268D" w:rsidRPr="00A21238" w:rsidRDefault="00D1268D" w:rsidP="000D0344">
            <w:pPr>
              <w:jc w:val="center"/>
              <w:rPr>
                <w:rFonts w:asciiTheme="minorHAnsi" w:hAnsiTheme="minorHAnsi" w:cs="Arial"/>
                <w:b/>
                <w:sz w:val="20"/>
                <w:szCs w:val="20"/>
              </w:rPr>
            </w:pPr>
          </w:p>
        </w:tc>
        <w:tc>
          <w:tcPr>
            <w:tcW w:w="693" w:type="pct"/>
          </w:tcPr>
          <w:p w:rsidR="00D1268D" w:rsidRPr="00B8122E" w:rsidRDefault="00D1268D" w:rsidP="000D0344">
            <w:pPr>
              <w:jc w:val="center"/>
              <w:rPr>
                <w:rFonts w:asciiTheme="minorHAnsi" w:hAnsiTheme="minorHAnsi" w:cs="Arial"/>
                <w:b/>
                <w:sz w:val="20"/>
                <w:szCs w:val="20"/>
              </w:rPr>
            </w:pPr>
            <w:r w:rsidRPr="00B8122E">
              <w:rPr>
                <w:rFonts w:asciiTheme="minorHAnsi" w:hAnsiTheme="minorHAnsi" w:cs="Arial"/>
                <w:b/>
                <w:sz w:val="20"/>
                <w:szCs w:val="20"/>
              </w:rPr>
              <w:t xml:space="preserve">EGFR </w:t>
            </w:r>
          </w:p>
          <w:p w:rsidR="00D1268D" w:rsidRPr="00A21238" w:rsidRDefault="00D1268D" w:rsidP="000D0344">
            <w:pPr>
              <w:jc w:val="center"/>
              <w:rPr>
                <w:rFonts w:asciiTheme="minorHAnsi" w:hAnsiTheme="minorHAnsi" w:cs="Arial"/>
                <w:b/>
                <w:sz w:val="20"/>
                <w:szCs w:val="20"/>
              </w:rPr>
            </w:pPr>
            <w:r w:rsidRPr="00A21238">
              <w:rPr>
                <w:rFonts w:asciiTheme="minorHAnsi" w:hAnsiTheme="minorHAnsi" w:cs="Arial"/>
                <w:b/>
                <w:sz w:val="20"/>
                <w:szCs w:val="20"/>
              </w:rPr>
              <w:t>Expression</w:t>
            </w:r>
          </w:p>
        </w:tc>
        <w:tc>
          <w:tcPr>
            <w:tcW w:w="791" w:type="pct"/>
            <w:vAlign w:val="bottom"/>
          </w:tcPr>
          <w:p w:rsidR="00D1268D" w:rsidRPr="00A21238" w:rsidRDefault="00D1268D" w:rsidP="00EB03FC">
            <w:pPr>
              <w:jc w:val="center"/>
              <w:rPr>
                <w:rFonts w:asciiTheme="minorHAnsi" w:hAnsiTheme="minorHAnsi" w:cs="Arial"/>
                <w:b/>
                <w:sz w:val="20"/>
                <w:szCs w:val="20"/>
              </w:rPr>
            </w:pPr>
            <w:r w:rsidRPr="00A21238">
              <w:rPr>
                <w:rFonts w:asciiTheme="minorHAnsi" w:hAnsiTheme="minorHAnsi" w:cs="Arial"/>
                <w:b/>
                <w:sz w:val="20"/>
                <w:szCs w:val="20"/>
              </w:rPr>
              <w:t>No Expression</w:t>
            </w:r>
          </w:p>
        </w:tc>
        <w:tc>
          <w:tcPr>
            <w:tcW w:w="644" w:type="pct"/>
            <w:vMerge/>
            <w:vAlign w:val="bottom"/>
          </w:tcPr>
          <w:p w:rsidR="00D1268D" w:rsidRPr="00A21238" w:rsidRDefault="00D1268D" w:rsidP="00EB03FC">
            <w:pPr>
              <w:jc w:val="center"/>
              <w:rPr>
                <w:rFonts w:asciiTheme="minorHAnsi" w:hAnsiTheme="minorHAnsi" w:cs="Arial"/>
                <w:b/>
                <w:sz w:val="20"/>
                <w:szCs w:val="20"/>
              </w:rPr>
            </w:pPr>
          </w:p>
        </w:tc>
        <w:tc>
          <w:tcPr>
            <w:tcW w:w="963" w:type="pct"/>
            <w:gridSpan w:val="2"/>
            <w:vMerge/>
            <w:vAlign w:val="bottom"/>
          </w:tcPr>
          <w:p w:rsidR="00D1268D" w:rsidRPr="00A21238" w:rsidRDefault="00D1268D" w:rsidP="00EB03FC">
            <w:pPr>
              <w:jc w:val="center"/>
              <w:rPr>
                <w:rFonts w:asciiTheme="minorHAnsi" w:hAnsiTheme="minorHAnsi" w:cs="Arial"/>
                <w:b/>
                <w:sz w:val="20"/>
                <w:szCs w:val="20"/>
              </w:rPr>
            </w:pPr>
          </w:p>
        </w:tc>
        <w:tc>
          <w:tcPr>
            <w:tcW w:w="606" w:type="pct"/>
            <w:vMerge/>
            <w:vAlign w:val="bottom"/>
          </w:tcPr>
          <w:p w:rsidR="00D1268D" w:rsidRPr="00A21238" w:rsidRDefault="00D1268D" w:rsidP="00EB03FC">
            <w:pPr>
              <w:jc w:val="center"/>
              <w:rPr>
                <w:rFonts w:asciiTheme="minorHAnsi" w:hAnsiTheme="minorHAnsi" w:cs="Arial"/>
                <w:b/>
                <w:sz w:val="20"/>
                <w:szCs w:val="20"/>
              </w:rPr>
            </w:pPr>
          </w:p>
        </w:tc>
      </w:tr>
      <w:tr w:rsidR="00D1268D" w:rsidRPr="00A21238" w:rsidTr="005E32CB">
        <w:trPr>
          <w:trHeight w:val="341"/>
        </w:trPr>
        <w:tc>
          <w:tcPr>
            <w:tcW w:w="1304" w:type="pct"/>
          </w:tcPr>
          <w:p w:rsidR="00D1268D" w:rsidRPr="00A21238" w:rsidRDefault="00D1268D" w:rsidP="0002496E">
            <w:pPr>
              <w:rPr>
                <w:rFonts w:asciiTheme="minorHAnsi" w:hAnsiTheme="minorHAnsi" w:cs="Arial"/>
                <w:sz w:val="20"/>
                <w:szCs w:val="20"/>
              </w:rPr>
            </w:pPr>
            <w:r w:rsidRPr="00A21238">
              <w:rPr>
                <w:rFonts w:asciiTheme="minorHAnsi" w:hAnsiTheme="minorHAnsi" w:cs="Arial"/>
                <w:sz w:val="20"/>
                <w:szCs w:val="20"/>
              </w:rPr>
              <w:t>Response rate (%)</w:t>
            </w:r>
            <w:r w:rsidR="0002496E" w:rsidRPr="0002496E">
              <w:rPr>
                <w:rFonts w:asciiTheme="minorHAnsi" w:hAnsiTheme="minorHAnsi" w:cs="Arial"/>
                <w:noProof/>
                <w:sz w:val="20"/>
                <w:szCs w:val="20"/>
                <w:vertAlign w:val="superscript"/>
              </w:rPr>
              <w:t>54, 69, 71, 75, 83, 86, 117, 118</w:t>
            </w:r>
          </w:p>
        </w:tc>
        <w:tc>
          <w:tcPr>
            <w:tcW w:w="693" w:type="pct"/>
            <w:vAlign w:val="bottom"/>
          </w:tcPr>
          <w:p w:rsidR="00D1268D" w:rsidRPr="00A21238" w:rsidRDefault="00A70801" w:rsidP="00EB03FC">
            <w:pPr>
              <w:jc w:val="center"/>
              <w:rPr>
                <w:rFonts w:asciiTheme="minorHAnsi" w:hAnsiTheme="minorHAnsi" w:cs="Arial"/>
                <w:sz w:val="20"/>
                <w:szCs w:val="20"/>
              </w:rPr>
            </w:pPr>
            <w:r>
              <w:rPr>
                <w:rFonts w:asciiTheme="minorHAnsi" w:hAnsiTheme="minorHAnsi" w:cs="Arial"/>
                <w:sz w:val="20"/>
                <w:szCs w:val="20"/>
              </w:rPr>
              <w:t>21</w:t>
            </w:r>
            <w:r w:rsidR="00D1268D" w:rsidRPr="00A21238">
              <w:rPr>
                <w:rFonts w:asciiTheme="minorHAnsi" w:hAnsiTheme="minorHAnsi" w:cs="Arial"/>
                <w:sz w:val="20"/>
                <w:szCs w:val="20"/>
              </w:rPr>
              <w:t>%</w:t>
            </w:r>
          </w:p>
        </w:tc>
        <w:tc>
          <w:tcPr>
            <w:tcW w:w="791" w:type="pct"/>
            <w:vAlign w:val="bottom"/>
          </w:tcPr>
          <w:p w:rsidR="00D1268D" w:rsidRPr="00A21238" w:rsidRDefault="00D1268D" w:rsidP="00EB03FC">
            <w:pPr>
              <w:jc w:val="center"/>
              <w:rPr>
                <w:rFonts w:asciiTheme="minorHAnsi" w:hAnsiTheme="minorHAnsi" w:cs="Arial"/>
                <w:sz w:val="20"/>
                <w:szCs w:val="20"/>
              </w:rPr>
            </w:pPr>
            <w:r w:rsidRPr="00A21238">
              <w:rPr>
                <w:rFonts w:asciiTheme="minorHAnsi" w:hAnsiTheme="minorHAnsi" w:cs="Arial"/>
                <w:sz w:val="20"/>
                <w:szCs w:val="20"/>
              </w:rPr>
              <w:t>16%</w:t>
            </w:r>
          </w:p>
        </w:tc>
        <w:tc>
          <w:tcPr>
            <w:tcW w:w="644" w:type="pct"/>
            <w:vAlign w:val="bottom"/>
          </w:tcPr>
          <w:p w:rsidR="00D1268D" w:rsidRPr="00A21238" w:rsidRDefault="00A70801" w:rsidP="00EB03FC">
            <w:pPr>
              <w:jc w:val="center"/>
              <w:rPr>
                <w:rFonts w:asciiTheme="minorHAnsi" w:hAnsiTheme="minorHAnsi" w:cs="Arial"/>
                <w:sz w:val="20"/>
                <w:szCs w:val="20"/>
              </w:rPr>
            </w:pPr>
            <w:r>
              <w:rPr>
                <w:rFonts w:asciiTheme="minorHAnsi" w:hAnsiTheme="minorHAnsi" w:cs="Arial"/>
                <w:sz w:val="20"/>
                <w:szCs w:val="20"/>
              </w:rPr>
              <w:t>8(653)</w:t>
            </w:r>
          </w:p>
        </w:tc>
        <w:tc>
          <w:tcPr>
            <w:tcW w:w="963" w:type="pct"/>
            <w:gridSpan w:val="2"/>
            <w:vAlign w:val="bottom"/>
          </w:tcPr>
          <w:p w:rsidR="00D1268D" w:rsidRPr="00A21238" w:rsidRDefault="00A70801" w:rsidP="00EB03FC">
            <w:pPr>
              <w:jc w:val="center"/>
              <w:rPr>
                <w:rFonts w:asciiTheme="minorHAnsi" w:hAnsiTheme="minorHAnsi" w:cs="Arial"/>
                <w:sz w:val="20"/>
                <w:szCs w:val="20"/>
              </w:rPr>
            </w:pPr>
            <w:r>
              <w:rPr>
                <w:rFonts w:asciiTheme="minorHAnsi" w:hAnsiTheme="minorHAnsi" w:cs="Arial"/>
                <w:sz w:val="20"/>
                <w:szCs w:val="20"/>
              </w:rPr>
              <w:t>1.29 [0.75, 2.21]</w:t>
            </w:r>
          </w:p>
        </w:tc>
        <w:tc>
          <w:tcPr>
            <w:tcW w:w="606" w:type="pct"/>
            <w:vAlign w:val="bottom"/>
          </w:tcPr>
          <w:p w:rsidR="00D1268D" w:rsidRPr="00A21238" w:rsidRDefault="00147832" w:rsidP="00EB03FC">
            <w:pPr>
              <w:jc w:val="center"/>
              <w:rPr>
                <w:rFonts w:asciiTheme="minorHAnsi" w:hAnsiTheme="minorHAnsi" w:cs="Arial"/>
                <w:sz w:val="20"/>
                <w:szCs w:val="20"/>
              </w:rPr>
            </w:pPr>
            <w:r w:rsidRPr="00A21238">
              <w:rPr>
                <w:rFonts w:asciiTheme="minorHAnsi" w:hAnsiTheme="minorHAnsi" w:cs="Arial"/>
                <w:i/>
                <w:sz w:val="20"/>
                <w:szCs w:val="20"/>
              </w:rPr>
              <w:t>P</w:t>
            </w:r>
            <w:r w:rsidR="00D1268D" w:rsidRPr="00A21238">
              <w:rPr>
                <w:rFonts w:asciiTheme="minorHAnsi" w:hAnsiTheme="minorHAnsi" w:cs="Arial"/>
                <w:sz w:val="20"/>
                <w:szCs w:val="20"/>
              </w:rPr>
              <w:t>=.</w:t>
            </w:r>
            <w:r w:rsidR="00A70801">
              <w:rPr>
                <w:rFonts w:asciiTheme="minorHAnsi" w:hAnsiTheme="minorHAnsi" w:cs="Arial"/>
                <w:sz w:val="20"/>
                <w:szCs w:val="20"/>
              </w:rPr>
              <w:t>35</w:t>
            </w:r>
            <w:r w:rsidR="00D1268D" w:rsidRPr="00A21238">
              <w:rPr>
                <w:rFonts w:asciiTheme="minorHAnsi" w:hAnsiTheme="minorHAnsi" w:cs="Arial"/>
                <w:sz w:val="20"/>
                <w:szCs w:val="20"/>
              </w:rPr>
              <w:t xml:space="preserve"> (ns)</w:t>
            </w:r>
          </w:p>
        </w:tc>
      </w:tr>
      <w:tr w:rsidR="00D1268D" w:rsidRPr="00A21238" w:rsidTr="005E32CB">
        <w:trPr>
          <w:trHeight w:val="341"/>
        </w:trPr>
        <w:tc>
          <w:tcPr>
            <w:tcW w:w="1304" w:type="pct"/>
            <w:tcBorders>
              <w:bottom w:val="single" w:sz="4" w:space="0" w:color="auto"/>
            </w:tcBorders>
          </w:tcPr>
          <w:p w:rsidR="00D1268D" w:rsidRPr="00A21238" w:rsidRDefault="00D1268D" w:rsidP="0002496E">
            <w:pPr>
              <w:rPr>
                <w:rFonts w:asciiTheme="minorHAnsi" w:hAnsiTheme="minorHAnsi" w:cs="Arial"/>
                <w:sz w:val="20"/>
                <w:szCs w:val="20"/>
              </w:rPr>
            </w:pPr>
            <w:r w:rsidRPr="00A21238">
              <w:rPr>
                <w:rFonts w:asciiTheme="minorHAnsi" w:hAnsiTheme="minorHAnsi" w:cs="Arial"/>
                <w:sz w:val="20"/>
                <w:szCs w:val="20"/>
              </w:rPr>
              <w:t>Disease control rate (%)</w:t>
            </w:r>
            <w:r w:rsidR="0002496E" w:rsidRPr="0002496E">
              <w:rPr>
                <w:rFonts w:asciiTheme="minorHAnsi" w:hAnsiTheme="minorHAnsi" w:cs="Arial"/>
                <w:noProof/>
                <w:sz w:val="20"/>
                <w:szCs w:val="20"/>
                <w:vertAlign w:val="superscript"/>
              </w:rPr>
              <w:t>54, 69, 89, 118</w:t>
            </w:r>
          </w:p>
        </w:tc>
        <w:tc>
          <w:tcPr>
            <w:tcW w:w="693" w:type="pct"/>
            <w:tcBorders>
              <w:bottom w:val="single" w:sz="4" w:space="0" w:color="auto"/>
            </w:tcBorders>
            <w:vAlign w:val="bottom"/>
          </w:tcPr>
          <w:p w:rsidR="00D1268D" w:rsidRPr="00A21238" w:rsidRDefault="00A70801" w:rsidP="00EB03FC">
            <w:pPr>
              <w:jc w:val="center"/>
              <w:rPr>
                <w:rFonts w:asciiTheme="minorHAnsi" w:hAnsiTheme="minorHAnsi" w:cs="Arial"/>
                <w:sz w:val="20"/>
                <w:szCs w:val="20"/>
              </w:rPr>
            </w:pPr>
            <w:r>
              <w:rPr>
                <w:rFonts w:asciiTheme="minorHAnsi" w:hAnsiTheme="minorHAnsi" w:cs="Arial"/>
                <w:sz w:val="20"/>
                <w:szCs w:val="20"/>
              </w:rPr>
              <w:t>55</w:t>
            </w:r>
            <w:r w:rsidR="00D1268D" w:rsidRPr="00A21238">
              <w:rPr>
                <w:rFonts w:asciiTheme="minorHAnsi" w:hAnsiTheme="minorHAnsi" w:cs="Arial"/>
                <w:sz w:val="20"/>
                <w:szCs w:val="20"/>
              </w:rPr>
              <w:t>%</w:t>
            </w:r>
          </w:p>
        </w:tc>
        <w:tc>
          <w:tcPr>
            <w:tcW w:w="791" w:type="pct"/>
            <w:tcBorders>
              <w:bottom w:val="single" w:sz="4" w:space="0" w:color="auto"/>
            </w:tcBorders>
            <w:vAlign w:val="bottom"/>
          </w:tcPr>
          <w:p w:rsidR="00D1268D" w:rsidRPr="00A21238" w:rsidRDefault="00D1268D" w:rsidP="00EB03FC">
            <w:pPr>
              <w:jc w:val="center"/>
              <w:rPr>
                <w:rFonts w:asciiTheme="minorHAnsi" w:hAnsiTheme="minorHAnsi" w:cs="Arial"/>
                <w:sz w:val="20"/>
                <w:szCs w:val="20"/>
              </w:rPr>
            </w:pPr>
            <w:r w:rsidRPr="00A21238">
              <w:rPr>
                <w:rFonts w:asciiTheme="minorHAnsi" w:hAnsiTheme="minorHAnsi" w:cs="Arial"/>
                <w:sz w:val="20"/>
                <w:szCs w:val="20"/>
              </w:rPr>
              <w:t>34%</w:t>
            </w:r>
          </w:p>
        </w:tc>
        <w:tc>
          <w:tcPr>
            <w:tcW w:w="644" w:type="pct"/>
            <w:tcBorders>
              <w:bottom w:val="single" w:sz="4" w:space="0" w:color="auto"/>
            </w:tcBorders>
            <w:vAlign w:val="bottom"/>
          </w:tcPr>
          <w:p w:rsidR="00D1268D" w:rsidRPr="00A21238" w:rsidRDefault="00A70801" w:rsidP="00EB03FC">
            <w:pPr>
              <w:jc w:val="center"/>
              <w:rPr>
                <w:rFonts w:asciiTheme="minorHAnsi" w:hAnsiTheme="minorHAnsi" w:cs="Arial"/>
                <w:sz w:val="20"/>
                <w:szCs w:val="20"/>
              </w:rPr>
            </w:pPr>
            <w:r>
              <w:rPr>
                <w:rFonts w:asciiTheme="minorHAnsi" w:hAnsiTheme="minorHAnsi" w:cs="Arial"/>
                <w:sz w:val="20"/>
                <w:szCs w:val="20"/>
              </w:rPr>
              <w:t>4(341)</w:t>
            </w:r>
          </w:p>
        </w:tc>
        <w:tc>
          <w:tcPr>
            <w:tcW w:w="963" w:type="pct"/>
            <w:gridSpan w:val="2"/>
            <w:tcBorders>
              <w:bottom w:val="single" w:sz="4" w:space="0" w:color="auto"/>
            </w:tcBorders>
            <w:vAlign w:val="bottom"/>
          </w:tcPr>
          <w:p w:rsidR="00D1268D" w:rsidRPr="00A21238" w:rsidRDefault="00A70801" w:rsidP="00A70801">
            <w:pPr>
              <w:jc w:val="center"/>
              <w:rPr>
                <w:rFonts w:asciiTheme="minorHAnsi" w:hAnsiTheme="minorHAnsi" w:cs="Arial"/>
                <w:sz w:val="20"/>
                <w:szCs w:val="20"/>
              </w:rPr>
            </w:pPr>
            <w:r>
              <w:rPr>
                <w:rFonts w:asciiTheme="minorHAnsi" w:hAnsiTheme="minorHAnsi" w:cs="Arial"/>
                <w:sz w:val="20"/>
                <w:szCs w:val="20"/>
              </w:rPr>
              <w:t>1.57 [1.18, 2.09]</w:t>
            </w:r>
          </w:p>
        </w:tc>
        <w:tc>
          <w:tcPr>
            <w:tcW w:w="606" w:type="pct"/>
            <w:tcBorders>
              <w:bottom w:val="single" w:sz="4" w:space="0" w:color="auto"/>
            </w:tcBorders>
            <w:vAlign w:val="bottom"/>
          </w:tcPr>
          <w:p w:rsidR="00D1268D" w:rsidRPr="00A21238" w:rsidRDefault="00147832" w:rsidP="00EB03FC">
            <w:pPr>
              <w:jc w:val="center"/>
              <w:rPr>
                <w:rFonts w:asciiTheme="minorHAnsi" w:hAnsiTheme="minorHAnsi" w:cs="Arial"/>
                <w:sz w:val="20"/>
                <w:szCs w:val="20"/>
              </w:rPr>
            </w:pPr>
            <w:r w:rsidRPr="00A21238">
              <w:rPr>
                <w:rFonts w:asciiTheme="minorHAnsi" w:hAnsiTheme="minorHAnsi" w:cs="Arial"/>
                <w:i/>
                <w:sz w:val="20"/>
                <w:szCs w:val="20"/>
              </w:rPr>
              <w:t>P</w:t>
            </w:r>
            <w:r w:rsidR="00D1268D" w:rsidRPr="00A21238">
              <w:rPr>
                <w:rFonts w:asciiTheme="minorHAnsi" w:hAnsiTheme="minorHAnsi" w:cs="Arial"/>
                <w:sz w:val="20"/>
                <w:szCs w:val="20"/>
              </w:rPr>
              <w:t>=</w:t>
            </w:r>
            <w:r w:rsidR="00A70801">
              <w:rPr>
                <w:rFonts w:asciiTheme="minorHAnsi" w:hAnsiTheme="minorHAnsi" w:cs="Arial"/>
                <w:sz w:val="20"/>
                <w:szCs w:val="20"/>
              </w:rPr>
              <w:t>.002</w:t>
            </w:r>
          </w:p>
        </w:tc>
      </w:tr>
      <w:tr w:rsidR="00D1268D" w:rsidRPr="00A21238" w:rsidTr="005E32CB">
        <w:trPr>
          <w:trHeight w:val="341"/>
        </w:trPr>
        <w:tc>
          <w:tcPr>
            <w:tcW w:w="1304" w:type="pct"/>
            <w:tcBorders>
              <w:bottom w:val="single" w:sz="4" w:space="0" w:color="auto"/>
            </w:tcBorders>
          </w:tcPr>
          <w:p w:rsidR="00D1268D" w:rsidRPr="00A21238" w:rsidRDefault="009223C6" w:rsidP="0002496E">
            <w:pPr>
              <w:rPr>
                <w:rFonts w:asciiTheme="minorHAnsi" w:hAnsiTheme="minorHAnsi"/>
                <w:sz w:val="20"/>
                <w:szCs w:val="20"/>
              </w:rPr>
            </w:pPr>
            <w:r w:rsidRPr="00A21238">
              <w:rPr>
                <w:rFonts w:asciiTheme="minorHAnsi" w:hAnsiTheme="minorHAnsi"/>
                <w:sz w:val="20"/>
                <w:szCs w:val="20"/>
              </w:rPr>
              <w:t xml:space="preserve">Overall </w:t>
            </w:r>
            <w:r w:rsidR="00D1268D" w:rsidRPr="00A21238">
              <w:rPr>
                <w:rFonts w:asciiTheme="minorHAnsi" w:hAnsiTheme="minorHAnsi"/>
                <w:sz w:val="20"/>
                <w:szCs w:val="20"/>
              </w:rPr>
              <w:t>Survival (%) at 1 year</w:t>
            </w:r>
            <w:r w:rsidR="0002496E" w:rsidRPr="0002496E">
              <w:rPr>
                <w:rFonts w:asciiTheme="minorHAnsi" w:hAnsiTheme="minorHAnsi"/>
                <w:noProof/>
                <w:sz w:val="20"/>
                <w:szCs w:val="20"/>
                <w:vertAlign w:val="superscript"/>
              </w:rPr>
              <w:t>54</w:t>
            </w:r>
          </w:p>
        </w:tc>
        <w:tc>
          <w:tcPr>
            <w:tcW w:w="693" w:type="pct"/>
            <w:tcBorders>
              <w:bottom w:val="single" w:sz="4" w:space="0" w:color="auto"/>
            </w:tcBorders>
            <w:vAlign w:val="bottom"/>
          </w:tcPr>
          <w:p w:rsidR="00D1268D" w:rsidRPr="00A21238" w:rsidRDefault="00D1268D" w:rsidP="00EB03FC">
            <w:pPr>
              <w:jc w:val="center"/>
              <w:rPr>
                <w:rFonts w:asciiTheme="minorHAnsi" w:hAnsiTheme="minorHAnsi" w:cs="Arial"/>
                <w:sz w:val="20"/>
                <w:szCs w:val="20"/>
              </w:rPr>
            </w:pPr>
            <w:r w:rsidRPr="00A21238">
              <w:rPr>
                <w:rFonts w:asciiTheme="minorHAnsi" w:hAnsiTheme="minorHAnsi" w:cs="Arial"/>
                <w:sz w:val="20"/>
                <w:szCs w:val="20"/>
              </w:rPr>
              <w:t>56%</w:t>
            </w:r>
          </w:p>
        </w:tc>
        <w:tc>
          <w:tcPr>
            <w:tcW w:w="791" w:type="pct"/>
            <w:tcBorders>
              <w:bottom w:val="single" w:sz="4" w:space="0" w:color="auto"/>
            </w:tcBorders>
            <w:vAlign w:val="bottom"/>
          </w:tcPr>
          <w:p w:rsidR="00D1268D" w:rsidRPr="00A21238" w:rsidRDefault="00D1268D" w:rsidP="00EB03FC">
            <w:pPr>
              <w:jc w:val="center"/>
              <w:rPr>
                <w:rFonts w:asciiTheme="minorHAnsi" w:hAnsiTheme="minorHAnsi" w:cs="Arial"/>
                <w:sz w:val="20"/>
                <w:szCs w:val="20"/>
              </w:rPr>
            </w:pPr>
            <w:r w:rsidRPr="00A21238">
              <w:rPr>
                <w:rFonts w:asciiTheme="minorHAnsi" w:hAnsiTheme="minorHAnsi" w:cs="Arial"/>
                <w:sz w:val="20"/>
                <w:szCs w:val="20"/>
              </w:rPr>
              <w:t>38%</w:t>
            </w:r>
          </w:p>
        </w:tc>
        <w:tc>
          <w:tcPr>
            <w:tcW w:w="644" w:type="pct"/>
            <w:tcBorders>
              <w:bottom w:val="single" w:sz="4" w:space="0" w:color="auto"/>
            </w:tcBorders>
            <w:vAlign w:val="bottom"/>
          </w:tcPr>
          <w:p w:rsidR="00D1268D" w:rsidRPr="00A21238" w:rsidRDefault="00D1268D" w:rsidP="00EB03FC">
            <w:pPr>
              <w:jc w:val="center"/>
              <w:rPr>
                <w:rFonts w:asciiTheme="minorHAnsi" w:hAnsiTheme="minorHAnsi" w:cs="Arial"/>
                <w:sz w:val="20"/>
                <w:szCs w:val="20"/>
              </w:rPr>
            </w:pPr>
            <w:r w:rsidRPr="00A21238">
              <w:rPr>
                <w:rFonts w:asciiTheme="minorHAnsi" w:hAnsiTheme="minorHAnsi" w:cs="Arial"/>
                <w:sz w:val="20"/>
                <w:szCs w:val="20"/>
              </w:rPr>
              <w:t>1(200)</w:t>
            </w:r>
          </w:p>
        </w:tc>
        <w:tc>
          <w:tcPr>
            <w:tcW w:w="963" w:type="pct"/>
            <w:gridSpan w:val="2"/>
            <w:tcBorders>
              <w:bottom w:val="single" w:sz="4" w:space="0" w:color="auto"/>
            </w:tcBorders>
            <w:vAlign w:val="bottom"/>
          </w:tcPr>
          <w:p w:rsidR="00D1268D" w:rsidRPr="00A21238" w:rsidRDefault="00D1268D" w:rsidP="00EB03FC">
            <w:pPr>
              <w:jc w:val="center"/>
              <w:rPr>
                <w:rFonts w:asciiTheme="minorHAnsi" w:hAnsiTheme="minorHAnsi" w:cs="Arial"/>
                <w:sz w:val="20"/>
                <w:szCs w:val="20"/>
              </w:rPr>
            </w:pPr>
            <w:r w:rsidRPr="00A21238">
              <w:rPr>
                <w:rFonts w:asciiTheme="minorHAnsi" w:hAnsiTheme="minorHAnsi" w:cs="Arial"/>
                <w:sz w:val="20"/>
                <w:szCs w:val="20"/>
              </w:rPr>
              <w:t>0.71</w:t>
            </w:r>
            <w:r w:rsidR="005E32CB">
              <w:rPr>
                <w:rFonts w:asciiTheme="minorHAnsi" w:hAnsiTheme="minorHAnsi" w:cs="Arial"/>
                <w:sz w:val="20"/>
                <w:szCs w:val="20"/>
              </w:rPr>
              <w:t xml:space="preserve"> </w:t>
            </w:r>
            <w:r w:rsidRPr="00A21238">
              <w:rPr>
                <w:rFonts w:asciiTheme="minorHAnsi" w:hAnsiTheme="minorHAnsi" w:cs="Arial"/>
                <w:sz w:val="20"/>
                <w:szCs w:val="20"/>
              </w:rPr>
              <w:t>[0.54, 0.92]</w:t>
            </w:r>
          </w:p>
        </w:tc>
        <w:tc>
          <w:tcPr>
            <w:tcW w:w="606" w:type="pct"/>
            <w:tcBorders>
              <w:bottom w:val="single" w:sz="4" w:space="0" w:color="auto"/>
            </w:tcBorders>
            <w:vAlign w:val="bottom"/>
          </w:tcPr>
          <w:p w:rsidR="00D1268D" w:rsidRPr="00A21238" w:rsidRDefault="00147832" w:rsidP="00EB03FC">
            <w:pPr>
              <w:jc w:val="center"/>
              <w:rPr>
                <w:rFonts w:asciiTheme="minorHAnsi" w:hAnsiTheme="minorHAnsi" w:cs="Arial"/>
                <w:b/>
                <w:sz w:val="20"/>
                <w:szCs w:val="20"/>
              </w:rPr>
            </w:pPr>
            <w:r w:rsidRPr="00A21238">
              <w:rPr>
                <w:rFonts w:asciiTheme="minorHAnsi" w:hAnsiTheme="minorHAnsi" w:cs="Arial"/>
                <w:b/>
                <w:i/>
                <w:sz w:val="20"/>
                <w:szCs w:val="20"/>
              </w:rPr>
              <w:t>P</w:t>
            </w:r>
            <w:r w:rsidR="00D1268D" w:rsidRPr="00A21238">
              <w:rPr>
                <w:rFonts w:asciiTheme="minorHAnsi" w:hAnsiTheme="minorHAnsi" w:cs="Arial"/>
                <w:b/>
                <w:sz w:val="20"/>
                <w:szCs w:val="20"/>
              </w:rPr>
              <w:t>=.01</w:t>
            </w:r>
          </w:p>
        </w:tc>
      </w:tr>
      <w:tr w:rsidR="00577551" w:rsidRPr="00A21238" w:rsidTr="005E32CB">
        <w:trPr>
          <w:trHeight w:val="341"/>
        </w:trPr>
        <w:tc>
          <w:tcPr>
            <w:tcW w:w="1304" w:type="pct"/>
            <w:tcBorders>
              <w:top w:val="single" w:sz="4" w:space="0" w:color="auto"/>
              <w:left w:val="nil"/>
              <w:bottom w:val="single" w:sz="4" w:space="0" w:color="auto"/>
              <w:right w:val="nil"/>
            </w:tcBorders>
          </w:tcPr>
          <w:p w:rsidR="00577551" w:rsidRPr="00A21238" w:rsidRDefault="00577551" w:rsidP="008E43B7">
            <w:pPr>
              <w:rPr>
                <w:rFonts w:asciiTheme="minorHAnsi" w:hAnsiTheme="minorHAnsi"/>
                <w:sz w:val="20"/>
                <w:szCs w:val="20"/>
              </w:rPr>
            </w:pPr>
          </w:p>
        </w:tc>
        <w:tc>
          <w:tcPr>
            <w:tcW w:w="693" w:type="pct"/>
            <w:tcBorders>
              <w:top w:val="single" w:sz="4" w:space="0" w:color="auto"/>
              <w:left w:val="nil"/>
              <w:bottom w:val="single" w:sz="4" w:space="0" w:color="auto"/>
              <w:right w:val="nil"/>
            </w:tcBorders>
            <w:vAlign w:val="bottom"/>
          </w:tcPr>
          <w:p w:rsidR="00577551" w:rsidRPr="00A21238" w:rsidRDefault="00577551" w:rsidP="00EB03FC">
            <w:pPr>
              <w:jc w:val="center"/>
              <w:rPr>
                <w:rFonts w:asciiTheme="minorHAnsi" w:hAnsiTheme="minorHAnsi" w:cs="Arial"/>
                <w:sz w:val="20"/>
                <w:szCs w:val="20"/>
              </w:rPr>
            </w:pPr>
          </w:p>
        </w:tc>
        <w:tc>
          <w:tcPr>
            <w:tcW w:w="791" w:type="pct"/>
            <w:tcBorders>
              <w:top w:val="single" w:sz="4" w:space="0" w:color="auto"/>
              <w:left w:val="nil"/>
              <w:bottom w:val="single" w:sz="4" w:space="0" w:color="auto"/>
              <w:right w:val="nil"/>
            </w:tcBorders>
            <w:vAlign w:val="bottom"/>
          </w:tcPr>
          <w:p w:rsidR="00577551" w:rsidRPr="00A21238" w:rsidRDefault="00577551" w:rsidP="00EB03FC">
            <w:pPr>
              <w:jc w:val="center"/>
              <w:rPr>
                <w:rFonts w:asciiTheme="minorHAnsi" w:hAnsiTheme="minorHAnsi" w:cs="Arial"/>
                <w:sz w:val="20"/>
                <w:szCs w:val="20"/>
              </w:rPr>
            </w:pPr>
          </w:p>
        </w:tc>
        <w:tc>
          <w:tcPr>
            <w:tcW w:w="644" w:type="pct"/>
            <w:tcBorders>
              <w:top w:val="single" w:sz="4" w:space="0" w:color="auto"/>
              <w:left w:val="nil"/>
              <w:bottom w:val="single" w:sz="4" w:space="0" w:color="auto"/>
              <w:right w:val="nil"/>
            </w:tcBorders>
            <w:vAlign w:val="bottom"/>
          </w:tcPr>
          <w:p w:rsidR="00577551" w:rsidRPr="00A21238" w:rsidRDefault="00577551" w:rsidP="00EB03FC">
            <w:pPr>
              <w:jc w:val="center"/>
              <w:rPr>
                <w:rFonts w:asciiTheme="minorHAnsi" w:hAnsiTheme="minorHAnsi" w:cs="Arial"/>
                <w:sz w:val="20"/>
                <w:szCs w:val="20"/>
              </w:rPr>
            </w:pPr>
          </w:p>
        </w:tc>
        <w:tc>
          <w:tcPr>
            <w:tcW w:w="963" w:type="pct"/>
            <w:gridSpan w:val="2"/>
            <w:tcBorders>
              <w:top w:val="single" w:sz="4" w:space="0" w:color="auto"/>
              <w:left w:val="nil"/>
              <w:bottom w:val="single" w:sz="4" w:space="0" w:color="auto"/>
              <w:right w:val="nil"/>
            </w:tcBorders>
            <w:vAlign w:val="bottom"/>
          </w:tcPr>
          <w:p w:rsidR="00577551" w:rsidRPr="00A21238" w:rsidRDefault="00577551" w:rsidP="00EB03FC">
            <w:pPr>
              <w:jc w:val="center"/>
              <w:rPr>
                <w:rFonts w:asciiTheme="minorHAnsi" w:hAnsiTheme="minorHAnsi" w:cs="Arial"/>
                <w:sz w:val="20"/>
                <w:szCs w:val="20"/>
              </w:rPr>
            </w:pPr>
          </w:p>
        </w:tc>
        <w:tc>
          <w:tcPr>
            <w:tcW w:w="606" w:type="pct"/>
            <w:tcBorders>
              <w:top w:val="single" w:sz="4" w:space="0" w:color="auto"/>
              <w:left w:val="nil"/>
              <w:bottom w:val="single" w:sz="4" w:space="0" w:color="auto"/>
              <w:right w:val="nil"/>
            </w:tcBorders>
            <w:vAlign w:val="bottom"/>
          </w:tcPr>
          <w:p w:rsidR="00577551" w:rsidRPr="00A21238" w:rsidRDefault="00577551" w:rsidP="00EB03FC">
            <w:pPr>
              <w:jc w:val="center"/>
              <w:rPr>
                <w:rFonts w:asciiTheme="minorHAnsi" w:hAnsiTheme="minorHAnsi" w:cs="Arial"/>
                <w:b/>
                <w:i/>
                <w:sz w:val="20"/>
                <w:szCs w:val="20"/>
              </w:rPr>
            </w:pPr>
          </w:p>
        </w:tc>
      </w:tr>
      <w:tr w:rsidR="00D1268D" w:rsidRPr="00A21238" w:rsidTr="005E32CB">
        <w:tc>
          <w:tcPr>
            <w:tcW w:w="1304" w:type="pct"/>
            <w:vMerge w:val="restart"/>
            <w:tcBorders>
              <w:top w:val="single" w:sz="4" w:space="0" w:color="auto"/>
            </w:tcBorders>
            <w:vAlign w:val="bottom"/>
          </w:tcPr>
          <w:p w:rsidR="00D1268D" w:rsidRPr="00A21238" w:rsidRDefault="00D1268D" w:rsidP="00EB03FC">
            <w:pPr>
              <w:rPr>
                <w:rFonts w:asciiTheme="minorHAnsi" w:hAnsiTheme="minorHAnsi" w:cs="Arial"/>
                <w:b/>
                <w:sz w:val="20"/>
                <w:szCs w:val="20"/>
              </w:rPr>
            </w:pPr>
            <w:r w:rsidRPr="00A21238">
              <w:rPr>
                <w:rFonts w:asciiTheme="minorHAnsi" w:hAnsiTheme="minorHAnsi" w:cs="Arial"/>
                <w:b/>
                <w:sz w:val="20"/>
                <w:szCs w:val="20"/>
              </w:rPr>
              <w:t>Outcome</w:t>
            </w:r>
          </w:p>
        </w:tc>
        <w:tc>
          <w:tcPr>
            <w:tcW w:w="1484" w:type="pct"/>
            <w:gridSpan w:val="2"/>
            <w:tcBorders>
              <w:top w:val="single" w:sz="4" w:space="0" w:color="auto"/>
            </w:tcBorders>
            <w:vAlign w:val="bottom"/>
          </w:tcPr>
          <w:p w:rsidR="00D1268D" w:rsidRPr="00A21238" w:rsidRDefault="00D1268D" w:rsidP="00EB03FC">
            <w:pPr>
              <w:jc w:val="center"/>
              <w:rPr>
                <w:rFonts w:asciiTheme="minorHAnsi" w:hAnsiTheme="minorHAnsi" w:cs="Arial"/>
                <w:b/>
                <w:sz w:val="20"/>
                <w:szCs w:val="20"/>
              </w:rPr>
            </w:pPr>
            <w:r w:rsidRPr="00A21238">
              <w:rPr>
                <w:rFonts w:asciiTheme="minorHAnsi" w:hAnsiTheme="minorHAnsi" w:cs="Arial"/>
                <w:b/>
                <w:sz w:val="20"/>
                <w:szCs w:val="20"/>
              </w:rPr>
              <w:t>Mean ± SD</w:t>
            </w:r>
          </w:p>
        </w:tc>
        <w:tc>
          <w:tcPr>
            <w:tcW w:w="644" w:type="pct"/>
            <w:vMerge w:val="restart"/>
            <w:tcBorders>
              <w:top w:val="single" w:sz="4" w:space="0" w:color="auto"/>
            </w:tcBorders>
            <w:vAlign w:val="bottom"/>
          </w:tcPr>
          <w:p w:rsidR="00D1268D" w:rsidRPr="00A21238" w:rsidRDefault="00D1268D" w:rsidP="00EB03FC">
            <w:pPr>
              <w:jc w:val="center"/>
              <w:rPr>
                <w:rFonts w:asciiTheme="minorHAnsi" w:hAnsiTheme="minorHAnsi" w:cs="Arial"/>
                <w:b/>
                <w:sz w:val="20"/>
                <w:szCs w:val="20"/>
              </w:rPr>
            </w:pPr>
            <w:r w:rsidRPr="00A21238">
              <w:rPr>
                <w:rFonts w:asciiTheme="minorHAnsi" w:hAnsiTheme="minorHAnsi" w:cs="Arial"/>
                <w:b/>
                <w:sz w:val="20"/>
                <w:szCs w:val="20"/>
              </w:rPr>
              <w:t>n (N)</w:t>
            </w:r>
          </w:p>
        </w:tc>
        <w:tc>
          <w:tcPr>
            <w:tcW w:w="953" w:type="pct"/>
            <w:vMerge w:val="restart"/>
            <w:tcBorders>
              <w:top w:val="single" w:sz="4" w:space="0" w:color="auto"/>
            </w:tcBorders>
            <w:vAlign w:val="bottom"/>
          </w:tcPr>
          <w:p w:rsidR="00D1268D" w:rsidRPr="00A21238" w:rsidRDefault="001947B1" w:rsidP="00EB03FC">
            <w:pPr>
              <w:jc w:val="center"/>
              <w:rPr>
                <w:rFonts w:asciiTheme="minorHAnsi" w:hAnsiTheme="minorHAnsi" w:cs="Arial"/>
                <w:b/>
                <w:sz w:val="20"/>
                <w:szCs w:val="20"/>
              </w:rPr>
            </w:pPr>
            <w:r w:rsidRPr="00A21238">
              <w:rPr>
                <w:rFonts w:asciiTheme="minorHAnsi" w:hAnsiTheme="minorHAnsi" w:cs="Arial"/>
                <w:b/>
                <w:sz w:val="20"/>
                <w:szCs w:val="20"/>
              </w:rPr>
              <w:t>RR[95% CI[ or WMD [95% CI]</w:t>
            </w:r>
          </w:p>
        </w:tc>
        <w:tc>
          <w:tcPr>
            <w:tcW w:w="616" w:type="pct"/>
            <w:gridSpan w:val="2"/>
            <w:vMerge w:val="restart"/>
            <w:tcBorders>
              <w:top w:val="single" w:sz="4" w:space="0" w:color="auto"/>
            </w:tcBorders>
            <w:vAlign w:val="bottom"/>
          </w:tcPr>
          <w:p w:rsidR="00D1268D" w:rsidRPr="00A21238" w:rsidRDefault="00147832" w:rsidP="00EB03FC">
            <w:pPr>
              <w:jc w:val="center"/>
              <w:rPr>
                <w:rFonts w:asciiTheme="minorHAnsi" w:hAnsiTheme="minorHAnsi" w:cs="Arial"/>
                <w:b/>
                <w:sz w:val="20"/>
                <w:szCs w:val="20"/>
              </w:rPr>
            </w:pPr>
            <w:r w:rsidRPr="00A21238">
              <w:rPr>
                <w:rFonts w:asciiTheme="minorHAnsi" w:hAnsiTheme="minorHAnsi" w:cs="Arial"/>
                <w:b/>
                <w:i/>
                <w:sz w:val="20"/>
                <w:szCs w:val="20"/>
              </w:rPr>
              <w:t>P</w:t>
            </w:r>
            <w:r w:rsidR="00D1268D" w:rsidRPr="00A21238">
              <w:rPr>
                <w:rFonts w:asciiTheme="minorHAnsi" w:hAnsiTheme="minorHAnsi" w:cs="Arial"/>
                <w:b/>
                <w:sz w:val="20"/>
                <w:szCs w:val="20"/>
              </w:rPr>
              <w:t xml:space="preserve"> value</w:t>
            </w:r>
          </w:p>
        </w:tc>
      </w:tr>
      <w:tr w:rsidR="00D1268D" w:rsidRPr="00A21238" w:rsidTr="005E32CB">
        <w:trPr>
          <w:trHeight w:val="394"/>
        </w:trPr>
        <w:tc>
          <w:tcPr>
            <w:tcW w:w="1304" w:type="pct"/>
            <w:vMerge/>
          </w:tcPr>
          <w:p w:rsidR="00D1268D" w:rsidRPr="00A21238" w:rsidRDefault="00D1268D" w:rsidP="00D1268D">
            <w:pPr>
              <w:jc w:val="center"/>
              <w:rPr>
                <w:rFonts w:asciiTheme="minorHAnsi" w:hAnsiTheme="minorHAnsi" w:cs="Arial"/>
                <w:b/>
                <w:sz w:val="20"/>
                <w:szCs w:val="20"/>
              </w:rPr>
            </w:pPr>
          </w:p>
        </w:tc>
        <w:tc>
          <w:tcPr>
            <w:tcW w:w="693" w:type="pct"/>
          </w:tcPr>
          <w:p w:rsidR="00D1268D" w:rsidRPr="00B8122E" w:rsidRDefault="00D1268D" w:rsidP="00D1268D">
            <w:pPr>
              <w:jc w:val="center"/>
              <w:rPr>
                <w:rFonts w:asciiTheme="minorHAnsi" w:hAnsiTheme="minorHAnsi" w:cs="Arial"/>
                <w:b/>
                <w:sz w:val="20"/>
                <w:szCs w:val="20"/>
              </w:rPr>
            </w:pPr>
            <w:r w:rsidRPr="00B8122E">
              <w:rPr>
                <w:rFonts w:asciiTheme="minorHAnsi" w:hAnsiTheme="minorHAnsi" w:cs="Arial"/>
                <w:b/>
                <w:sz w:val="20"/>
                <w:szCs w:val="20"/>
              </w:rPr>
              <w:t xml:space="preserve">EGFR </w:t>
            </w:r>
          </w:p>
          <w:p w:rsidR="00D1268D" w:rsidRPr="00A21238" w:rsidRDefault="00D1268D" w:rsidP="00D1268D">
            <w:pPr>
              <w:jc w:val="center"/>
              <w:rPr>
                <w:rFonts w:asciiTheme="minorHAnsi" w:hAnsiTheme="minorHAnsi" w:cs="Arial"/>
                <w:b/>
                <w:sz w:val="20"/>
                <w:szCs w:val="20"/>
              </w:rPr>
            </w:pPr>
            <w:r w:rsidRPr="00A21238">
              <w:rPr>
                <w:rFonts w:asciiTheme="minorHAnsi" w:hAnsiTheme="minorHAnsi" w:cs="Arial"/>
                <w:b/>
                <w:sz w:val="20"/>
                <w:szCs w:val="20"/>
              </w:rPr>
              <w:t>Expression</w:t>
            </w:r>
          </w:p>
        </w:tc>
        <w:tc>
          <w:tcPr>
            <w:tcW w:w="791" w:type="pct"/>
            <w:vAlign w:val="bottom"/>
          </w:tcPr>
          <w:p w:rsidR="00D1268D" w:rsidRPr="00A21238" w:rsidRDefault="00D1268D" w:rsidP="00EB03FC">
            <w:pPr>
              <w:jc w:val="center"/>
              <w:rPr>
                <w:rFonts w:asciiTheme="minorHAnsi" w:hAnsiTheme="minorHAnsi" w:cs="Arial"/>
                <w:b/>
                <w:sz w:val="20"/>
                <w:szCs w:val="20"/>
              </w:rPr>
            </w:pPr>
            <w:r w:rsidRPr="00A21238">
              <w:rPr>
                <w:rFonts w:asciiTheme="minorHAnsi" w:hAnsiTheme="minorHAnsi" w:cs="Arial"/>
                <w:b/>
                <w:sz w:val="20"/>
                <w:szCs w:val="20"/>
              </w:rPr>
              <w:t>No Expression</w:t>
            </w:r>
          </w:p>
        </w:tc>
        <w:tc>
          <w:tcPr>
            <w:tcW w:w="644" w:type="pct"/>
            <w:vMerge/>
            <w:vAlign w:val="bottom"/>
          </w:tcPr>
          <w:p w:rsidR="00D1268D" w:rsidRPr="00A21238" w:rsidRDefault="00D1268D" w:rsidP="00EB03FC">
            <w:pPr>
              <w:jc w:val="center"/>
              <w:rPr>
                <w:rFonts w:asciiTheme="minorHAnsi" w:hAnsiTheme="minorHAnsi" w:cs="Arial"/>
                <w:b/>
                <w:sz w:val="20"/>
                <w:szCs w:val="20"/>
              </w:rPr>
            </w:pPr>
          </w:p>
        </w:tc>
        <w:tc>
          <w:tcPr>
            <w:tcW w:w="953" w:type="pct"/>
            <w:vMerge/>
            <w:vAlign w:val="bottom"/>
          </w:tcPr>
          <w:p w:rsidR="00D1268D" w:rsidRPr="00A21238" w:rsidRDefault="00D1268D" w:rsidP="00EB03FC">
            <w:pPr>
              <w:jc w:val="center"/>
              <w:rPr>
                <w:rFonts w:asciiTheme="minorHAnsi" w:hAnsiTheme="minorHAnsi" w:cs="Arial"/>
                <w:b/>
                <w:sz w:val="20"/>
                <w:szCs w:val="20"/>
              </w:rPr>
            </w:pPr>
          </w:p>
        </w:tc>
        <w:tc>
          <w:tcPr>
            <w:tcW w:w="616" w:type="pct"/>
            <w:gridSpan w:val="2"/>
            <w:vMerge/>
            <w:vAlign w:val="bottom"/>
          </w:tcPr>
          <w:p w:rsidR="00D1268D" w:rsidRPr="00A21238" w:rsidRDefault="00D1268D" w:rsidP="00EB03FC">
            <w:pPr>
              <w:jc w:val="center"/>
              <w:rPr>
                <w:rFonts w:asciiTheme="minorHAnsi" w:hAnsiTheme="minorHAnsi" w:cs="Arial"/>
                <w:b/>
                <w:sz w:val="20"/>
                <w:szCs w:val="20"/>
              </w:rPr>
            </w:pPr>
          </w:p>
        </w:tc>
      </w:tr>
      <w:tr w:rsidR="00D1268D" w:rsidRPr="00A21238" w:rsidTr="005E32CB">
        <w:trPr>
          <w:trHeight w:val="341"/>
        </w:trPr>
        <w:tc>
          <w:tcPr>
            <w:tcW w:w="1304" w:type="pct"/>
          </w:tcPr>
          <w:p w:rsidR="00D1268D" w:rsidRPr="00A21238" w:rsidRDefault="001947B1" w:rsidP="0002496E">
            <w:pPr>
              <w:rPr>
                <w:rFonts w:asciiTheme="minorHAnsi" w:hAnsiTheme="minorHAnsi" w:cs="Arial"/>
                <w:sz w:val="20"/>
                <w:szCs w:val="20"/>
              </w:rPr>
            </w:pPr>
            <w:r w:rsidRPr="00A21238">
              <w:rPr>
                <w:rFonts w:asciiTheme="minorHAnsi" w:hAnsiTheme="minorHAnsi"/>
                <w:sz w:val="20"/>
                <w:szCs w:val="20"/>
              </w:rPr>
              <w:t>Time to Progression/ Progression Free Survival</w:t>
            </w:r>
            <w:r w:rsidR="00D1268D" w:rsidRPr="00A21238">
              <w:rPr>
                <w:rFonts w:asciiTheme="minorHAnsi" w:hAnsiTheme="minorHAnsi"/>
                <w:sz w:val="20"/>
                <w:szCs w:val="20"/>
              </w:rPr>
              <w:t xml:space="preserve"> (</w:t>
            </w:r>
            <w:r w:rsidRPr="00A21238">
              <w:rPr>
                <w:rFonts w:asciiTheme="minorHAnsi" w:hAnsiTheme="minorHAnsi"/>
                <w:sz w:val="20"/>
                <w:szCs w:val="20"/>
              </w:rPr>
              <w:t>m</w:t>
            </w:r>
            <w:r w:rsidR="00D1268D" w:rsidRPr="00A21238">
              <w:rPr>
                <w:rFonts w:asciiTheme="minorHAnsi" w:hAnsiTheme="minorHAnsi"/>
                <w:sz w:val="20"/>
                <w:szCs w:val="20"/>
              </w:rPr>
              <w:t>onths)</w:t>
            </w:r>
            <w:r w:rsidR="0002496E" w:rsidRPr="0002496E">
              <w:rPr>
                <w:rFonts w:asciiTheme="minorHAnsi" w:hAnsiTheme="minorHAnsi"/>
                <w:noProof/>
                <w:sz w:val="20"/>
                <w:szCs w:val="20"/>
                <w:vertAlign w:val="superscript"/>
              </w:rPr>
              <w:t>54, 69, 75, 83, 91, 117</w:t>
            </w:r>
          </w:p>
        </w:tc>
        <w:tc>
          <w:tcPr>
            <w:tcW w:w="693" w:type="pct"/>
            <w:vAlign w:val="bottom"/>
          </w:tcPr>
          <w:p w:rsidR="00D1268D" w:rsidRPr="00A21238" w:rsidRDefault="00D1268D" w:rsidP="00EB03FC">
            <w:pPr>
              <w:jc w:val="center"/>
              <w:rPr>
                <w:rFonts w:asciiTheme="minorHAnsi" w:hAnsiTheme="minorHAnsi" w:cs="Arial"/>
                <w:sz w:val="20"/>
                <w:szCs w:val="20"/>
              </w:rPr>
            </w:pPr>
            <w:r w:rsidRPr="00A21238">
              <w:rPr>
                <w:rFonts w:asciiTheme="minorHAnsi" w:hAnsiTheme="minorHAnsi" w:cs="Arial"/>
                <w:sz w:val="20"/>
                <w:szCs w:val="20"/>
              </w:rPr>
              <w:t>3. 4</w:t>
            </w:r>
            <w:r w:rsidRPr="00A21238">
              <w:rPr>
                <w:rFonts w:asciiTheme="minorHAnsi" w:hAnsiTheme="minorHAnsi" w:cs="Arial"/>
                <w:sz w:val="20"/>
                <w:szCs w:val="20"/>
                <w:u w:val="single"/>
              </w:rPr>
              <w:t>+</w:t>
            </w:r>
            <w:r w:rsidRPr="00A21238">
              <w:rPr>
                <w:rFonts w:asciiTheme="minorHAnsi" w:hAnsiTheme="minorHAnsi" w:cs="Arial"/>
                <w:sz w:val="20"/>
                <w:szCs w:val="20"/>
              </w:rPr>
              <w:t xml:space="preserve"> 1.2</w:t>
            </w:r>
          </w:p>
        </w:tc>
        <w:tc>
          <w:tcPr>
            <w:tcW w:w="791" w:type="pct"/>
            <w:vAlign w:val="bottom"/>
          </w:tcPr>
          <w:p w:rsidR="00D1268D" w:rsidRPr="00A21238" w:rsidRDefault="00D1268D" w:rsidP="00EB03FC">
            <w:pPr>
              <w:jc w:val="center"/>
              <w:rPr>
                <w:rFonts w:asciiTheme="minorHAnsi" w:hAnsiTheme="minorHAnsi" w:cs="Arial"/>
                <w:sz w:val="20"/>
                <w:szCs w:val="20"/>
              </w:rPr>
            </w:pPr>
            <w:r w:rsidRPr="00A21238">
              <w:rPr>
                <w:rFonts w:asciiTheme="minorHAnsi" w:hAnsiTheme="minorHAnsi" w:cs="Arial"/>
                <w:sz w:val="20"/>
                <w:szCs w:val="20"/>
              </w:rPr>
              <w:t xml:space="preserve">3.2 </w:t>
            </w:r>
            <w:r w:rsidRPr="00A21238">
              <w:rPr>
                <w:rFonts w:asciiTheme="minorHAnsi" w:hAnsiTheme="minorHAnsi" w:cs="Arial"/>
                <w:sz w:val="20"/>
                <w:szCs w:val="20"/>
                <w:u w:val="single"/>
              </w:rPr>
              <w:t>+</w:t>
            </w:r>
            <w:r w:rsidRPr="00A21238">
              <w:rPr>
                <w:rFonts w:asciiTheme="minorHAnsi" w:hAnsiTheme="minorHAnsi" w:cs="Arial"/>
                <w:sz w:val="20"/>
                <w:szCs w:val="20"/>
              </w:rPr>
              <w:t xml:space="preserve"> 0.53</w:t>
            </w:r>
          </w:p>
        </w:tc>
        <w:tc>
          <w:tcPr>
            <w:tcW w:w="644" w:type="pct"/>
            <w:vAlign w:val="bottom"/>
          </w:tcPr>
          <w:p w:rsidR="00D1268D" w:rsidRPr="00A21238" w:rsidRDefault="00D1268D" w:rsidP="00EB03FC">
            <w:pPr>
              <w:jc w:val="center"/>
              <w:rPr>
                <w:rFonts w:asciiTheme="minorHAnsi" w:hAnsiTheme="minorHAnsi" w:cs="Arial"/>
                <w:sz w:val="20"/>
                <w:szCs w:val="20"/>
              </w:rPr>
            </w:pPr>
            <w:r w:rsidRPr="00A21238">
              <w:rPr>
                <w:rFonts w:asciiTheme="minorHAnsi" w:hAnsiTheme="minorHAnsi" w:cs="Arial"/>
                <w:sz w:val="20"/>
                <w:szCs w:val="20"/>
              </w:rPr>
              <w:t>6(898)</w:t>
            </w:r>
          </w:p>
        </w:tc>
        <w:tc>
          <w:tcPr>
            <w:tcW w:w="953" w:type="pct"/>
            <w:vAlign w:val="bottom"/>
          </w:tcPr>
          <w:p w:rsidR="00D1268D" w:rsidRPr="00A21238" w:rsidRDefault="001947B1" w:rsidP="00EB03FC">
            <w:pPr>
              <w:jc w:val="center"/>
              <w:rPr>
                <w:rFonts w:asciiTheme="minorHAnsi" w:hAnsiTheme="minorHAnsi" w:cs="Arial"/>
                <w:sz w:val="20"/>
                <w:szCs w:val="20"/>
              </w:rPr>
            </w:pPr>
            <w:r w:rsidRPr="00A21238">
              <w:rPr>
                <w:rFonts w:asciiTheme="minorHAnsi" w:hAnsiTheme="minorHAnsi" w:cs="Arial"/>
                <w:sz w:val="20"/>
                <w:szCs w:val="20"/>
              </w:rPr>
              <w:t>0.22</w:t>
            </w:r>
            <w:r w:rsidR="005E32CB">
              <w:rPr>
                <w:rFonts w:asciiTheme="minorHAnsi" w:hAnsiTheme="minorHAnsi" w:cs="Arial"/>
                <w:sz w:val="20"/>
                <w:szCs w:val="20"/>
              </w:rPr>
              <w:t xml:space="preserve"> </w:t>
            </w:r>
            <w:r w:rsidRPr="00A21238">
              <w:rPr>
                <w:rFonts w:asciiTheme="minorHAnsi" w:hAnsiTheme="minorHAnsi" w:cs="Arial"/>
                <w:sz w:val="20"/>
                <w:szCs w:val="20"/>
              </w:rPr>
              <w:t>[-.80,1.24]</w:t>
            </w:r>
          </w:p>
        </w:tc>
        <w:tc>
          <w:tcPr>
            <w:tcW w:w="616" w:type="pct"/>
            <w:gridSpan w:val="2"/>
            <w:vAlign w:val="bottom"/>
          </w:tcPr>
          <w:p w:rsidR="00D1268D" w:rsidRPr="00A21238" w:rsidRDefault="00147832" w:rsidP="00EB03FC">
            <w:pPr>
              <w:jc w:val="center"/>
              <w:rPr>
                <w:rFonts w:asciiTheme="minorHAnsi" w:hAnsiTheme="minorHAnsi" w:cs="Arial"/>
                <w:sz w:val="20"/>
                <w:szCs w:val="20"/>
              </w:rPr>
            </w:pPr>
            <w:r w:rsidRPr="00A21238">
              <w:rPr>
                <w:rFonts w:asciiTheme="minorHAnsi" w:hAnsiTheme="minorHAnsi" w:cs="Arial"/>
                <w:i/>
                <w:sz w:val="20"/>
                <w:szCs w:val="20"/>
              </w:rPr>
              <w:t>P</w:t>
            </w:r>
            <w:r w:rsidR="001947B1" w:rsidRPr="00A21238">
              <w:rPr>
                <w:rFonts w:asciiTheme="minorHAnsi" w:hAnsiTheme="minorHAnsi" w:cs="Arial"/>
                <w:sz w:val="20"/>
                <w:szCs w:val="20"/>
              </w:rPr>
              <w:t>=.68 (ns)</w:t>
            </w:r>
          </w:p>
        </w:tc>
      </w:tr>
      <w:tr w:rsidR="00D1268D" w:rsidRPr="00A21238" w:rsidTr="005E32CB">
        <w:trPr>
          <w:trHeight w:val="341"/>
        </w:trPr>
        <w:tc>
          <w:tcPr>
            <w:tcW w:w="1304" w:type="pct"/>
          </w:tcPr>
          <w:p w:rsidR="00D1268D" w:rsidRPr="00A21238" w:rsidRDefault="009223C6" w:rsidP="0002496E">
            <w:pPr>
              <w:rPr>
                <w:rFonts w:asciiTheme="minorHAnsi" w:hAnsiTheme="minorHAnsi"/>
                <w:sz w:val="20"/>
                <w:szCs w:val="20"/>
              </w:rPr>
            </w:pPr>
            <w:r w:rsidRPr="00A21238">
              <w:rPr>
                <w:rFonts w:asciiTheme="minorHAnsi" w:hAnsiTheme="minorHAnsi" w:cs="Arial"/>
                <w:sz w:val="20"/>
                <w:szCs w:val="20"/>
              </w:rPr>
              <w:t xml:space="preserve">Median </w:t>
            </w:r>
            <w:r w:rsidR="001947B1" w:rsidRPr="00A21238">
              <w:rPr>
                <w:rFonts w:asciiTheme="minorHAnsi" w:hAnsiTheme="minorHAnsi" w:cs="Arial"/>
                <w:sz w:val="20"/>
                <w:szCs w:val="20"/>
              </w:rPr>
              <w:t>Survival time (m</w:t>
            </w:r>
            <w:r w:rsidR="00D1268D" w:rsidRPr="00A21238">
              <w:rPr>
                <w:rFonts w:asciiTheme="minorHAnsi" w:hAnsiTheme="minorHAnsi" w:cs="Arial"/>
                <w:sz w:val="20"/>
                <w:szCs w:val="20"/>
              </w:rPr>
              <w:t>onths)</w:t>
            </w:r>
            <w:r w:rsidR="0002496E" w:rsidRPr="0002496E">
              <w:rPr>
                <w:rFonts w:asciiTheme="minorHAnsi" w:hAnsiTheme="minorHAnsi" w:cs="Arial"/>
                <w:noProof/>
                <w:sz w:val="20"/>
                <w:szCs w:val="20"/>
                <w:vertAlign w:val="superscript"/>
              </w:rPr>
              <w:t>23, 54, 75, 83, 86, 117</w:t>
            </w:r>
          </w:p>
        </w:tc>
        <w:tc>
          <w:tcPr>
            <w:tcW w:w="693" w:type="pct"/>
            <w:vAlign w:val="bottom"/>
          </w:tcPr>
          <w:p w:rsidR="00D1268D" w:rsidRPr="00A21238" w:rsidRDefault="00D1268D" w:rsidP="00EB03FC">
            <w:pPr>
              <w:jc w:val="center"/>
              <w:rPr>
                <w:rFonts w:asciiTheme="minorHAnsi" w:hAnsiTheme="minorHAnsi" w:cs="Arial"/>
                <w:sz w:val="20"/>
                <w:szCs w:val="20"/>
              </w:rPr>
            </w:pPr>
            <w:r w:rsidRPr="00A21238">
              <w:rPr>
                <w:rFonts w:asciiTheme="minorHAnsi" w:hAnsiTheme="minorHAnsi" w:cs="Arial"/>
                <w:sz w:val="20"/>
                <w:szCs w:val="20"/>
              </w:rPr>
              <w:t xml:space="preserve">12.5 </w:t>
            </w:r>
            <w:r w:rsidRPr="00A21238">
              <w:rPr>
                <w:rFonts w:asciiTheme="minorHAnsi" w:hAnsiTheme="minorHAnsi" w:cs="Arial"/>
                <w:sz w:val="20"/>
                <w:szCs w:val="20"/>
                <w:u w:val="single"/>
              </w:rPr>
              <w:t>+</w:t>
            </w:r>
            <w:r w:rsidRPr="00A21238">
              <w:rPr>
                <w:rFonts w:asciiTheme="minorHAnsi" w:hAnsiTheme="minorHAnsi" w:cs="Arial"/>
                <w:sz w:val="20"/>
                <w:szCs w:val="20"/>
              </w:rPr>
              <w:t xml:space="preserve"> </w:t>
            </w:r>
            <w:r w:rsidR="00DD60C5" w:rsidRPr="00A21238">
              <w:rPr>
                <w:rFonts w:asciiTheme="minorHAnsi" w:hAnsiTheme="minorHAnsi" w:cs="Arial"/>
                <w:sz w:val="20"/>
                <w:szCs w:val="20"/>
              </w:rPr>
              <w:t>4.1</w:t>
            </w:r>
          </w:p>
        </w:tc>
        <w:tc>
          <w:tcPr>
            <w:tcW w:w="791" w:type="pct"/>
            <w:vAlign w:val="bottom"/>
          </w:tcPr>
          <w:p w:rsidR="00D1268D" w:rsidRPr="00A21238" w:rsidRDefault="00D1268D" w:rsidP="00EB03FC">
            <w:pPr>
              <w:jc w:val="center"/>
              <w:rPr>
                <w:rFonts w:asciiTheme="minorHAnsi" w:hAnsiTheme="minorHAnsi" w:cs="Arial"/>
                <w:sz w:val="20"/>
                <w:szCs w:val="20"/>
              </w:rPr>
            </w:pPr>
            <w:r w:rsidRPr="00A21238">
              <w:rPr>
                <w:rFonts w:asciiTheme="minorHAnsi" w:hAnsiTheme="minorHAnsi" w:cs="Arial"/>
                <w:sz w:val="20"/>
                <w:szCs w:val="20"/>
              </w:rPr>
              <w:t xml:space="preserve">8.4 </w:t>
            </w:r>
            <w:r w:rsidRPr="00A21238">
              <w:rPr>
                <w:rFonts w:asciiTheme="minorHAnsi" w:hAnsiTheme="minorHAnsi" w:cs="Arial"/>
                <w:sz w:val="20"/>
                <w:szCs w:val="20"/>
                <w:u w:val="single"/>
              </w:rPr>
              <w:t>+</w:t>
            </w:r>
            <w:r w:rsidRPr="00A21238">
              <w:rPr>
                <w:rFonts w:asciiTheme="minorHAnsi" w:hAnsiTheme="minorHAnsi" w:cs="Arial"/>
                <w:sz w:val="20"/>
                <w:szCs w:val="20"/>
              </w:rPr>
              <w:t xml:space="preserve"> </w:t>
            </w:r>
            <w:r w:rsidR="00DD60C5" w:rsidRPr="00A21238">
              <w:rPr>
                <w:rFonts w:asciiTheme="minorHAnsi" w:hAnsiTheme="minorHAnsi" w:cs="Arial"/>
                <w:sz w:val="20"/>
                <w:szCs w:val="20"/>
              </w:rPr>
              <w:t>4.8</w:t>
            </w:r>
          </w:p>
        </w:tc>
        <w:tc>
          <w:tcPr>
            <w:tcW w:w="644" w:type="pct"/>
            <w:vAlign w:val="bottom"/>
          </w:tcPr>
          <w:p w:rsidR="00D1268D" w:rsidRPr="00A21238" w:rsidRDefault="00D1268D" w:rsidP="00EB03FC">
            <w:pPr>
              <w:jc w:val="center"/>
              <w:rPr>
                <w:rFonts w:asciiTheme="minorHAnsi" w:hAnsiTheme="minorHAnsi" w:cs="Arial"/>
                <w:sz w:val="20"/>
                <w:szCs w:val="20"/>
              </w:rPr>
            </w:pPr>
            <w:r w:rsidRPr="00A21238">
              <w:rPr>
                <w:rFonts w:asciiTheme="minorHAnsi" w:hAnsiTheme="minorHAnsi" w:cs="Arial"/>
                <w:sz w:val="20"/>
                <w:szCs w:val="20"/>
              </w:rPr>
              <w:t>6(563)</w:t>
            </w:r>
          </w:p>
        </w:tc>
        <w:tc>
          <w:tcPr>
            <w:tcW w:w="953" w:type="pct"/>
            <w:vAlign w:val="bottom"/>
          </w:tcPr>
          <w:p w:rsidR="00D1268D" w:rsidRPr="00A21238" w:rsidRDefault="001947B1" w:rsidP="00EB03FC">
            <w:pPr>
              <w:jc w:val="center"/>
              <w:rPr>
                <w:rFonts w:asciiTheme="minorHAnsi" w:hAnsiTheme="minorHAnsi" w:cs="Arial"/>
                <w:sz w:val="20"/>
                <w:szCs w:val="20"/>
              </w:rPr>
            </w:pPr>
            <w:r w:rsidRPr="00A21238">
              <w:rPr>
                <w:rFonts w:asciiTheme="minorHAnsi" w:hAnsiTheme="minorHAnsi" w:cs="Arial"/>
                <w:sz w:val="20"/>
                <w:szCs w:val="20"/>
              </w:rPr>
              <w:t>4.18</w:t>
            </w:r>
            <w:r w:rsidR="005E32CB">
              <w:rPr>
                <w:rFonts w:asciiTheme="minorHAnsi" w:hAnsiTheme="minorHAnsi" w:cs="Arial"/>
                <w:sz w:val="20"/>
                <w:szCs w:val="20"/>
              </w:rPr>
              <w:t xml:space="preserve"> </w:t>
            </w:r>
            <w:r w:rsidRPr="00A21238">
              <w:rPr>
                <w:rFonts w:asciiTheme="minorHAnsi" w:hAnsiTheme="minorHAnsi" w:cs="Arial"/>
                <w:sz w:val="20"/>
                <w:szCs w:val="20"/>
              </w:rPr>
              <w:t>[1.37,6.99]</w:t>
            </w:r>
          </w:p>
        </w:tc>
        <w:tc>
          <w:tcPr>
            <w:tcW w:w="616" w:type="pct"/>
            <w:gridSpan w:val="2"/>
            <w:vAlign w:val="bottom"/>
          </w:tcPr>
          <w:p w:rsidR="00D1268D" w:rsidRPr="00A21238" w:rsidRDefault="00147832" w:rsidP="00EB03FC">
            <w:pPr>
              <w:jc w:val="center"/>
              <w:rPr>
                <w:rFonts w:asciiTheme="minorHAnsi" w:hAnsiTheme="minorHAnsi" w:cs="Arial"/>
                <w:b/>
                <w:sz w:val="20"/>
                <w:szCs w:val="20"/>
              </w:rPr>
            </w:pPr>
            <w:r w:rsidRPr="00A21238">
              <w:rPr>
                <w:rFonts w:asciiTheme="minorHAnsi" w:hAnsiTheme="minorHAnsi" w:cs="Arial"/>
                <w:b/>
                <w:i/>
                <w:sz w:val="20"/>
                <w:szCs w:val="20"/>
              </w:rPr>
              <w:t>P</w:t>
            </w:r>
            <w:r w:rsidR="001947B1" w:rsidRPr="00A21238">
              <w:rPr>
                <w:rFonts w:asciiTheme="minorHAnsi" w:hAnsiTheme="minorHAnsi" w:cs="Arial"/>
                <w:b/>
                <w:sz w:val="20"/>
                <w:szCs w:val="20"/>
              </w:rPr>
              <w:t>=.004</w:t>
            </w:r>
          </w:p>
        </w:tc>
      </w:tr>
    </w:tbl>
    <w:p w:rsidR="001947B1" w:rsidRPr="00A52683" w:rsidRDefault="00437895" w:rsidP="00A26FF8">
      <w:pPr>
        <w:ind w:left="-90"/>
        <w:rPr>
          <w:rFonts w:asciiTheme="minorHAnsi" w:hAnsiTheme="minorHAnsi" w:cs="Arial"/>
          <w:b/>
          <w:sz w:val="18"/>
          <w:szCs w:val="18"/>
        </w:rPr>
      </w:pPr>
      <w:r>
        <w:rPr>
          <w:rFonts w:asciiTheme="minorHAnsi" w:hAnsiTheme="minorHAnsi"/>
          <w:sz w:val="18"/>
          <w:szCs w:val="18"/>
        </w:rPr>
        <w:t xml:space="preserve">Abbreviations: </w:t>
      </w:r>
      <w:r w:rsidR="001947B1" w:rsidRPr="00A52683">
        <w:rPr>
          <w:rFonts w:asciiTheme="minorHAnsi" w:hAnsiTheme="minorHAnsi"/>
          <w:sz w:val="18"/>
          <w:szCs w:val="18"/>
        </w:rPr>
        <w:t>CI</w:t>
      </w:r>
      <w:r w:rsidR="00470CE4">
        <w:rPr>
          <w:rFonts w:asciiTheme="minorHAnsi" w:hAnsiTheme="minorHAnsi"/>
          <w:sz w:val="18"/>
          <w:szCs w:val="18"/>
        </w:rPr>
        <w:t>,</w:t>
      </w:r>
      <w:r w:rsidR="001947B1" w:rsidRPr="00A52683">
        <w:rPr>
          <w:rFonts w:asciiTheme="minorHAnsi" w:hAnsiTheme="minorHAnsi"/>
          <w:sz w:val="18"/>
          <w:szCs w:val="18"/>
        </w:rPr>
        <w:t xml:space="preserve"> Confidence interval; n</w:t>
      </w:r>
      <w:r w:rsidR="00470CE4">
        <w:rPr>
          <w:rFonts w:asciiTheme="minorHAnsi" w:hAnsiTheme="minorHAnsi"/>
          <w:sz w:val="18"/>
          <w:szCs w:val="18"/>
        </w:rPr>
        <w:t>,</w:t>
      </w:r>
      <w:r w:rsidR="001947B1" w:rsidRPr="00A52683">
        <w:rPr>
          <w:rFonts w:asciiTheme="minorHAnsi" w:hAnsiTheme="minorHAnsi"/>
          <w:sz w:val="18"/>
          <w:szCs w:val="18"/>
        </w:rPr>
        <w:t xml:space="preserve"> Number of studies; N</w:t>
      </w:r>
      <w:r w:rsidR="00470CE4">
        <w:rPr>
          <w:rFonts w:asciiTheme="minorHAnsi" w:hAnsiTheme="minorHAnsi"/>
          <w:sz w:val="18"/>
          <w:szCs w:val="18"/>
        </w:rPr>
        <w:t>,</w:t>
      </w:r>
      <w:r w:rsidR="001947B1" w:rsidRPr="00A52683">
        <w:rPr>
          <w:rFonts w:asciiTheme="minorHAnsi" w:hAnsiTheme="minorHAnsi"/>
          <w:sz w:val="18"/>
          <w:szCs w:val="18"/>
        </w:rPr>
        <w:t xml:space="preserve"> Number of patients; </w:t>
      </w:r>
      <w:r w:rsidR="00470CE4">
        <w:rPr>
          <w:rFonts w:asciiTheme="minorHAnsi" w:hAnsiTheme="minorHAnsi"/>
          <w:sz w:val="18"/>
          <w:szCs w:val="18"/>
        </w:rPr>
        <w:t>ns,</w:t>
      </w:r>
      <w:r w:rsidR="001947B1" w:rsidRPr="00A52683">
        <w:rPr>
          <w:rFonts w:asciiTheme="minorHAnsi" w:hAnsiTheme="minorHAnsi"/>
          <w:sz w:val="18"/>
          <w:szCs w:val="18"/>
        </w:rPr>
        <w:t xml:space="preserve"> Not significant; RR</w:t>
      </w:r>
      <w:r w:rsidR="00470CE4">
        <w:rPr>
          <w:rFonts w:asciiTheme="minorHAnsi" w:hAnsiTheme="minorHAnsi"/>
          <w:sz w:val="18"/>
          <w:szCs w:val="18"/>
        </w:rPr>
        <w:t>,</w:t>
      </w:r>
      <w:r w:rsidR="001947B1" w:rsidRPr="00A52683">
        <w:rPr>
          <w:rFonts w:asciiTheme="minorHAnsi" w:hAnsiTheme="minorHAnsi"/>
          <w:sz w:val="18"/>
          <w:szCs w:val="18"/>
        </w:rPr>
        <w:t xml:space="preserve"> Relative risk; WMD</w:t>
      </w:r>
      <w:r w:rsidR="00470CE4">
        <w:rPr>
          <w:rFonts w:asciiTheme="minorHAnsi" w:hAnsiTheme="minorHAnsi"/>
          <w:sz w:val="18"/>
          <w:szCs w:val="18"/>
        </w:rPr>
        <w:t>,</w:t>
      </w:r>
      <w:r w:rsidR="001947B1" w:rsidRPr="00A52683">
        <w:rPr>
          <w:rFonts w:asciiTheme="minorHAnsi" w:hAnsiTheme="minorHAnsi"/>
          <w:sz w:val="18"/>
          <w:szCs w:val="18"/>
        </w:rPr>
        <w:t xml:space="preserve"> Weighted mean difference</w:t>
      </w:r>
    </w:p>
    <w:p w:rsidR="008678C3" w:rsidRPr="00A21238" w:rsidRDefault="00C167BC" w:rsidP="006A29A6">
      <w:pPr>
        <w:rPr>
          <w:rFonts w:ascii="Century Gothic" w:hAnsi="Century Gothic"/>
          <w:b/>
          <w:sz w:val="20"/>
          <w:szCs w:val="20"/>
        </w:rPr>
      </w:pPr>
      <w:r w:rsidRPr="00A21238">
        <w:rPr>
          <w:rFonts w:ascii="Century Gothic" w:hAnsi="Century Gothic"/>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678C3" w:rsidRPr="00A52683" w:rsidTr="004952B0">
        <w:tc>
          <w:tcPr>
            <w:tcW w:w="5000" w:type="pct"/>
            <w:vAlign w:val="center"/>
          </w:tcPr>
          <w:p w:rsidR="00481C2E" w:rsidRPr="00A52683" w:rsidRDefault="005E0D7C" w:rsidP="00FC3117">
            <w:pPr>
              <w:rPr>
                <w:b/>
                <w:sz w:val="22"/>
                <w:szCs w:val="22"/>
              </w:rPr>
            </w:pPr>
            <w:r w:rsidRPr="00A52683">
              <w:rPr>
                <w:b/>
                <w:sz w:val="22"/>
                <w:szCs w:val="22"/>
              </w:rPr>
              <w:lastRenderedPageBreak/>
              <w:t>6.5:</w:t>
            </w:r>
            <w:r w:rsidR="00481C2E" w:rsidRPr="00A52683">
              <w:rPr>
                <w:b/>
                <w:sz w:val="22"/>
                <w:szCs w:val="22"/>
              </w:rPr>
              <w:t xml:space="preserve"> Recommendation: </w:t>
            </w:r>
            <w:r w:rsidR="00481C2E" w:rsidRPr="00A52683">
              <w:rPr>
                <w:b/>
                <w:i/>
                <w:sz w:val="22"/>
                <w:szCs w:val="22"/>
              </w:rPr>
              <w:t>EGFR</w:t>
            </w:r>
            <w:r w:rsidR="00481C2E" w:rsidRPr="00A52683">
              <w:rPr>
                <w:b/>
                <w:sz w:val="22"/>
                <w:szCs w:val="22"/>
              </w:rPr>
              <w:t xml:space="preserve"> copy number analysis (ie, FISH or </w:t>
            </w:r>
            <w:proofErr w:type="spellStart"/>
            <w:r w:rsidR="009200CE">
              <w:rPr>
                <w:b/>
                <w:sz w:val="22"/>
                <w:szCs w:val="22"/>
              </w:rPr>
              <w:t>chromogenic</w:t>
            </w:r>
            <w:proofErr w:type="spellEnd"/>
            <w:r w:rsidR="009200CE">
              <w:rPr>
                <w:b/>
                <w:sz w:val="22"/>
                <w:szCs w:val="22"/>
              </w:rPr>
              <w:t xml:space="preserve"> in situ hybridization</w:t>
            </w:r>
            <w:r w:rsidR="00481C2E" w:rsidRPr="00A52683">
              <w:rPr>
                <w:b/>
                <w:sz w:val="22"/>
                <w:szCs w:val="22"/>
              </w:rPr>
              <w:t xml:space="preserve">) </w:t>
            </w:r>
            <w:proofErr w:type="gramStart"/>
            <w:r w:rsidR="00481C2E" w:rsidRPr="00A52683">
              <w:rPr>
                <w:b/>
                <w:sz w:val="22"/>
                <w:szCs w:val="22"/>
              </w:rPr>
              <w:t xml:space="preserve">is </w:t>
            </w:r>
            <w:r w:rsidR="00E36EA3">
              <w:rPr>
                <w:b/>
                <w:sz w:val="22"/>
                <w:szCs w:val="22"/>
              </w:rPr>
              <w:t>not</w:t>
            </w:r>
            <w:r w:rsidR="00481C2E" w:rsidRPr="00A52683">
              <w:rPr>
                <w:b/>
                <w:sz w:val="22"/>
                <w:szCs w:val="22"/>
              </w:rPr>
              <w:t xml:space="preserve"> recommended</w:t>
            </w:r>
            <w:proofErr w:type="gramEnd"/>
            <w:r w:rsidR="00481C2E" w:rsidRPr="00A52683">
              <w:rPr>
                <w:b/>
                <w:sz w:val="22"/>
                <w:szCs w:val="22"/>
              </w:rPr>
              <w:t xml:space="preserve"> for selection of </w:t>
            </w:r>
            <w:r w:rsidR="00AC081E" w:rsidRPr="00AC081E">
              <w:rPr>
                <w:b/>
                <w:sz w:val="22"/>
                <w:szCs w:val="22"/>
              </w:rPr>
              <w:t>EGFR</w:t>
            </w:r>
            <w:r w:rsidR="00481C2E" w:rsidRPr="00A52683">
              <w:rPr>
                <w:b/>
                <w:sz w:val="22"/>
                <w:szCs w:val="22"/>
              </w:rPr>
              <w:t xml:space="preserve"> TKI therapy.</w:t>
            </w:r>
          </w:p>
        </w:tc>
      </w:tr>
      <w:tr w:rsidR="008678C3" w:rsidRPr="00A52683" w:rsidTr="004952B0">
        <w:tc>
          <w:tcPr>
            <w:tcW w:w="5000" w:type="pct"/>
            <w:vAlign w:val="center"/>
          </w:tcPr>
          <w:p w:rsidR="008678C3" w:rsidRPr="00A52683" w:rsidRDefault="008678C3" w:rsidP="00256149">
            <w:pPr>
              <w:rPr>
                <w:sz w:val="22"/>
                <w:szCs w:val="22"/>
              </w:rPr>
            </w:pPr>
            <w:r w:rsidRPr="00A52683">
              <w:rPr>
                <w:b/>
                <w:bCs/>
                <w:sz w:val="22"/>
                <w:szCs w:val="22"/>
              </w:rPr>
              <w:t>Evidence base: B</w:t>
            </w:r>
          </w:p>
        </w:tc>
      </w:tr>
      <w:tr w:rsidR="008678C3" w:rsidRPr="00A52683" w:rsidTr="004952B0">
        <w:tc>
          <w:tcPr>
            <w:tcW w:w="5000" w:type="pct"/>
            <w:vAlign w:val="center"/>
          </w:tcPr>
          <w:p w:rsidR="008678C3" w:rsidRPr="00A52683" w:rsidRDefault="008678C3" w:rsidP="00256149">
            <w:pPr>
              <w:rPr>
                <w:sz w:val="22"/>
                <w:szCs w:val="22"/>
              </w:rPr>
            </w:pPr>
            <w:r w:rsidRPr="00A52683">
              <w:rPr>
                <w:b/>
                <w:bCs/>
                <w:sz w:val="22"/>
                <w:szCs w:val="22"/>
              </w:rPr>
              <w:t>Consistency:</w:t>
            </w:r>
            <w:r w:rsidR="005E0D7C" w:rsidRPr="00A52683">
              <w:rPr>
                <w:b/>
                <w:bCs/>
                <w:sz w:val="22"/>
                <w:szCs w:val="22"/>
              </w:rPr>
              <w:t xml:space="preserve"> </w:t>
            </w:r>
            <w:r w:rsidRPr="00A52683">
              <w:rPr>
                <w:b/>
                <w:bCs/>
                <w:sz w:val="22"/>
                <w:szCs w:val="22"/>
              </w:rPr>
              <w:t>B</w:t>
            </w:r>
          </w:p>
        </w:tc>
      </w:tr>
      <w:tr w:rsidR="008678C3" w:rsidRPr="00A52683" w:rsidTr="004952B0">
        <w:tc>
          <w:tcPr>
            <w:tcW w:w="5000" w:type="pct"/>
            <w:vAlign w:val="center"/>
          </w:tcPr>
          <w:p w:rsidR="008678C3" w:rsidRPr="00A52683" w:rsidRDefault="008678C3" w:rsidP="0088176A">
            <w:pPr>
              <w:rPr>
                <w:b/>
                <w:bCs/>
                <w:sz w:val="22"/>
                <w:szCs w:val="22"/>
              </w:rPr>
            </w:pPr>
            <w:r w:rsidRPr="00A52683">
              <w:rPr>
                <w:b/>
                <w:bCs/>
                <w:sz w:val="22"/>
                <w:szCs w:val="22"/>
              </w:rPr>
              <w:t>Clinical impact: B</w:t>
            </w:r>
          </w:p>
        </w:tc>
      </w:tr>
      <w:tr w:rsidR="008678C3" w:rsidRPr="00A52683" w:rsidTr="004952B0">
        <w:tc>
          <w:tcPr>
            <w:tcW w:w="5000" w:type="pct"/>
            <w:vAlign w:val="center"/>
          </w:tcPr>
          <w:p w:rsidR="008678C3" w:rsidRPr="00A52683" w:rsidRDefault="008678C3" w:rsidP="0088176A">
            <w:pPr>
              <w:rPr>
                <w:b/>
                <w:bCs/>
                <w:sz w:val="22"/>
                <w:szCs w:val="22"/>
              </w:rPr>
            </w:pPr>
            <w:proofErr w:type="spellStart"/>
            <w:r w:rsidRPr="00A52683">
              <w:rPr>
                <w:b/>
                <w:bCs/>
                <w:sz w:val="22"/>
                <w:szCs w:val="22"/>
              </w:rPr>
              <w:t>Generalizability</w:t>
            </w:r>
            <w:proofErr w:type="spellEnd"/>
            <w:r w:rsidRPr="00A52683">
              <w:rPr>
                <w:b/>
                <w:bCs/>
                <w:sz w:val="22"/>
                <w:szCs w:val="22"/>
              </w:rPr>
              <w:t>: A</w:t>
            </w:r>
          </w:p>
        </w:tc>
      </w:tr>
      <w:tr w:rsidR="008678C3" w:rsidRPr="00A52683" w:rsidTr="004952B0">
        <w:tc>
          <w:tcPr>
            <w:tcW w:w="5000" w:type="pct"/>
            <w:vAlign w:val="center"/>
          </w:tcPr>
          <w:p w:rsidR="008678C3" w:rsidRPr="00A52683" w:rsidRDefault="008678C3" w:rsidP="0088176A">
            <w:pPr>
              <w:rPr>
                <w:b/>
                <w:bCs/>
                <w:sz w:val="22"/>
                <w:szCs w:val="22"/>
              </w:rPr>
            </w:pPr>
            <w:r w:rsidRPr="00A52683">
              <w:rPr>
                <w:b/>
                <w:bCs/>
                <w:sz w:val="22"/>
                <w:szCs w:val="22"/>
              </w:rPr>
              <w:t>Applicability: A</w:t>
            </w:r>
          </w:p>
        </w:tc>
      </w:tr>
      <w:tr w:rsidR="008678C3" w:rsidRPr="00A52683" w:rsidTr="004952B0">
        <w:tc>
          <w:tcPr>
            <w:tcW w:w="5000" w:type="pct"/>
            <w:vAlign w:val="center"/>
          </w:tcPr>
          <w:p w:rsidR="008678C3" w:rsidRPr="00A52683" w:rsidRDefault="008678C3" w:rsidP="00256149">
            <w:pPr>
              <w:rPr>
                <w:b/>
                <w:bCs/>
                <w:sz w:val="22"/>
                <w:szCs w:val="22"/>
              </w:rPr>
            </w:pPr>
            <w:r w:rsidRPr="00A52683">
              <w:rPr>
                <w:b/>
                <w:sz w:val="22"/>
                <w:szCs w:val="22"/>
              </w:rPr>
              <w:t xml:space="preserve">Overall Grade: </w:t>
            </w:r>
            <w:r w:rsidR="00286C8B" w:rsidRPr="00A52683">
              <w:rPr>
                <w:b/>
                <w:sz w:val="22"/>
                <w:szCs w:val="22"/>
              </w:rPr>
              <w:t>B</w:t>
            </w:r>
          </w:p>
        </w:tc>
      </w:tr>
    </w:tbl>
    <w:p w:rsidR="008678C3" w:rsidRPr="00A52683" w:rsidRDefault="008678C3" w:rsidP="006E23CA">
      <w:pPr>
        <w:rPr>
          <w:sz w:val="22"/>
          <w:szCs w:val="22"/>
        </w:rPr>
      </w:pPr>
    </w:p>
    <w:tbl>
      <w:tblPr>
        <w:tblW w:w="12007" w:type="dxa"/>
        <w:tblInd w:w="93" w:type="dxa"/>
        <w:tblLook w:val="04A0"/>
      </w:tblPr>
      <w:tblGrid>
        <w:gridCol w:w="2175"/>
        <w:gridCol w:w="1440"/>
        <w:gridCol w:w="1530"/>
        <w:gridCol w:w="1267"/>
        <w:gridCol w:w="206"/>
        <w:gridCol w:w="85"/>
        <w:gridCol w:w="236"/>
        <w:gridCol w:w="1569"/>
        <w:gridCol w:w="305"/>
        <w:gridCol w:w="1034"/>
        <w:gridCol w:w="975"/>
        <w:gridCol w:w="1185"/>
      </w:tblGrid>
      <w:tr w:rsidR="00B6118D" w:rsidRPr="00A52683" w:rsidTr="005E32CB">
        <w:trPr>
          <w:trHeight w:val="270"/>
        </w:trPr>
        <w:tc>
          <w:tcPr>
            <w:tcW w:w="8813" w:type="dxa"/>
            <w:gridSpan w:val="9"/>
            <w:tcBorders>
              <w:top w:val="nil"/>
              <w:left w:val="nil"/>
              <w:bottom w:val="nil"/>
              <w:right w:val="nil"/>
            </w:tcBorders>
            <w:shd w:val="clear" w:color="auto" w:fill="auto"/>
            <w:noWrap/>
            <w:vAlign w:val="bottom"/>
            <w:hideMark/>
          </w:tcPr>
          <w:p w:rsidR="00B6118D" w:rsidRPr="00A52683" w:rsidRDefault="00245238" w:rsidP="00A623F2">
            <w:pPr>
              <w:ind w:right="-1728"/>
              <w:rPr>
                <w:b/>
                <w:bCs/>
                <w:sz w:val="22"/>
                <w:szCs w:val="22"/>
              </w:rPr>
            </w:pPr>
            <w:r w:rsidRPr="00A52683">
              <w:rPr>
                <w:b/>
                <w:sz w:val="22"/>
                <w:szCs w:val="22"/>
              </w:rPr>
              <w:t>Table 2</w:t>
            </w:r>
            <w:r w:rsidR="00A566D8" w:rsidRPr="00A52683">
              <w:rPr>
                <w:b/>
                <w:sz w:val="22"/>
                <w:szCs w:val="22"/>
              </w:rPr>
              <w:t>2</w:t>
            </w:r>
            <w:r w:rsidR="00BF4EE8" w:rsidRPr="00A52683">
              <w:rPr>
                <w:b/>
                <w:sz w:val="22"/>
                <w:szCs w:val="22"/>
              </w:rPr>
              <w:t>:</w:t>
            </w:r>
            <w:r w:rsidR="008712C9">
              <w:rPr>
                <w:b/>
                <w:sz w:val="22"/>
                <w:szCs w:val="22"/>
              </w:rPr>
              <w:t xml:space="preserve"> </w:t>
            </w:r>
            <w:r w:rsidR="00B6118D" w:rsidRPr="00A52683">
              <w:rPr>
                <w:b/>
                <w:bCs/>
                <w:sz w:val="22"/>
                <w:szCs w:val="22"/>
              </w:rPr>
              <w:t>Different outcomes for T</w:t>
            </w:r>
            <w:r w:rsidR="0001790B">
              <w:rPr>
                <w:b/>
                <w:bCs/>
                <w:sz w:val="22"/>
                <w:szCs w:val="22"/>
              </w:rPr>
              <w:t>yrosine Kinase Inhibitor</w:t>
            </w:r>
            <w:r w:rsidR="00B6118D" w:rsidRPr="00A52683">
              <w:rPr>
                <w:b/>
                <w:bCs/>
                <w:sz w:val="22"/>
                <w:szCs w:val="22"/>
              </w:rPr>
              <w:t xml:space="preserve"> therapy in patient</w:t>
            </w:r>
            <w:r w:rsidR="00FF4E81" w:rsidRPr="00A52683">
              <w:rPr>
                <w:b/>
                <w:bCs/>
                <w:sz w:val="22"/>
                <w:szCs w:val="22"/>
              </w:rPr>
              <w:t xml:space="preserve">s tested by </w:t>
            </w:r>
            <w:r w:rsidR="00FF4E81" w:rsidRPr="00662C9F">
              <w:rPr>
                <w:b/>
                <w:bCs/>
                <w:i/>
                <w:sz w:val="22"/>
                <w:szCs w:val="22"/>
              </w:rPr>
              <w:t>EGFR</w:t>
            </w:r>
            <w:r w:rsidR="00FF4E81" w:rsidRPr="00A52683">
              <w:rPr>
                <w:b/>
                <w:bCs/>
                <w:sz w:val="22"/>
                <w:szCs w:val="22"/>
              </w:rPr>
              <w:t xml:space="preserve"> </w:t>
            </w:r>
            <w:r w:rsidR="0001790B">
              <w:rPr>
                <w:b/>
                <w:bCs/>
                <w:sz w:val="22"/>
                <w:szCs w:val="22"/>
              </w:rPr>
              <w:t>Fluorescence In Situ Hybridization (</w:t>
            </w:r>
            <w:r w:rsidR="00FF4E81" w:rsidRPr="00A52683">
              <w:rPr>
                <w:b/>
                <w:bCs/>
                <w:sz w:val="22"/>
                <w:szCs w:val="22"/>
              </w:rPr>
              <w:t>FISH</w:t>
            </w:r>
            <w:r w:rsidR="0001790B">
              <w:rPr>
                <w:b/>
                <w:bCs/>
                <w:sz w:val="22"/>
                <w:szCs w:val="22"/>
              </w:rPr>
              <w:t>)</w:t>
            </w:r>
            <w:r w:rsidR="00AC081E" w:rsidRPr="00AC081E">
              <w:rPr>
                <w:rFonts w:ascii="Times New Roman Bold" w:hAnsi="Times New Roman Bold"/>
                <w:b/>
                <w:bCs/>
                <w:sz w:val="22"/>
                <w:szCs w:val="22"/>
                <w:vertAlign w:val="superscript"/>
              </w:rPr>
              <w:t>a</w:t>
            </w:r>
            <w:r w:rsidR="00FF4E81" w:rsidRPr="00A52683">
              <w:rPr>
                <w:b/>
                <w:bCs/>
                <w:sz w:val="22"/>
                <w:szCs w:val="22"/>
              </w:rPr>
              <w:t xml:space="preserve"> </w:t>
            </w:r>
          </w:p>
        </w:tc>
        <w:tc>
          <w:tcPr>
            <w:tcW w:w="2009" w:type="dxa"/>
            <w:gridSpan w:val="2"/>
            <w:tcBorders>
              <w:top w:val="nil"/>
              <w:left w:val="nil"/>
              <w:bottom w:val="nil"/>
              <w:right w:val="nil"/>
            </w:tcBorders>
            <w:shd w:val="clear" w:color="auto" w:fill="auto"/>
            <w:noWrap/>
            <w:vAlign w:val="bottom"/>
            <w:hideMark/>
          </w:tcPr>
          <w:p w:rsidR="00B6118D" w:rsidRPr="00A52683" w:rsidRDefault="00B6118D" w:rsidP="00A623F2">
            <w:pPr>
              <w:ind w:left="252"/>
              <w:rPr>
                <w:sz w:val="22"/>
                <w:szCs w:val="22"/>
              </w:rPr>
            </w:pPr>
          </w:p>
        </w:tc>
        <w:tc>
          <w:tcPr>
            <w:tcW w:w="1185" w:type="dxa"/>
            <w:tcBorders>
              <w:top w:val="nil"/>
              <w:left w:val="nil"/>
              <w:bottom w:val="nil"/>
              <w:right w:val="nil"/>
            </w:tcBorders>
            <w:shd w:val="clear" w:color="auto" w:fill="auto"/>
            <w:noWrap/>
            <w:vAlign w:val="bottom"/>
            <w:hideMark/>
          </w:tcPr>
          <w:p w:rsidR="00B6118D" w:rsidRPr="00A52683" w:rsidRDefault="00B6118D" w:rsidP="00B6118D">
            <w:pPr>
              <w:rPr>
                <w:sz w:val="22"/>
                <w:szCs w:val="22"/>
              </w:rPr>
            </w:pPr>
          </w:p>
        </w:tc>
      </w:tr>
      <w:tr w:rsidR="00B6118D" w:rsidRPr="00A21238" w:rsidTr="005E32CB">
        <w:trPr>
          <w:gridAfter w:val="2"/>
          <w:wAfter w:w="2160" w:type="dxa"/>
          <w:trHeight w:val="270"/>
        </w:trPr>
        <w:tc>
          <w:tcPr>
            <w:tcW w:w="2175" w:type="dxa"/>
            <w:tcBorders>
              <w:top w:val="nil"/>
              <w:left w:val="nil"/>
              <w:bottom w:val="nil"/>
              <w:right w:val="nil"/>
            </w:tcBorders>
            <w:shd w:val="clear" w:color="auto" w:fill="auto"/>
            <w:noWrap/>
            <w:vAlign w:val="bottom"/>
            <w:hideMark/>
          </w:tcPr>
          <w:p w:rsidR="00B6118D" w:rsidRPr="00A21238" w:rsidRDefault="00B6118D" w:rsidP="00B6118D">
            <w:pPr>
              <w:rPr>
                <w:rFonts w:ascii="Century Gothic" w:hAnsi="Century Gothic"/>
                <w:sz w:val="20"/>
                <w:szCs w:val="20"/>
              </w:rPr>
            </w:pPr>
          </w:p>
        </w:tc>
        <w:tc>
          <w:tcPr>
            <w:tcW w:w="4237" w:type="dxa"/>
            <w:gridSpan w:val="3"/>
            <w:tcBorders>
              <w:top w:val="nil"/>
              <w:left w:val="nil"/>
              <w:bottom w:val="nil"/>
              <w:right w:val="nil"/>
            </w:tcBorders>
            <w:shd w:val="clear" w:color="auto" w:fill="auto"/>
            <w:noWrap/>
            <w:vAlign w:val="bottom"/>
            <w:hideMark/>
          </w:tcPr>
          <w:p w:rsidR="00B6118D" w:rsidRPr="00A21238" w:rsidRDefault="00B6118D" w:rsidP="00B6118D">
            <w:pPr>
              <w:rPr>
                <w:rFonts w:ascii="Century Gothic" w:hAnsi="Century Gothic"/>
                <w:sz w:val="20"/>
                <w:szCs w:val="20"/>
              </w:rPr>
            </w:pPr>
          </w:p>
        </w:tc>
        <w:tc>
          <w:tcPr>
            <w:tcW w:w="291" w:type="dxa"/>
            <w:gridSpan w:val="2"/>
            <w:tcBorders>
              <w:top w:val="nil"/>
              <w:left w:val="nil"/>
              <w:bottom w:val="nil"/>
              <w:right w:val="nil"/>
            </w:tcBorders>
            <w:shd w:val="clear" w:color="auto" w:fill="auto"/>
            <w:noWrap/>
            <w:vAlign w:val="bottom"/>
            <w:hideMark/>
          </w:tcPr>
          <w:p w:rsidR="00B6118D" w:rsidRPr="00A21238" w:rsidRDefault="00B6118D" w:rsidP="00B6118D">
            <w:pPr>
              <w:rPr>
                <w:rFonts w:ascii="Century Gothic" w:hAnsi="Century Gothic"/>
                <w:sz w:val="20"/>
                <w:szCs w:val="20"/>
              </w:rPr>
            </w:pPr>
          </w:p>
        </w:tc>
        <w:tc>
          <w:tcPr>
            <w:tcW w:w="236" w:type="dxa"/>
            <w:tcBorders>
              <w:top w:val="nil"/>
              <w:left w:val="nil"/>
              <w:bottom w:val="nil"/>
              <w:right w:val="nil"/>
            </w:tcBorders>
            <w:shd w:val="clear" w:color="auto" w:fill="auto"/>
            <w:noWrap/>
            <w:vAlign w:val="bottom"/>
            <w:hideMark/>
          </w:tcPr>
          <w:p w:rsidR="00B6118D" w:rsidRPr="00A21238" w:rsidRDefault="00B6118D" w:rsidP="00B6118D">
            <w:pPr>
              <w:rPr>
                <w:rFonts w:ascii="Century Gothic" w:hAnsi="Century Gothic"/>
                <w:sz w:val="20"/>
                <w:szCs w:val="20"/>
              </w:rPr>
            </w:pPr>
          </w:p>
        </w:tc>
        <w:tc>
          <w:tcPr>
            <w:tcW w:w="1569" w:type="dxa"/>
            <w:tcBorders>
              <w:top w:val="nil"/>
              <w:left w:val="nil"/>
              <w:bottom w:val="nil"/>
              <w:right w:val="nil"/>
            </w:tcBorders>
            <w:shd w:val="clear" w:color="auto" w:fill="auto"/>
            <w:noWrap/>
            <w:vAlign w:val="bottom"/>
            <w:hideMark/>
          </w:tcPr>
          <w:p w:rsidR="00B6118D" w:rsidRPr="00A21238" w:rsidRDefault="00B6118D" w:rsidP="00B6118D">
            <w:pPr>
              <w:rPr>
                <w:rFonts w:ascii="Century Gothic" w:hAnsi="Century Gothic"/>
                <w:sz w:val="20"/>
                <w:szCs w:val="20"/>
              </w:rPr>
            </w:pPr>
          </w:p>
        </w:tc>
        <w:tc>
          <w:tcPr>
            <w:tcW w:w="1339" w:type="dxa"/>
            <w:gridSpan w:val="2"/>
            <w:tcBorders>
              <w:top w:val="nil"/>
              <w:left w:val="nil"/>
              <w:bottom w:val="nil"/>
              <w:right w:val="nil"/>
            </w:tcBorders>
            <w:shd w:val="clear" w:color="auto" w:fill="auto"/>
            <w:noWrap/>
            <w:vAlign w:val="bottom"/>
            <w:hideMark/>
          </w:tcPr>
          <w:p w:rsidR="00B6118D" w:rsidRPr="00A21238" w:rsidRDefault="00B6118D" w:rsidP="00B6118D">
            <w:pPr>
              <w:rPr>
                <w:rFonts w:ascii="Century Gothic" w:hAnsi="Century Gothic"/>
                <w:sz w:val="20"/>
                <w:szCs w:val="20"/>
              </w:rPr>
            </w:pPr>
          </w:p>
        </w:tc>
      </w:tr>
      <w:tr w:rsidR="00B6118D" w:rsidRPr="00A21238" w:rsidTr="005E32CB">
        <w:trPr>
          <w:gridAfter w:val="2"/>
          <w:wAfter w:w="2160" w:type="dxa"/>
          <w:trHeight w:val="332"/>
        </w:trPr>
        <w:tc>
          <w:tcPr>
            <w:tcW w:w="21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18D" w:rsidRPr="00A21238" w:rsidRDefault="00B6118D" w:rsidP="00B6118D">
            <w:pPr>
              <w:rPr>
                <w:rFonts w:asciiTheme="minorHAnsi" w:hAnsiTheme="minorHAnsi" w:cstheme="minorHAnsi"/>
                <w:b/>
                <w:bCs/>
                <w:sz w:val="20"/>
                <w:szCs w:val="20"/>
              </w:rPr>
            </w:pPr>
            <w:r w:rsidRPr="00A21238">
              <w:rPr>
                <w:rFonts w:asciiTheme="minorHAnsi" w:hAnsiTheme="minorHAnsi" w:cstheme="minorHAnsi"/>
                <w:b/>
                <w:bCs/>
                <w:sz w:val="20"/>
                <w:szCs w:val="20"/>
              </w:rPr>
              <w:t>Outcome</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hideMark/>
          </w:tcPr>
          <w:p w:rsidR="00B6118D" w:rsidRPr="00A21238" w:rsidRDefault="00B6118D" w:rsidP="00B6118D">
            <w:pPr>
              <w:jc w:val="center"/>
              <w:rPr>
                <w:rFonts w:asciiTheme="minorHAnsi" w:hAnsiTheme="minorHAnsi" w:cstheme="minorHAnsi"/>
                <w:b/>
                <w:bCs/>
                <w:sz w:val="20"/>
                <w:szCs w:val="20"/>
              </w:rPr>
            </w:pPr>
            <w:r w:rsidRPr="00A21238">
              <w:rPr>
                <w:rFonts w:asciiTheme="minorHAnsi" w:hAnsiTheme="minorHAnsi" w:cstheme="minorHAnsi"/>
                <w:b/>
                <w:bCs/>
                <w:sz w:val="20"/>
                <w:szCs w:val="20"/>
              </w:rPr>
              <w:t>Percentage</w:t>
            </w:r>
          </w:p>
        </w:tc>
        <w:tc>
          <w:tcPr>
            <w:tcW w:w="147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18D" w:rsidRPr="00A21238" w:rsidRDefault="00B6118D" w:rsidP="00B6118D">
            <w:pPr>
              <w:jc w:val="center"/>
              <w:rPr>
                <w:rFonts w:asciiTheme="minorHAnsi" w:hAnsiTheme="minorHAnsi" w:cstheme="minorHAnsi"/>
                <w:b/>
                <w:bCs/>
                <w:sz w:val="20"/>
                <w:szCs w:val="20"/>
              </w:rPr>
            </w:pPr>
            <w:r w:rsidRPr="00A21238">
              <w:rPr>
                <w:rFonts w:asciiTheme="minorHAnsi" w:hAnsiTheme="minorHAnsi" w:cstheme="minorHAnsi"/>
                <w:b/>
                <w:bCs/>
                <w:sz w:val="20"/>
                <w:szCs w:val="20"/>
              </w:rPr>
              <w:t>n(N)</w:t>
            </w:r>
          </w:p>
        </w:tc>
        <w:tc>
          <w:tcPr>
            <w:tcW w:w="189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6118D" w:rsidRPr="00A21238" w:rsidRDefault="00B83BDB" w:rsidP="00A623F2">
            <w:pPr>
              <w:rPr>
                <w:rFonts w:asciiTheme="minorHAnsi" w:hAnsiTheme="minorHAnsi" w:cstheme="minorHAnsi"/>
                <w:b/>
                <w:bCs/>
                <w:sz w:val="20"/>
                <w:szCs w:val="20"/>
              </w:rPr>
            </w:pPr>
            <w:r w:rsidRPr="00724062">
              <w:rPr>
                <w:rFonts w:ascii="Calibri" w:hAnsi="Calibri" w:cs="Calibri"/>
                <w:b/>
                <w:bCs/>
                <w:color w:val="000000"/>
                <w:sz w:val="20"/>
                <w:szCs w:val="20"/>
              </w:rPr>
              <w:t>Risk Ratio M-H, Random, 95% CI</w:t>
            </w:r>
          </w:p>
        </w:tc>
        <w:tc>
          <w:tcPr>
            <w:tcW w:w="1339" w:type="dxa"/>
            <w:gridSpan w:val="2"/>
            <w:tcBorders>
              <w:top w:val="nil"/>
              <w:left w:val="nil"/>
              <w:bottom w:val="nil"/>
              <w:right w:val="nil"/>
            </w:tcBorders>
            <w:shd w:val="clear" w:color="auto" w:fill="auto"/>
            <w:noWrap/>
            <w:vAlign w:val="bottom"/>
            <w:hideMark/>
          </w:tcPr>
          <w:p w:rsidR="00B6118D" w:rsidRPr="00A21238" w:rsidRDefault="00B6118D" w:rsidP="00B6118D">
            <w:pPr>
              <w:rPr>
                <w:rFonts w:asciiTheme="minorHAnsi" w:hAnsiTheme="minorHAnsi" w:cstheme="minorHAnsi"/>
                <w:sz w:val="20"/>
                <w:szCs w:val="20"/>
              </w:rPr>
            </w:pPr>
          </w:p>
        </w:tc>
      </w:tr>
      <w:tr w:rsidR="00B6118D" w:rsidRPr="00A21238" w:rsidTr="005E32CB">
        <w:trPr>
          <w:gridAfter w:val="2"/>
          <w:wAfter w:w="2160" w:type="dxa"/>
          <w:trHeight w:val="530"/>
        </w:trPr>
        <w:tc>
          <w:tcPr>
            <w:tcW w:w="2175" w:type="dxa"/>
            <w:vMerge/>
            <w:tcBorders>
              <w:top w:val="single" w:sz="4" w:space="0" w:color="auto"/>
              <w:left w:val="single" w:sz="4" w:space="0" w:color="auto"/>
              <w:bottom w:val="single" w:sz="4" w:space="0" w:color="auto"/>
              <w:right w:val="single" w:sz="4" w:space="0" w:color="auto"/>
            </w:tcBorders>
            <w:vAlign w:val="center"/>
            <w:hideMark/>
          </w:tcPr>
          <w:p w:rsidR="00B6118D" w:rsidRPr="00A21238" w:rsidRDefault="00B6118D" w:rsidP="00B6118D">
            <w:pPr>
              <w:rPr>
                <w:rFonts w:asciiTheme="minorHAnsi" w:hAnsiTheme="minorHAnsi" w:cstheme="minorHAnsi"/>
                <w:b/>
                <w:bCs/>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rsidR="00B6118D" w:rsidRPr="00A21238" w:rsidRDefault="00B83BDB" w:rsidP="00B6118D">
            <w:pPr>
              <w:rPr>
                <w:rFonts w:asciiTheme="minorHAnsi" w:hAnsiTheme="minorHAnsi" w:cstheme="minorHAnsi"/>
                <w:b/>
                <w:bCs/>
                <w:sz w:val="20"/>
                <w:szCs w:val="20"/>
              </w:rPr>
            </w:pPr>
            <w:r w:rsidRPr="00B83BDB">
              <w:rPr>
                <w:rFonts w:asciiTheme="minorHAnsi" w:hAnsiTheme="minorHAnsi" w:cstheme="minorHAnsi"/>
                <w:b/>
                <w:bCs/>
                <w:i/>
                <w:sz w:val="20"/>
                <w:szCs w:val="20"/>
              </w:rPr>
              <w:t>EGFR</w:t>
            </w:r>
            <w:r>
              <w:rPr>
                <w:rFonts w:asciiTheme="minorHAnsi" w:hAnsiTheme="minorHAnsi" w:cstheme="minorHAnsi"/>
                <w:b/>
                <w:bCs/>
                <w:sz w:val="20"/>
                <w:szCs w:val="20"/>
              </w:rPr>
              <w:t xml:space="preserve"> </w:t>
            </w:r>
            <w:r w:rsidR="00EB03FC" w:rsidRPr="00A21238">
              <w:rPr>
                <w:rFonts w:asciiTheme="minorHAnsi" w:hAnsiTheme="minorHAnsi" w:cstheme="minorHAnsi"/>
                <w:b/>
                <w:bCs/>
                <w:sz w:val="20"/>
                <w:szCs w:val="20"/>
              </w:rPr>
              <w:t>FISH Positive</w:t>
            </w:r>
            <w:r w:rsidR="00B6118D" w:rsidRPr="00A21238">
              <w:rPr>
                <w:rFonts w:asciiTheme="minorHAnsi" w:hAnsiTheme="minorHAnsi" w:cstheme="minorHAnsi"/>
                <w:b/>
                <w:bCs/>
                <w:sz w:val="20"/>
                <w:szCs w:val="20"/>
              </w:rPr>
              <w:t xml:space="preserve"> (High copy #)</w:t>
            </w:r>
          </w:p>
        </w:tc>
        <w:tc>
          <w:tcPr>
            <w:tcW w:w="1530" w:type="dxa"/>
            <w:tcBorders>
              <w:top w:val="nil"/>
              <w:left w:val="nil"/>
              <w:bottom w:val="single" w:sz="4" w:space="0" w:color="auto"/>
              <w:right w:val="single" w:sz="4" w:space="0" w:color="auto"/>
            </w:tcBorders>
            <w:shd w:val="clear" w:color="auto" w:fill="auto"/>
            <w:noWrap/>
            <w:vAlign w:val="bottom"/>
            <w:hideMark/>
          </w:tcPr>
          <w:p w:rsidR="00EB03FC" w:rsidRPr="00A21238" w:rsidRDefault="00B83BDB" w:rsidP="00B6118D">
            <w:pPr>
              <w:rPr>
                <w:rFonts w:asciiTheme="minorHAnsi" w:hAnsiTheme="minorHAnsi" w:cstheme="minorHAnsi"/>
                <w:b/>
                <w:bCs/>
                <w:sz w:val="20"/>
                <w:szCs w:val="20"/>
              </w:rPr>
            </w:pPr>
            <w:r w:rsidRPr="00B83BDB">
              <w:rPr>
                <w:rFonts w:asciiTheme="minorHAnsi" w:hAnsiTheme="minorHAnsi" w:cstheme="minorHAnsi"/>
                <w:b/>
                <w:bCs/>
                <w:i/>
                <w:sz w:val="20"/>
                <w:szCs w:val="20"/>
              </w:rPr>
              <w:t>EGFR</w:t>
            </w:r>
            <w:r>
              <w:rPr>
                <w:rFonts w:asciiTheme="minorHAnsi" w:hAnsiTheme="minorHAnsi" w:cstheme="minorHAnsi"/>
                <w:b/>
                <w:bCs/>
                <w:sz w:val="20"/>
                <w:szCs w:val="20"/>
              </w:rPr>
              <w:t xml:space="preserve"> </w:t>
            </w:r>
            <w:r w:rsidR="00EB03FC" w:rsidRPr="00A21238">
              <w:rPr>
                <w:rFonts w:asciiTheme="minorHAnsi" w:hAnsiTheme="minorHAnsi" w:cstheme="minorHAnsi"/>
                <w:b/>
                <w:bCs/>
                <w:sz w:val="20"/>
                <w:szCs w:val="20"/>
              </w:rPr>
              <w:t>FISH Negative</w:t>
            </w:r>
          </w:p>
          <w:p w:rsidR="00B6118D" w:rsidRPr="00A21238" w:rsidRDefault="00B6118D" w:rsidP="00B6118D">
            <w:pPr>
              <w:rPr>
                <w:rFonts w:asciiTheme="minorHAnsi" w:hAnsiTheme="minorHAnsi" w:cstheme="minorHAnsi"/>
                <w:b/>
                <w:bCs/>
                <w:sz w:val="20"/>
                <w:szCs w:val="20"/>
              </w:rPr>
            </w:pPr>
            <w:r w:rsidRPr="00A21238">
              <w:rPr>
                <w:rFonts w:asciiTheme="minorHAnsi" w:hAnsiTheme="minorHAnsi" w:cstheme="minorHAnsi"/>
                <w:b/>
                <w:bCs/>
                <w:sz w:val="20"/>
                <w:szCs w:val="20"/>
              </w:rPr>
              <w:t>(Low copy #)</w:t>
            </w:r>
          </w:p>
        </w:tc>
        <w:tc>
          <w:tcPr>
            <w:tcW w:w="1473" w:type="dxa"/>
            <w:gridSpan w:val="2"/>
            <w:vMerge/>
            <w:tcBorders>
              <w:top w:val="single" w:sz="4" w:space="0" w:color="auto"/>
              <w:left w:val="single" w:sz="4" w:space="0" w:color="auto"/>
              <w:bottom w:val="single" w:sz="4" w:space="0" w:color="auto"/>
              <w:right w:val="single" w:sz="4" w:space="0" w:color="auto"/>
            </w:tcBorders>
            <w:vAlign w:val="center"/>
            <w:hideMark/>
          </w:tcPr>
          <w:p w:rsidR="00B6118D" w:rsidRPr="00A21238" w:rsidRDefault="00B6118D" w:rsidP="00B6118D">
            <w:pPr>
              <w:rPr>
                <w:rFonts w:asciiTheme="minorHAnsi" w:hAnsiTheme="minorHAnsi" w:cstheme="minorHAnsi"/>
                <w:b/>
                <w:bCs/>
                <w:sz w:val="20"/>
                <w:szCs w:val="20"/>
              </w:rPr>
            </w:pPr>
          </w:p>
        </w:tc>
        <w:tc>
          <w:tcPr>
            <w:tcW w:w="1890" w:type="dxa"/>
            <w:gridSpan w:val="3"/>
            <w:vMerge/>
            <w:tcBorders>
              <w:top w:val="single" w:sz="4" w:space="0" w:color="auto"/>
              <w:left w:val="single" w:sz="4" w:space="0" w:color="auto"/>
              <w:bottom w:val="single" w:sz="4" w:space="0" w:color="000000"/>
              <w:right w:val="single" w:sz="4" w:space="0" w:color="auto"/>
            </w:tcBorders>
            <w:vAlign w:val="center"/>
            <w:hideMark/>
          </w:tcPr>
          <w:p w:rsidR="00B6118D" w:rsidRPr="00A21238" w:rsidRDefault="00B6118D" w:rsidP="00B6118D">
            <w:pPr>
              <w:rPr>
                <w:rFonts w:asciiTheme="minorHAnsi" w:hAnsiTheme="minorHAnsi" w:cstheme="minorHAnsi"/>
                <w:b/>
                <w:bCs/>
                <w:sz w:val="20"/>
                <w:szCs w:val="20"/>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18D" w:rsidRPr="00A21238" w:rsidRDefault="00DC01F2" w:rsidP="00B6118D">
            <w:pPr>
              <w:rPr>
                <w:rFonts w:asciiTheme="minorHAnsi" w:hAnsiTheme="minorHAnsi" w:cstheme="minorHAnsi"/>
                <w:b/>
                <w:bCs/>
                <w:sz w:val="20"/>
                <w:szCs w:val="20"/>
              </w:rPr>
            </w:pPr>
            <w:r w:rsidRPr="00A21238">
              <w:rPr>
                <w:rFonts w:asciiTheme="minorHAnsi" w:hAnsiTheme="minorHAnsi" w:cstheme="minorHAnsi"/>
                <w:b/>
                <w:bCs/>
                <w:i/>
                <w:sz w:val="20"/>
                <w:szCs w:val="20"/>
              </w:rPr>
              <w:t>P</w:t>
            </w:r>
            <w:r w:rsidR="00B6118D" w:rsidRPr="00A21238">
              <w:rPr>
                <w:rFonts w:asciiTheme="minorHAnsi" w:hAnsiTheme="minorHAnsi" w:cstheme="minorHAnsi"/>
                <w:b/>
                <w:bCs/>
                <w:sz w:val="20"/>
                <w:szCs w:val="20"/>
              </w:rPr>
              <w:t>-value</w:t>
            </w:r>
          </w:p>
        </w:tc>
      </w:tr>
      <w:tr w:rsidR="00B6118D" w:rsidRPr="00A21238" w:rsidTr="005E32CB">
        <w:trPr>
          <w:gridAfter w:val="2"/>
          <w:wAfter w:w="2160" w:type="dxa"/>
          <w:trHeight w:val="27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B6118D" w:rsidRPr="00A21238" w:rsidRDefault="00B6118D" w:rsidP="0002496E">
            <w:pPr>
              <w:rPr>
                <w:rFonts w:asciiTheme="minorHAnsi" w:hAnsiTheme="minorHAnsi" w:cstheme="minorHAnsi"/>
                <w:sz w:val="20"/>
                <w:szCs w:val="20"/>
              </w:rPr>
            </w:pPr>
            <w:r w:rsidRPr="00A21238">
              <w:rPr>
                <w:rFonts w:asciiTheme="minorHAnsi" w:hAnsiTheme="minorHAnsi" w:cstheme="minorHAnsi"/>
                <w:sz w:val="20"/>
                <w:szCs w:val="20"/>
              </w:rPr>
              <w:t>Response rate (%)</w:t>
            </w:r>
            <w:r w:rsidR="0002496E" w:rsidRPr="0002496E">
              <w:rPr>
                <w:rFonts w:asciiTheme="minorHAnsi" w:hAnsiTheme="minorHAnsi" w:cstheme="minorHAnsi"/>
                <w:noProof/>
                <w:sz w:val="20"/>
                <w:szCs w:val="20"/>
                <w:vertAlign w:val="superscript"/>
              </w:rPr>
              <w:t>20, 54, 71, 75, 78, 86, 119-123</w:t>
            </w:r>
          </w:p>
        </w:tc>
        <w:tc>
          <w:tcPr>
            <w:tcW w:w="1440" w:type="dxa"/>
            <w:tcBorders>
              <w:top w:val="nil"/>
              <w:left w:val="nil"/>
              <w:bottom w:val="single" w:sz="4" w:space="0" w:color="auto"/>
              <w:right w:val="single" w:sz="4" w:space="0" w:color="auto"/>
            </w:tcBorders>
            <w:shd w:val="clear" w:color="auto" w:fill="auto"/>
            <w:noWrap/>
            <w:vAlign w:val="bottom"/>
            <w:hideMark/>
          </w:tcPr>
          <w:p w:rsidR="00B6118D" w:rsidRPr="00A21238" w:rsidRDefault="00F22484" w:rsidP="00EB03FC">
            <w:pPr>
              <w:jc w:val="center"/>
              <w:rPr>
                <w:rFonts w:asciiTheme="minorHAnsi" w:hAnsiTheme="minorHAnsi" w:cstheme="minorHAnsi"/>
                <w:sz w:val="20"/>
                <w:szCs w:val="20"/>
              </w:rPr>
            </w:pPr>
            <w:r>
              <w:rPr>
                <w:rFonts w:asciiTheme="minorHAnsi" w:hAnsiTheme="minorHAnsi" w:cstheme="minorHAnsi"/>
                <w:sz w:val="20"/>
                <w:szCs w:val="20"/>
              </w:rPr>
              <w:t>30</w:t>
            </w:r>
            <w:r w:rsidR="00B6118D" w:rsidRPr="00A21238">
              <w:rPr>
                <w:rFonts w:asciiTheme="minorHAnsi" w:hAnsiTheme="minorHAnsi" w:cstheme="minorHAnsi"/>
                <w:sz w:val="20"/>
                <w:szCs w:val="20"/>
              </w:rPr>
              <w:t>%</w:t>
            </w:r>
          </w:p>
        </w:tc>
        <w:tc>
          <w:tcPr>
            <w:tcW w:w="1530" w:type="dxa"/>
            <w:tcBorders>
              <w:top w:val="nil"/>
              <w:left w:val="nil"/>
              <w:bottom w:val="single" w:sz="4" w:space="0" w:color="auto"/>
              <w:right w:val="single" w:sz="4" w:space="0" w:color="auto"/>
            </w:tcBorders>
            <w:shd w:val="clear" w:color="auto" w:fill="auto"/>
            <w:noWrap/>
            <w:vAlign w:val="bottom"/>
            <w:hideMark/>
          </w:tcPr>
          <w:p w:rsidR="00B6118D" w:rsidRPr="00A21238" w:rsidRDefault="00F22484" w:rsidP="00EB03FC">
            <w:pPr>
              <w:jc w:val="center"/>
              <w:rPr>
                <w:rFonts w:asciiTheme="minorHAnsi" w:hAnsiTheme="minorHAnsi" w:cstheme="minorHAnsi"/>
                <w:sz w:val="20"/>
                <w:szCs w:val="20"/>
              </w:rPr>
            </w:pPr>
            <w:r>
              <w:rPr>
                <w:rFonts w:asciiTheme="minorHAnsi" w:hAnsiTheme="minorHAnsi" w:cstheme="minorHAnsi"/>
                <w:sz w:val="20"/>
                <w:szCs w:val="20"/>
              </w:rPr>
              <w:t>9</w:t>
            </w:r>
            <w:r w:rsidR="00B6118D" w:rsidRPr="00A21238">
              <w:rPr>
                <w:rFonts w:asciiTheme="minorHAnsi" w:hAnsiTheme="minorHAnsi" w:cstheme="minorHAnsi"/>
                <w:sz w:val="20"/>
                <w:szCs w:val="20"/>
              </w:rPr>
              <w:t>%</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B6118D" w:rsidRPr="00A21238" w:rsidRDefault="00F22484" w:rsidP="00EB03FC">
            <w:pPr>
              <w:jc w:val="center"/>
              <w:rPr>
                <w:rFonts w:asciiTheme="minorHAnsi" w:hAnsiTheme="minorHAnsi" w:cstheme="minorHAnsi"/>
                <w:sz w:val="20"/>
                <w:szCs w:val="20"/>
              </w:rPr>
            </w:pPr>
            <w:r>
              <w:rPr>
                <w:rFonts w:asciiTheme="minorHAnsi" w:hAnsiTheme="minorHAnsi" w:cstheme="minorHAnsi"/>
                <w:sz w:val="20"/>
                <w:szCs w:val="20"/>
              </w:rPr>
              <w:t>11(861)</w:t>
            </w:r>
          </w:p>
        </w:tc>
        <w:tc>
          <w:tcPr>
            <w:tcW w:w="1890" w:type="dxa"/>
            <w:gridSpan w:val="3"/>
            <w:tcBorders>
              <w:top w:val="nil"/>
              <w:left w:val="nil"/>
              <w:bottom w:val="single" w:sz="4" w:space="0" w:color="auto"/>
              <w:right w:val="single" w:sz="4" w:space="0" w:color="auto"/>
            </w:tcBorders>
            <w:shd w:val="clear" w:color="auto" w:fill="auto"/>
            <w:noWrap/>
            <w:vAlign w:val="bottom"/>
            <w:hideMark/>
          </w:tcPr>
          <w:p w:rsidR="00B6118D" w:rsidRPr="00A21238" w:rsidRDefault="00F22484" w:rsidP="00EB03FC">
            <w:pPr>
              <w:jc w:val="center"/>
              <w:rPr>
                <w:rFonts w:asciiTheme="minorHAnsi" w:hAnsiTheme="minorHAnsi" w:cstheme="minorHAnsi"/>
                <w:bCs/>
                <w:sz w:val="20"/>
                <w:szCs w:val="20"/>
              </w:rPr>
            </w:pPr>
            <w:r>
              <w:rPr>
                <w:rFonts w:asciiTheme="minorHAnsi" w:hAnsiTheme="minorHAnsi" w:cstheme="minorHAnsi"/>
                <w:bCs/>
                <w:sz w:val="20"/>
                <w:szCs w:val="20"/>
              </w:rPr>
              <w:t>2.69 [1.86, 3.90]</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B6118D" w:rsidRPr="00A21238" w:rsidRDefault="00DC01F2" w:rsidP="00EB03FC">
            <w:pPr>
              <w:jc w:val="center"/>
              <w:rPr>
                <w:rFonts w:asciiTheme="minorHAnsi" w:hAnsiTheme="minorHAnsi" w:cstheme="minorHAnsi"/>
                <w:b/>
                <w:bCs/>
                <w:sz w:val="20"/>
                <w:szCs w:val="20"/>
              </w:rPr>
            </w:pPr>
            <w:r w:rsidRPr="00A21238">
              <w:rPr>
                <w:rFonts w:asciiTheme="minorHAnsi" w:hAnsiTheme="minorHAnsi" w:cstheme="minorHAnsi"/>
                <w:b/>
                <w:bCs/>
                <w:i/>
                <w:sz w:val="20"/>
                <w:szCs w:val="20"/>
              </w:rPr>
              <w:t>P</w:t>
            </w:r>
            <w:r w:rsidRPr="00A21238">
              <w:rPr>
                <w:rFonts w:asciiTheme="minorHAnsi" w:hAnsiTheme="minorHAnsi" w:cstheme="minorHAnsi"/>
                <w:b/>
                <w:bCs/>
                <w:sz w:val="20"/>
                <w:szCs w:val="20"/>
              </w:rPr>
              <w:t>&lt;.001</w:t>
            </w:r>
          </w:p>
        </w:tc>
      </w:tr>
      <w:tr w:rsidR="00B6118D" w:rsidRPr="00A21238" w:rsidTr="005E32CB">
        <w:trPr>
          <w:gridAfter w:val="2"/>
          <w:wAfter w:w="2160" w:type="dxa"/>
          <w:trHeight w:val="27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B6118D" w:rsidRPr="00A21238" w:rsidRDefault="00B6118D" w:rsidP="0002496E">
            <w:pPr>
              <w:rPr>
                <w:rFonts w:asciiTheme="minorHAnsi" w:hAnsiTheme="minorHAnsi" w:cstheme="minorHAnsi"/>
                <w:sz w:val="20"/>
                <w:szCs w:val="20"/>
              </w:rPr>
            </w:pPr>
            <w:r w:rsidRPr="00A21238">
              <w:rPr>
                <w:rFonts w:asciiTheme="minorHAnsi" w:hAnsiTheme="minorHAnsi" w:cstheme="minorHAnsi"/>
                <w:sz w:val="20"/>
                <w:szCs w:val="20"/>
              </w:rPr>
              <w:t>Disease control rate (%)</w:t>
            </w:r>
            <w:r w:rsidR="0002496E" w:rsidRPr="0002496E">
              <w:rPr>
                <w:rFonts w:asciiTheme="minorHAnsi" w:hAnsiTheme="minorHAnsi" w:cstheme="minorHAnsi"/>
                <w:noProof/>
                <w:sz w:val="20"/>
                <w:szCs w:val="20"/>
                <w:vertAlign w:val="superscript"/>
              </w:rPr>
              <w:t>20, 54, 78, 89, 120</w:t>
            </w:r>
          </w:p>
        </w:tc>
        <w:tc>
          <w:tcPr>
            <w:tcW w:w="1440" w:type="dxa"/>
            <w:tcBorders>
              <w:top w:val="nil"/>
              <w:left w:val="nil"/>
              <w:bottom w:val="single" w:sz="4" w:space="0" w:color="auto"/>
              <w:right w:val="single" w:sz="4" w:space="0" w:color="auto"/>
            </w:tcBorders>
            <w:shd w:val="clear" w:color="auto" w:fill="auto"/>
            <w:noWrap/>
            <w:vAlign w:val="bottom"/>
            <w:hideMark/>
          </w:tcPr>
          <w:p w:rsidR="00B6118D" w:rsidRPr="00A21238" w:rsidRDefault="00F22484" w:rsidP="00EB03FC">
            <w:pPr>
              <w:jc w:val="center"/>
              <w:rPr>
                <w:rFonts w:asciiTheme="minorHAnsi" w:hAnsiTheme="minorHAnsi" w:cstheme="minorHAnsi"/>
                <w:sz w:val="20"/>
                <w:szCs w:val="20"/>
              </w:rPr>
            </w:pPr>
            <w:r>
              <w:rPr>
                <w:rFonts w:asciiTheme="minorHAnsi" w:hAnsiTheme="minorHAnsi" w:cstheme="minorHAnsi"/>
                <w:sz w:val="20"/>
                <w:szCs w:val="20"/>
              </w:rPr>
              <w:t>47</w:t>
            </w:r>
            <w:r w:rsidR="00B6118D" w:rsidRPr="00A21238">
              <w:rPr>
                <w:rFonts w:asciiTheme="minorHAnsi" w:hAnsiTheme="minorHAnsi" w:cstheme="minorHAnsi"/>
                <w:sz w:val="20"/>
                <w:szCs w:val="20"/>
              </w:rPr>
              <w:t>%</w:t>
            </w:r>
          </w:p>
        </w:tc>
        <w:tc>
          <w:tcPr>
            <w:tcW w:w="1530" w:type="dxa"/>
            <w:tcBorders>
              <w:top w:val="nil"/>
              <w:left w:val="nil"/>
              <w:bottom w:val="single" w:sz="4" w:space="0" w:color="auto"/>
              <w:right w:val="single" w:sz="4" w:space="0" w:color="auto"/>
            </w:tcBorders>
            <w:shd w:val="clear" w:color="auto" w:fill="auto"/>
            <w:noWrap/>
            <w:vAlign w:val="bottom"/>
            <w:hideMark/>
          </w:tcPr>
          <w:p w:rsidR="00B6118D" w:rsidRPr="00A21238" w:rsidRDefault="00F22484" w:rsidP="00EB03FC">
            <w:pPr>
              <w:jc w:val="center"/>
              <w:rPr>
                <w:rFonts w:asciiTheme="minorHAnsi" w:hAnsiTheme="minorHAnsi" w:cstheme="minorHAnsi"/>
                <w:sz w:val="20"/>
                <w:szCs w:val="20"/>
              </w:rPr>
            </w:pPr>
            <w:r>
              <w:rPr>
                <w:rFonts w:asciiTheme="minorHAnsi" w:hAnsiTheme="minorHAnsi" w:cstheme="minorHAnsi"/>
                <w:sz w:val="20"/>
                <w:szCs w:val="20"/>
              </w:rPr>
              <w:t>24</w:t>
            </w:r>
            <w:r w:rsidR="00B6118D" w:rsidRPr="00A21238">
              <w:rPr>
                <w:rFonts w:asciiTheme="minorHAnsi" w:hAnsiTheme="minorHAnsi" w:cstheme="minorHAnsi"/>
                <w:sz w:val="20"/>
                <w:szCs w:val="20"/>
              </w:rPr>
              <w:t>%</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B6118D" w:rsidRPr="00A21238" w:rsidRDefault="00F22484" w:rsidP="00EB03FC">
            <w:pPr>
              <w:jc w:val="center"/>
              <w:rPr>
                <w:rFonts w:asciiTheme="minorHAnsi" w:hAnsiTheme="minorHAnsi" w:cstheme="minorHAnsi"/>
                <w:sz w:val="20"/>
                <w:szCs w:val="20"/>
              </w:rPr>
            </w:pPr>
            <w:r>
              <w:rPr>
                <w:rFonts w:asciiTheme="minorHAnsi" w:hAnsiTheme="minorHAnsi" w:cstheme="minorHAnsi"/>
                <w:sz w:val="20"/>
                <w:szCs w:val="20"/>
              </w:rPr>
              <w:t>5(438)</w:t>
            </w:r>
          </w:p>
        </w:tc>
        <w:tc>
          <w:tcPr>
            <w:tcW w:w="1890" w:type="dxa"/>
            <w:gridSpan w:val="3"/>
            <w:tcBorders>
              <w:top w:val="nil"/>
              <w:left w:val="nil"/>
              <w:bottom w:val="single" w:sz="4" w:space="0" w:color="auto"/>
              <w:right w:val="single" w:sz="4" w:space="0" w:color="auto"/>
            </w:tcBorders>
            <w:shd w:val="clear" w:color="auto" w:fill="auto"/>
            <w:noWrap/>
            <w:vAlign w:val="bottom"/>
            <w:hideMark/>
          </w:tcPr>
          <w:p w:rsidR="00B6118D" w:rsidRPr="00A21238" w:rsidRDefault="00F22484" w:rsidP="00EB03FC">
            <w:pPr>
              <w:jc w:val="center"/>
              <w:rPr>
                <w:rFonts w:asciiTheme="minorHAnsi" w:hAnsiTheme="minorHAnsi" w:cstheme="minorHAnsi"/>
                <w:bCs/>
                <w:sz w:val="20"/>
                <w:szCs w:val="20"/>
              </w:rPr>
            </w:pPr>
            <w:r>
              <w:rPr>
                <w:rFonts w:asciiTheme="minorHAnsi" w:hAnsiTheme="minorHAnsi" w:cstheme="minorHAnsi"/>
                <w:bCs/>
                <w:sz w:val="20"/>
                <w:szCs w:val="20"/>
              </w:rPr>
              <w:t>2.09 [1.63, 2.69]</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B6118D" w:rsidRPr="00A21238" w:rsidRDefault="00DC01F2" w:rsidP="00EB03FC">
            <w:pPr>
              <w:jc w:val="center"/>
              <w:rPr>
                <w:rFonts w:asciiTheme="minorHAnsi" w:hAnsiTheme="minorHAnsi" w:cstheme="minorHAnsi"/>
                <w:b/>
                <w:bCs/>
                <w:sz w:val="20"/>
                <w:szCs w:val="20"/>
              </w:rPr>
            </w:pPr>
            <w:r w:rsidRPr="00A21238">
              <w:rPr>
                <w:rFonts w:asciiTheme="minorHAnsi" w:hAnsiTheme="minorHAnsi" w:cstheme="minorHAnsi"/>
                <w:b/>
                <w:bCs/>
                <w:i/>
                <w:sz w:val="20"/>
                <w:szCs w:val="20"/>
              </w:rPr>
              <w:t>P</w:t>
            </w:r>
            <w:r w:rsidRPr="00A21238">
              <w:rPr>
                <w:rFonts w:asciiTheme="minorHAnsi" w:hAnsiTheme="minorHAnsi" w:cstheme="minorHAnsi"/>
                <w:b/>
                <w:bCs/>
                <w:sz w:val="20"/>
                <w:szCs w:val="20"/>
              </w:rPr>
              <w:t>&lt;.001</w:t>
            </w:r>
          </w:p>
        </w:tc>
      </w:tr>
      <w:tr w:rsidR="00B6118D" w:rsidRPr="00A21238" w:rsidTr="005E32CB">
        <w:trPr>
          <w:gridAfter w:val="2"/>
          <w:wAfter w:w="2160" w:type="dxa"/>
          <w:trHeight w:val="27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B6118D" w:rsidRPr="00A21238" w:rsidRDefault="009223C6" w:rsidP="0002496E">
            <w:pPr>
              <w:rPr>
                <w:rFonts w:asciiTheme="minorHAnsi" w:hAnsiTheme="minorHAnsi" w:cstheme="minorHAnsi"/>
                <w:sz w:val="20"/>
                <w:szCs w:val="20"/>
              </w:rPr>
            </w:pPr>
            <w:r w:rsidRPr="00A21238">
              <w:rPr>
                <w:rFonts w:asciiTheme="minorHAnsi" w:hAnsiTheme="minorHAnsi" w:cstheme="minorHAnsi"/>
                <w:sz w:val="20"/>
                <w:szCs w:val="20"/>
              </w:rPr>
              <w:t xml:space="preserve">Overall </w:t>
            </w:r>
            <w:r w:rsidR="00B6118D" w:rsidRPr="00A21238">
              <w:rPr>
                <w:rFonts w:asciiTheme="minorHAnsi" w:hAnsiTheme="minorHAnsi" w:cstheme="minorHAnsi"/>
                <w:sz w:val="20"/>
                <w:szCs w:val="20"/>
              </w:rPr>
              <w:t>Survival (%) at 1 year</w:t>
            </w:r>
            <w:r w:rsidR="0002496E" w:rsidRPr="0002496E">
              <w:rPr>
                <w:rFonts w:asciiTheme="minorHAnsi" w:hAnsiTheme="minorHAnsi" w:cstheme="minorHAnsi"/>
                <w:noProof/>
                <w:sz w:val="20"/>
                <w:szCs w:val="20"/>
                <w:vertAlign w:val="superscript"/>
              </w:rPr>
              <w:t>54</w:t>
            </w:r>
          </w:p>
        </w:tc>
        <w:tc>
          <w:tcPr>
            <w:tcW w:w="1440" w:type="dxa"/>
            <w:tcBorders>
              <w:top w:val="nil"/>
              <w:left w:val="nil"/>
              <w:bottom w:val="single" w:sz="4" w:space="0" w:color="auto"/>
              <w:right w:val="single" w:sz="4" w:space="0" w:color="auto"/>
            </w:tcBorders>
            <w:shd w:val="clear" w:color="auto" w:fill="auto"/>
            <w:noWrap/>
            <w:vAlign w:val="bottom"/>
            <w:hideMark/>
          </w:tcPr>
          <w:p w:rsidR="00B6118D" w:rsidRPr="00A21238" w:rsidRDefault="00F22484" w:rsidP="00EB03FC">
            <w:pPr>
              <w:jc w:val="center"/>
              <w:rPr>
                <w:rFonts w:asciiTheme="minorHAnsi" w:hAnsiTheme="minorHAnsi" w:cstheme="minorHAnsi"/>
                <w:sz w:val="20"/>
                <w:szCs w:val="20"/>
              </w:rPr>
            </w:pPr>
            <w:r>
              <w:rPr>
                <w:rFonts w:asciiTheme="minorHAnsi" w:hAnsiTheme="minorHAnsi" w:cstheme="minorHAnsi"/>
                <w:sz w:val="20"/>
                <w:szCs w:val="20"/>
              </w:rPr>
              <w:t>68</w:t>
            </w:r>
            <w:r w:rsidR="00B6118D" w:rsidRPr="00A21238">
              <w:rPr>
                <w:rFonts w:asciiTheme="minorHAnsi" w:hAnsiTheme="minorHAnsi" w:cstheme="minorHAnsi"/>
                <w:sz w:val="20"/>
                <w:szCs w:val="20"/>
              </w:rPr>
              <w:t>%</w:t>
            </w:r>
          </w:p>
        </w:tc>
        <w:tc>
          <w:tcPr>
            <w:tcW w:w="1530" w:type="dxa"/>
            <w:tcBorders>
              <w:top w:val="nil"/>
              <w:left w:val="nil"/>
              <w:bottom w:val="single" w:sz="4" w:space="0" w:color="auto"/>
              <w:right w:val="single" w:sz="4" w:space="0" w:color="auto"/>
            </w:tcBorders>
            <w:shd w:val="clear" w:color="auto" w:fill="auto"/>
            <w:noWrap/>
            <w:vAlign w:val="bottom"/>
            <w:hideMark/>
          </w:tcPr>
          <w:p w:rsidR="00B6118D" w:rsidRPr="00A21238" w:rsidRDefault="00F22484" w:rsidP="00EB03FC">
            <w:pPr>
              <w:jc w:val="center"/>
              <w:rPr>
                <w:rFonts w:asciiTheme="minorHAnsi" w:hAnsiTheme="minorHAnsi" w:cstheme="minorHAnsi"/>
                <w:sz w:val="20"/>
                <w:szCs w:val="20"/>
              </w:rPr>
            </w:pPr>
            <w:r>
              <w:rPr>
                <w:rFonts w:asciiTheme="minorHAnsi" w:hAnsiTheme="minorHAnsi" w:cstheme="minorHAnsi"/>
                <w:sz w:val="20"/>
                <w:szCs w:val="20"/>
              </w:rPr>
              <w:t>37</w:t>
            </w:r>
            <w:r w:rsidR="00B6118D" w:rsidRPr="00A21238">
              <w:rPr>
                <w:rFonts w:asciiTheme="minorHAnsi" w:hAnsiTheme="minorHAnsi" w:cstheme="minorHAnsi"/>
                <w:sz w:val="20"/>
                <w:szCs w:val="20"/>
              </w:rPr>
              <w:t>%</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B6118D" w:rsidRPr="00A21238" w:rsidRDefault="00F22484" w:rsidP="00EB03FC">
            <w:pPr>
              <w:jc w:val="center"/>
              <w:rPr>
                <w:rFonts w:asciiTheme="minorHAnsi" w:hAnsiTheme="minorHAnsi" w:cstheme="minorHAnsi"/>
                <w:sz w:val="20"/>
                <w:szCs w:val="20"/>
              </w:rPr>
            </w:pPr>
            <w:r>
              <w:rPr>
                <w:rFonts w:asciiTheme="minorHAnsi" w:hAnsiTheme="minorHAnsi" w:cstheme="minorHAnsi"/>
                <w:sz w:val="20"/>
                <w:szCs w:val="20"/>
              </w:rPr>
              <w:t>1(183)</w:t>
            </w:r>
          </w:p>
        </w:tc>
        <w:tc>
          <w:tcPr>
            <w:tcW w:w="1890" w:type="dxa"/>
            <w:gridSpan w:val="3"/>
            <w:tcBorders>
              <w:top w:val="nil"/>
              <w:left w:val="nil"/>
              <w:bottom w:val="single" w:sz="4" w:space="0" w:color="auto"/>
              <w:right w:val="single" w:sz="4" w:space="0" w:color="auto"/>
            </w:tcBorders>
            <w:shd w:val="clear" w:color="auto" w:fill="auto"/>
            <w:noWrap/>
            <w:vAlign w:val="bottom"/>
            <w:hideMark/>
          </w:tcPr>
          <w:p w:rsidR="00B6118D" w:rsidRPr="00A21238" w:rsidRDefault="00F22484" w:rsidP="00EB03FC">
            <w:pPr>
              <w:jc w:val="center"/>
              <w:rPr>
                <w:rFonts w:asciiTheme="minorHAnsi" w:hAnsiTheme="minorHAnsi" w:cstheme="minorHAnsi"/>
                <w:bCs/>
                <w:sz w:val="20"/>
                <w:szCs w:val="20"/>
              </w:rPr>
            </w:pPr>
            <w:r>
              <w:rPr>
                <w:rFonts w:asciiTheme="minorHAnsi" w:hAnsiTheme="minorHAnsi" w:cstheme="minorHAnsi"/>
                <w:bCs/>
                <w:sz w:val="20"/>
                <w:szCs w:val="20"/>
              </w:rPr>
              <w:t>1.83 [1.37, 2.44]</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B6118D" w:rsidRPr="00A21238" w:rsidRDefault="00DC01F2" w:rsidP="00EB03FC">
            <w:pPr>
              <w:jc w:val="center"/>
              <w:rPr>
                <w:rFonts w:asciiTheme="minorHAnsi" w:hAnsiTheme="minorHAnsi" w:cstheme="minorHAnsi"/>
                <w:b/>
                <w:bCs/>
                <w:sz w:val="20"/>
                <w:szCs w:val="20"/>
              </w:rPr>
            </w:pPr>
            <w:r w:rsidRPr="00A21238">
              <w:rPr>
                <w:rFonts w:asciiTheme="minorHAnsi" w:hAnsiTheme="minorHAnsi" w:cstheme="minorHAnsi"/>
                <w:b/>
                <w:bCs/>
                <w:i/>
                <w:sz w:val="20"/>
                <w:szCs w:val="20"/>
              </w:rPr>
              <w:t>P</w:t>
            </w:r>
            <w:r w:rsidRPr="00A21238">
              <w:rPr>
                <w:rFonts w:asciiTheme="minorHAnsi" w:hAnsiTheme="minorHAnsi" w:cstheme="minorHAnsi"/>
                <w:b/>
                <w:bCs/>
                <w:sz w:val="20"/>
                <w:szCs w:val="20"/>
              </w:rPr>
              <w:t>&lt;.001</w:t>
            </w:r>
          </w:p>
        </w:tc>
      </w:tr>
      <w:tr w:rsidR="00B6118D" w:rsidRPr="00A21238" w:rsidTr="005E32CB">
        <w:trPr>
          <w:gridAfter w:val="2"/>
          <w:wAfter w:w="2160" w:type="dxa"/>
          <w:trHeight w:val="270"/>
        </w:trPr>
        <w:tc>
          <w:tcPr>
            <w:tcW w:w="2175" w:type="dxa"/>
            <w:tcBorders>
              <w:top w:val="nil"/>
              <w:left w:val="nil"/>
              <w:bottom w:val="nil"/>
              <w:right w:val="nil"/>
            </w:tcBorders>
            <w:shd w:val="clear" w:color="auto" w:fill="auto"/>
            <w:noWrap/>
            <w:vAlign w:val="bottom"/>
            <w:hideMark/>
          </w:tcPr>
          <w:p w:rsidR="00B6118D" w:rsidRPr="00A21238" w:rsidRDefault="00B6118D" w:rsidP="00B6118D">
            <w:pPr>
              <w:rPr>
                <w:rFonts w:asciiTheme="minorHAnsi" w:hAnsiTheme="minorHAnsi" w:cstheme="minorHAnsi"/>
                <w:sz w:val="20"/>
                <w:szCs w:val="20"/>
              </w:rPr>
            </w:pPr>
          </w:p>
        </w:tc>
        <w:tc>
          <w:tcPr>
            <w:tcW w:w="1440" w:type="dxa"/>
            <w:tcBorders>
              <w:top w:val="nil"/>
              <w:left w:val="nil"/>
              <w:bottom w:val="nil"/>
              <w:right w:val="nil"/>
            </w:tcBorders>
            <w:shd w:val="clear" w:color="auto" w:fill="auto"/>
            <w:noWrap/>
            <w:vAlign w:val="bottom"/>
            <w:hideMark/>
          </w:tcPr>
          <w:p w:rsidR="00B6118D" w:rsidRPr="00A21238" w:rsidRDefault="00B6118D" w:rsidP="00B6118D">
            <w:pPr>
              <w:rPr>
                <w:rFonts w:asciiTheme="minorHAnsi" w:hAnsiTheme="minorHAnsi" w:cstheme="minorHAnsi"/>
                <w:sz w:val="20"/>
                <w:szCs w:val="20"/>
              </w:rPr>
            </w:pPr>
          </w:p>
        </w:tc>
        <w:tc>
          <w:tcPr>
            <w:tcW w:w="1530" w:type="dxa"/>
            <w:tcBorders>
              <w:top w:val="nil"/>
              <w:left w:val="nil"/>
              <w:bottom w:val="nil"/>
              <w:right w:val="nil"/>
            </w:tcBorders>
            <w:shd w:val="clear" w:color="auto" w:fill="auto"/>
            <w:noWrap/>
            <w:vAlign w:val="bottom"/>
            <w:hideMark/>
          </w:tcPr>
          <w:p w:rsidR="00B6118D" w:rsidRPr="00A21238" w:rsidRDefault="00B6118D" w:rsidP="00B6118D">
            <w:pPr>
              <w:rPr>
                <w:rFonts w:asciiTheme="minorHAnsi" w:hAnsiTheme="minorHAnsi" w:cstheme="minorHAnsi"/>
                <w:sz w:val="20"/>
                <w:szCs w:val="20"/>
              </w:rPr>
            </w:pPr>
          </w:p>
        </w:tc>
        <w:tc>
          <w:tcPr>
            <w:tcW w:w="1473" w:type="dxa"/>
            <w:gridSpan w:val="2"/>
            <w:tcBorders>
              <w:top w:val="nil"/>
              <w:left w:val="nil"/>
              <w:bottom w:val="nil"/>
              <w:right w:val="nil"/>
            </w:tcBorders>
            <w:shd w:val="clear" w:color="auto" w:fill="auto"/>
            <w:noWrap/>
            <w:vAlign w:val="bottom"/>
            <w:hideMark/>
          </w:tcPr>
          <w:p w:rsidR="00B6118D" w:rsidRPr="00A21238" w:rsidRDefault="00B6118D" w:rsidP="00B6118D">
            <w:pPr>
              <w:rPr>
                <w:rFonts w:asciiTheme="minorHAnsi" w:hAnsiTheme="minorHAnsi" w:cstheme="minorHAnsi"/>
                <w:sz w:val="20"/>
                <w:szCs w:val="20"/>
              </w:rPr>
            </w:pPr>
          </w:p>
        </w:tc>
        <w:tc>
          <w:tcPr>
            <w:tcW w:w="1890" w:type="dxa"/>
            <w:gridSpan w:val="3"/>
            <w:tcBorders>
              <w:top w:val="nil"/>
              <w:left w:val="nil"/>
              <w:bottom w:val="nil"/>
              <w:right w:val="nil"/>
            </w:tcBorders>
            <w:shd w:val="clear" w:color="auto" w:fill="auto"/>
            <w:noWrap/>
            <w:vAlign w:val="bottom"/>
            <w:hideMark/>
          </w:tcPr>
          <w:p w:rsidR="00B6118D" w:rsidRPr="00A21238" w:rsidRDefault="00B6118D" w:rsidP="00B6118D">
            <w:pPr>
              <w:rPr>
                <w:rFonts w:asciiTheme="minorHAnsi" w:hAnsiTheme="minorHAnsi" w:cstheme="minorHAnsi"/>
                <w:sz w:val="20"/>
                <w:szCs w:val="20"/>
              </w:rPr>
            </w:pPr>
          </w:p>
        </w:tc>
        <w:tc>
          <w:tcPr>
            <w:tcW w:w="1339" w:type="dxa"/>
            <w:gridSpan w:val="2"/>
            <w:tcBorders>
              <w:top w:val="nil"/>
              <w:left w:val="nil"/>
              <w:bottom w:val="nil"/>
              <w:right w:val="nil"/>
            </w:tcBorders>
            <w:shd w:val="clear" w:color="auto" w:fill="auto"/>
            <w:noWrap/>
            <w:vAlign w:val="bottom"/>
            <w:hideMark/>
          </w:tcPr>
          <w:p w:rsidR="00B6118D" w:rsidRPr="00A21238" w:rsidRDefault="00B6118D" w:rsidP="00B6118D">
            <w:pPr>
              <w:rPr>
                <w:rFonts w:asciiTheme="minorHAnsi" w:hAnsiTheme="minorHAnsi" w:cstheme="minorHAnsi"/>
                <w:sz w:val="20"/>
                <w:szCs w:val="20"/>
              </w:rPr>
            </w:pPr>
          </w:p>
        </w:tc>
      </w:tr>
      <w:tr w:rsidR="00B6118D" w:rsidRPr="00A21238" w:rsidTr="005E32CB">
        <w:trPr>
          <w:gridAfter w:val="2"/>
          <w:wAfter w:w="2160" w:type="dxa"/>
          <w:trHeight w:val="270"/>
        </w:trPr>
        <w:tc>
          <w:tcPr>
            <w:tcW w:w="2175" w:type="dxa"/>
            <w:tcBorders>
              <w:top w:val="nil"/>
              <w:left w:val="nil"/>
              <w:bottom w:val="nil"/>
              <w:right w:val="nil"/>
            </w:tcBorders>
            <w:shd w:val="clear" w:color="auto" w:fill="auto"/>
            <w:noWrap/>
            <w:vAlign w:val="bottom"/>
            <w:hideMark/>
          </w:tcPr>
          <w:p w:rsidR="00B6118D" w:rsidRPr="00A21238" w:rsidRDefault="00B6118D" w:rsidP="00B6118D">
            <w:pPr>
              <w:rPr>
                <w:rFonts w:asciiTheme="minorHAnsi" w:hAnsiTheme="minorHAnsi" w:cstheme="minorHAnsi"/>
                <w:sz w:val="20"/>
                <w:szCs w:val="20"/>
              </w:rPr>
            </w:pPr>
          </w:p>
        </w:tc>
        <w:tc>
          <w:tcPr>
            <w:tcW w:w="1440" w:type="dxa"/>
            <w:tcBorders>
              <w:top w:val="nil"/>
              <w:left w:val="nil"/>
              <w:bottom w:val="nil"/>
              <w:right w:val="nil"/>
            </w:tcBorders>
            <w:shd w:val="clear" w:color="auto" w:fill="auto"/>
            <w:noWrap/>
            <w:vAlign w:val="bottom"/>
            <w:hideMark/>
          </w:tcPr>
          <w:p w:rsidR="00B6118D" w:rsidRPr="00A21238" w:rsidRDefault="00B6118D" w:rsidP="00B6118D">
            <w:pPr>
              <w:rPr>
                <w:rFonts w:asciiTheme="minorHAnsi" w:hAnsiTheme="minorHAnsi" w:cstheme="minorHAnsi"/>
                <w:sz w:val="20"/>
                <w:szCs w:val="20"/>
              </w:rPr>
            </w:pPr>
          </w:p>
        </w:tc>
        <w:tc>
          <w:tcPr>
            <w:tcW w:w="1530" w:type="dxa"/>
            <w:tcBorders>
              <w:top w:val="nil"/>
              <w:left w:val="nil"/>
              <w:bottom w:val="nil"/>
              <w:right w:val="nil"/>
            </w:tcBorders>
            <w:shd w:val="clear" w:color="auto" w:fill="auto"/>
            <w:noWrap/>
            <w:vAlign w:val="bottom"/>
            <w:hideMark/>
          </w:tcPr>
          <w:p w:rsidR="00B6118D" w:rsidRPr="00A21238" w:rsidRDefault="00B6118D" w:rsidP="00B6118D">
            <w:pPr>
              <w:rPr>
                <w:rFonts w:asciiTheme="minorHAnsi" w:hAnsiTheme="minorHAnsi" w:cstheme="minorHAnsi"/>
                <w:sz w:val="20"/>
                <w:szCs w:val="20"/>
              </w:rPr>
            </w:pPr>
          </w:p>
        </w:tc>
        <w:tc>
          <w:tcPr>
            <w:tcW w:w="1473" w:type="dxa"/>
            <w:gridSpan w:val="2"/>
            <w:tcBorders>
              <w:top w:val="nil"/>
              <w:left w:val="nil"/>
              <w:bottom w:val="nil"/>
              <w:right w:val="nil"/>
            </w:tcBorders>
            <w:shd w:val="clear" w:color="auto" w:fill="auto"/>
            <w:noWrap/>
            <w:vAlign w:val="bottom"/>
            <w:hideMark/>
          </w:tcPr>
          <w:p w:rsidR="00B6118D" w:rsidRPr="00A21238" w:rsidRDefault="00B6118D" w:rsidP="00B6118D">
            <w:pPr>
              <w:rPr>
                <w:rFonts w:asciiTheme="minorHAnsi" w:hAnsiTheme="minorHAnsi" w:cstheme="minorHAnsi"/>
                <w:sz w:val="20"/>
                <w:szCs w:val="20"/>
              </w:rPr>
            </w:pPr>
          </w:p>
        </w:tc>
        <w:tc>
          <w:tcPr>
            <w:tcW w:w="1890" w:type="dxa"/>
            <w:gridSpan w:val="3"/>
            <w:tcBorders>
              <w:top w:val="nil"/>
              <w:left w:val="nil"/>
              <w:bottom w:val="nil"/>
              <w:right w:val="nil"/>
            </w:tcBorders>
            <w:shd w:val="clear" w:color="auto" w:fill="auto"/>
            <w:noWrap/>
            <w:vAlign w:val="bottom"/>
            <w:hideMark/>
          </w:tcPr>
          <w:p w:rsidR="00B6118D" w:rsidRPr="00A21238" w:rsidRDefault="00B6118D" w:rsidP="00B6118D">
            <w:pPr>
              <w:rPr>
                <w:rFonts w:asciiTheme="minorHAnsi" w:hAnsiTheme="minorHAnsi" w:cstheme="minorHAnsi"/>
                <w:sz w:val="20"/>
                <w:szCs w:val="20"/>
              </w:rPr>
            </w:pPr>
          </w:p>
        </w:tc>
        <w:tc>
          <w:tcPr>
            <w:tcW w:w="1339" w:type="dxa"/>
            <w:gridSpan w:val="2"/>
            <w:tcBorders>
              <w:top w:val="nil"/>
              <w:left w:val="nil"/>
              <w:bottom w:val="nil"/>
              <w:right w:val="nil"/>
            </w:tcBorders>
            <w:shd w:val="clear" w:color="auto" w:fill="auto"/>
            <w:noWrap/>
            <w:vAlign w:val="bottom"/>
            <w:hideMark/>
          </w:tcPr>
          <w:p w:rsidR="00B6118D" w:rsidRPr="00A21238" w:rsidRDefault="00B6118D" w:rsidP="00B6118D">
            <w:pPr>
              <w:rPr>
                <w:rFonts w:asciiTheme="minorHAnsi" w:hAnsiTheme="minorHAnsi" w:cstheme="minorHAnsi"/>
                <w:sz w:val="20"/>
                <w:szCs w:val="20"/>
              </w:rPr>
            </w:pPr>
          </w:p>
        </w:tc>
      </w:tr>
      <w:tr w:rsidR="00B6118D" w:rsidRPr="00A21238" w:rsidTr="005E32CB">
        <w:trPr>
          <w:gridAfter w:val="2"/>
          <w:wAfter w:w="2160" w:type="dxa"/>
          <w:trHeight w:val="270"/>
        </w:trPr>
        <w:tc>
          <w:tcPr>
            <w:tcW w:w="2175" w:type="dxa"/>
            <w:tcBorders>
              <w:top w:val="nil"/>
              <w:left w:val="nil"/>
              <w:bottom w:val="nil"/>
              <w:right w:val="nil"/>
            </w:tcBorders>
            <w:shd w:val="clear" w:color="auto" w:fill="auto"/>
            <w:noWrap/>
            <w:vAlign w:val="bottom"/>
            <w:hideMark/>
          </w:tcPr>
          <w:p w:rsidR="00B6118D" w:rsidRPr="00A21238" w:rsidRDefault="00B6118D" w:rsidP="00B6118D">
            <w:pPr>
              <w:rPr>
                <w:rFonts w:asciiTheme="minorHAnsi" w:hAnsiTheme="minorHAnsi" w:cstheme="minorHAnsi"/>
                <w:sz w:val="20"/>
                <w:szCs w:val="20"/>
              </w:rPr>
            </w:pP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18D" w:rsidRPr="00A21238" w:rsidRDefault="00B6118D" w:rsidP="00B6118D">
            <w:pPr>
              <w:jc w:val="center"/>
              <w:rPr>
                <w:rFonts w:asciiTheme="minorHAnsi" w:hAnsiTheme="minorHAnsi" w:cstheme="minorHAnsi"/>
                <w:b/>
                <w:bCs/>
                <w:sz w:val="20"/>
                <w:szCs w:val="20"/>
              </w:rPr>
            </w:pPr>
            <w:r w:rsidRPr="00A21238">
              <w:rPr>
                <w:rFonts w:asciiTheme="minorHAnsi" w:hAnsiTheme="minorHAnsi" w:cstheme="minorHAnsi"/>
                <w:b/>
                <w:bCs/>
                <w:sz w:val="20"/>
                <w:szCs w:val="20"/>
              </w:rPr>
              <w:t xml:space="preserve">Mean </w:t>
            </w:r>
            <w:r w:rsidRPr="00A21238">
              <w:rPr>
                <w:rFonts w:asciiTheme="minorHAnsi" w:hAnsiTheme="minorHAnsi" w:cstheme="minorHAnsi"/>
                <w:b/>
                <w:bCs/>
                <w:sz w:val="20"/>
                <w:szCs w:val="20"/>
                <w:u w:val="single"/>
              </w:rPr>
              <w:t>+</w:t>
            </w:r>
            <w:r w:rsidRPr="00A21238">
              <w:rPr>
                <w:rFonts w:asciiTheme="minorHAnsi" w:hAnsiTheme="minorHAnsi" w:cstheme="minorHAnsi"/>
                <w:b/>
                <w:bCs/>
                <w:sz w:val="20"/>
                <w:szCs w:val="20"/>
              </w:rPr>
              <w:t xml:space="preserve"> SD</w:t>
            </w:r>
          </w:p>
        </w:tc>
        <w:tc>
          <w:tcPr>
            <w:tcW w:w="147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18D" w:rsidRPr="00A21238" w:rsidRDefault="00B6118D" w:rsidP="00B6118D">
            <w:pPr>
              <w:jc w:val="center"/>
              <w:rPr>
                <w:rFonts w:asciiTheme="minorHAnsi" w:hAnsiTheme="minorHAnsi" w:cstheme="minorHAnsi"/>
                <w:b/>
                <w:bCs/>
                <w:sz w:val="20"/>
                <w:szCs w:val="20"/>
              </w:rPr>
            </w:pPr>
            <w:r w:rsidRPr="00A21238">
              <w:rPr>
                <w:rFonts w:asciiTheme="minorHAnsi" w:hAnsiTheme="minorHAnsi" w:cstheme="minorHAnsi"/>
                <w:b/>
                <w:bCs/>
                <w:sz w:val="20"/>
                <w:szCs w:val="20"/>
              </w:rPr>
              <w:t>n(N)</w:t>
            </w:r>
          </w:p>
        </w:tc>
        <w:tc>
          <w:tcPr>
            <w:tcW w:w="189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6118D" w:rsidRPr="00A21238" w:rsidRDefault="00B83BDB" w:rsidP="00A623F2">
            <w:pPr>
              <w:rPr>
                <w:rFonts w:asciiTheme="minorHAnsi" w:hAnsiTheme="minorHAnsi" w:cstheme="minorHAnsi"/>
                <w:b/>
                <w:bCs/>
                <w:sz w:val="20"/>
                <w:szCs w:val="20"/>
              </w:rPr>
            </w:pPr>
            <w:r w:rsidRPr="00724062">
              <w:rPr>
                <w:rFonts w:ascii="Calibri" w:hAnsi="Calibri" w:cs="Calibri"/>
                <w:b/>
                <w:bCs/>
                <w:color w:val="000000"/>
                <w:sz w:val="20"/>
                <w:szCs w:val="20"/>
              </w:rPr>
              <w:t>Risk Ratio M-H, Random, 95% CI</w:t>
            </w:r>
          </w:p>
        </w:tc>
        <w:tc>
          <w:tcPr>
            <w:tcW w:w="1339" w:type="dxa"/>
            <w:gridSpan w:val="2"/>
            <w:tcBorders>
              <w:top w:val="nil"/>
              <w:left w:val="nil"/>
              <w:bottom w:val="nil"/>
              <w:right w:val="nil"/>
            </w:tcBorders>
            <w:shd w:val="clear" w:color="auto" w:fill="auto"/>
            <w:noWrap/>
            <w:vAlign w:val="bottom"/>
            <w:hideMark/>
          </w:tcPr>
          <w:p w:rsidR="00B6118D" w:rsidRPr="00A21238" w:rsidRDefault="00B6118D" w:rsidP="00B6118D">
            <w:pPr>
              <w:rPr>
                <w:rFonts w:asciiTheme="minorHAnsi" w:hAnsiTheme="minorHAnsi" w:cstheme="minorHAnsi"/>
                <w:sz w:val="20"/>
                <w:szCs w:val="20"/>
              </w:rPr>
            </w:pPr>
          </w:p>
        </w:tc>
      </w:tr>
      <w:tr w:rsidR="00B6118D" w:rsidRPr="00A21238" w:rsidTr="005E32CB">
        <w:trPr>
          <w:gridAfter w:val="2"/>
          <w:wAfter w:w="2160" w:type="dxa"/>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18D" w:rsidRPr="00A21238" w:rsidRDefault="00B6118D" w:rsidP="00B6118D">
            <w:pPr>
              <w:rPr>
                <w:rFonts w:asciiTheme="minorHAnsi" w:hAnsiTheme="minorHAnsi" w:cstheme="minorHAnsi"/>
                <w:b/>
                <w:bCs/>
                <w:sz w:val="20"/>
                <w:szCs w:val="20"/>
              </w:rPr>
            </w:pPr>
            <w:r w:rsidRPr="00A21238">
              <w:rPr>
                <w:rFonts w:asciiTheme="minorHAnsi" w:hAnsiTheme="minorHAnsi" w:cstheme="minorHAnsi"/>
                <w:b/>
                <w:bCs/>
                <w:sz w:val="20"/>
                <w:szCs w:val="20"/>
              </w:rPr>
              <w:t>Outcome</w:t>
            </w:r>
          </w:p>
        </w:tc>
        <w:tc>
          <w:tcPr>
            <w:tcW w:w="1440" w:type="dxa"/>
            <w:tcBorders>
              <w:top w:val="nil"/>
              <w:left w:val="nil"/>
              <w:bottom w:val="single" w:sz="4" w:space="0" w:color="auto"/>
              <w:right w:val="single" w:sz="4" w:space="0" w:color="auto"/>
            </w:tcBorders>
            <w:shd w:val="clear" w:color="auto" w:fill="auto"/>
            <w:noWrap/>
            <w:vAlign w:val="bottom"/>
            <w:hideMark/>
          </w:tcPr>
          <w:p w:rsidR="00B6118D" w:rsidRPr="00A21238" w:rsidRDefault="00B83BDB" w:rsidP="00B6118D">
            <w:pPr>
              <w:rPr>
                <w:rFonts w:asciiTheme="minorHAnsi" w:hAnsiTheme="minorHAnsi" w:cstheme="minorHAnsi"/>
                <w:b/>
                <w:bCs/>
                <w:sz w:val="20"/>
                <w:szCs w:val="20"/>
              </w:rPr>
            </w:pPr>
            <w:r w:rsidRPr="00B83BDB">
              <w:rPr>
                <w:rFonts w:asciiTheme="minorHAnsi" w:hAnsiTheme="minorHAnsi" w:cstheme="minorHAnsi"/>
                <w:b/>
                <w:bCs/>
                <w:i/>
                <w:sz w:val="20"/>
                <w:szCs w:val="20"/>
              </w:rPr>
              <w:t>EGFR</w:t>
            </w:r>
            <w:r>
              <w:rPr>
                <w:rFonts w:asciiTheme="minorHAnsi" w:hAnsiTheme="minorHAnsi" w:cstheme="minorHAnsi"/>
                <w:b/>
                <w:bCs/>
                <w:sz w:val="20"/>
                <w:szCs w:val="20"/>
              </w:rPr>
              <w:t xml:space="preserve"> </w:t>
            </w:r>
            <w:r w:rsidR="00EB03FC" w:rsidRPr="00A21238">
              <w:rPr>
                <w:rFonts w:asciiTheme="minorHAnsi" w:hAnsiTheme="minorHAnsi" w:cstheme="minorHAnsi"/>
                <w:b/>
                <w:bCs/>
                <w:sz w:val="20"/>
                <w:szCs w:val="20"/>
              </w:rPr>
              <w:t>FISH Positive</w:t>
            </w:r>
            <w:r w:rsidR="00B6118D" w:rsidRPr="00A21238">
              <w:rPr>
                <w:rFonts w:asciiTheme="minorHAnsi" w:hAnsiTheme="minorHAnsi" w:cstheme="minorHAnsi"/>
                <w:b/>
                <w:bCs/>
                <w:sz w:val="20"/>
                <w:szCs w:val="20"/>
              </w:rPr>
              <w:t xml:space="preserve"> (High copy #)</w:t>
            </w:r>
          </w:p>
        </w:tc>
        <w:tc>
          <w:tcPr>
            <w:tcW w:w="1530" w:type="dxa"/>
            <w:tcBorders>
              <w:top w:val="nil"/>
              <w:left w:val="nil"/>
              <w:bottom w:val="single" w:sz="4" w:space="0" w:color="auto"/>
              <w:right w:val="single" w:sz="4" w:space="0" w:color="auto"/>
            </w:tcBorders>
            <w:shd w:val="clear" w:color="auto" w:fill="auto"/>
            <w:noWrap/>
            <w:vAlign w:val="bottom"/>
            <w:hideMark/>
          </w:tcPr>
          <w:p w:rsidR="00EB03FC" w:rsidRPr="00A21238" w:rsidRDefault="00B83BDB" w:rsidP="00B6118D">
            <w:pPr>
              <w:rPr>
                <w:rFonts w:asciiTheme="minorHAnsi" w:hAnsiTheme="minorHAnsi" w:cstheme="minorHAnsi"/>
                <w:b/>
                <w:bCs/>
                <w:sz w:val="20"/>
                <w:szCs w:val="20"/>
              </w:rPr>
            </w:pPr>
            <w:r w:rsidRPr="00B83BDB">
              <w:rPr>
                <w:rFonts w:asciiTheme="minorHAnsi" w:hAnsiTheme="minorHAnsi" w:cstheme="minorHAnsi"/>
                <w:b/>
                <w:bCs/>
                <w:i/>
                <w:sz w:val="20"/>
                <w:szCs w:val="20"/>
              </w:rPr>
              <w:t>EGFR</w:t>
            </w:r>
            <w:r>
              <w:rPr>
                <w:rFonts w:asciiTheme="minorHAnsi" w:hAnsiTheme="minorHAnsi" w:cstheme="minorHAnsi"/>
                <w:b/>
                <w:bCs/>
                <w:sz w:val="20"/>
                <w:szCs w:val="20"/>
              </w:rPr>
              <w:t xml:space="preserve"> </w:t>
            </w:r>
            <w:r w:rsidR="00EB03FC" w:rsidRPr="00A21238">
              <w:rPr>
                <w:rFonts w:asciiTheme="minorHAnsi" w:hAnsiTheme="minorHAnsi" w:cstheme="minorHAnsi"/>
                <w:b/>
                <w:bCs/>
                <w:sz w:val="20"/>
                <w:szCs w:val="20"/>
              </w:rPr>
              <w:t>FISH  Negative</w:t>
            </w:r>
            <w:r w:rsidR="00B6118D" w:rsidRPr="00A21238">
              <w:rPr>
                <w:rFonts w:asciiTheme="minorHAnsi" w:hAnsiTheme="minorHAnsi" w:cstheme="minorHAnsi"/>
                <w:b/>
                <w:bCs/>
                <w:sz w:val="20"/>
                <w:szCs w:val="20"/>
              </w:rPr>
              <w:t xml:space="preserve"> </w:t>
            </w:r>
            <w:r w:rsidR="00EB03FC" w:rsidRPr="00A21238">
              <w:rPr>
                <w:rFonts w:asciiTheme="minorHAnsi" w:hAnsiTheme="minorHAnsi" w:cstheme="minorHAnsi"/>
                <w:b/>
                <w:bCs/>
                <w:sz w:val="20"/>
                <w:szCs w:val="20"/>
              </w:rPr>
              <w:t xml:space="preserve"> </w:t>
            </w:r>
          </w:p>
          <w:p w:rsidR="00B6118D" w:rsidRPr="00A21238" w:rsidRDefault="00B6118D" w:rsidP="00B6118D">
            <w:pPr>
              <w:rPr>
                <w:rFonts w:asciiTheme="minorHAnsi" w:hAnsiTheme="minorHAnsi" w:cstheme="minorHAnsi"/>
                <w:b/>
                <w:bCs/>
                <w:sz w:val="20"/>
                <w:szCs w:val="20"/>
              </w:rPr>
            </w:pPr>
            <w:r w:rsidRPr="00A21238">
              <w:rPr>
                <w:rFonts w:asciiTheme="minorHAnsi" w:hAnsiTheme="minorHAnsi" w:cstheme="minorHAnsi"/>
                <w:b/>
                <w:bCs/>
                <w:sz w:val="20"/>
                <w:szCs w:val="20"/>
              </w:rPr>
              <w:t>(Low copy #)</w:t>
            </w:r>
          </w:p>
        </w:tc>
        <w:tc>
          <w:tcPr>
            <w:tcW w:w="1473" w:type="dxa"/>
            <w:gridSpan w:val="2"/>
            <w:vMerge/>
            <w:tcBorders>
              <w:top w:val="single" w:sz="4" w:space="0" w:color="auto"/>
              <w:left w:val="single" w:sz="4" w:space="0" w:color="auto"/>
              <w:bottom w:val="single" w:sz="4" w:space="0" w:color="auto"/>
              <w:right w:val="single" w:sz="4" w:space="0" w:color="auto"/>
            </w:tcBorders>
            <w:vAlign w:val="center"/>
            <w:hideMark/>
          </w:tcPr>
          <w:p w:rsidR="00B6118D" w:rsidRPr="00A21238" w:rsidRDefault="00B6118D" w:rsidP="00B6118D">
            <w:pPr>
              <w:rPr>
                <w:rFonts w:asciiTheme="minorHAnsi" w:hAnsiTheme="minorHAnsi" w:cstheme="minorHAnsi"/>
                <w:b/>
                <w:bCs/>
                <w:sz w:val="20"/>
                <w:szCs w:val="20"/>
              </w:rPr>
            </w:pPr>
          </w:p>
        </w:tc>
        <w:tc>
          <w:tcPr>
            <w:tcW w:w="1890" w:type="dxa"/>
            <w:gridSpan w:val="3"/>
            <w:vMerge/>
            <w:tcBorders>
              <w:top w:val="single" w:sz="4" w:space="0" w:color="auto"/>
              <w:left w:val="single" w:sz="4" w:space="0" w:color="auto"/>
              <w:bottom w:val="single" w:sz="4" w:space="0" w:color="000000"/>
              <w:right w:val="single" w:sz="4" w:space="0" w:color="auto"/>
            </w:tcBorders>
            <w:vAlign w:val="center"/>
            <w:hideMark/>
          </w:tcPr>
          <w:p w:rsidR="00B6118D" w:rsidRPr="00A21238" w:rsidRDefault="00B6118D" w:rsidP="00B6118D">
            <w:pPr>
              <w:rPr>
                <w:rFonts w:asciiTheme="minorHAnsi" w:hAnsiTheme="minorHAnsi" w:cstheme="minorHAnsi"/>
                <w:b/>
                <w:bCs/>
                <w:sz w:val="20"/>
                <w:szCs w:val="20"/>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18D" w:rsidRPr="00A21238" w:rsidRDefault="00DC01F2" w:rsidP="00B6118D">
            <w:pPr>
              <w:rPr>
                <w:rFonts w:asciiTheme="minorHAnsi" w:hAnsiTheme="minorHAnsi" w:cstheme="minorHAnsi"/>
                <w:b/>
                <w:bCs/>
                <w:sz w:val="20"/>
                <w:szCs w:val="20"/>
              </w:rPr>
            </w:pPr>
            <w:r w:rsidRPr="00A21238">
              <w:rPr>
                <w:rFonts w:asciiTheme="minorHAnsi" w:hAnsiTheme="minorHAnsi" w:cstheme="minorHAnsi"/>
                <w:b/>
                <w:bCs/>
                <w:i/>
                <w:sz w:val="20"/>
                <w:szCs w:val="20"/>
              </w:rPr>
              <w:t>P</w:t>
            </w:r>
            <w:r w:rsidR="00B6118D" w:rsidRPr="00A21238">
              <w:rPr>
                <w:rFonts w:asciiTheme="minorHAnsi" w:hAnsiTheme="minorHAnsi" w:cstheme="minorHAnsi"/>
                <w:b/>
                <w:bCs/>
                <w:sz w:val="20"/>
                <w:szCs w:val="20"/>
              </w:rPr>
              <w:t>-value</w:t>
            </w:r>
          </w:p>
        </w:tc>
      </w:tr>
      <w:tr w:rsidR="00B6118D" w:rsidRPr="00A21238" w:rsidTr="005E32CB">
        <w:trPr>
          <w:gridAfter w:val="2"/>
          <w:wAfter w:w="2160" w:type="dxa"/>
          <w:trHeight w:val="27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B6118D" w:rsidRPr="00A21238" w:rsidRDefault="00B6118D" w:rsidP="0002496E">
            <w:pPr>
              <w:rPr>
                <w:rFonts w:asciiTheme="minorHAnsi" w:hAnsiTheme="minorHAnsi" w:cstheme="minorHAnsi"/>
                <w:sz w:val="20"/>
                <w:szCs w:val="20"/>
              </w:rPr>
            </w:pPr>
            <w:r w:rsidRPr="00A21238">
              <w:rPr>
                <w:rFonts w:asciiTheme="minorHAnsi" w:hAnsiTheme="minorHAnsi" w:cstheme="minorHAnsi"/>
                <w:sz w:val="20"/>
                <w:szCs w:val="20"/>
              </w:rPr>
              <w:t>T</w:t>
            </w:r>
            <w:r w:rsidR="003546D4" w:rsidRPr="00A21238">
              <w:rPr>
                <w:rFonts w:asciiTheme="minorHAnsi" w:hAnsiTheme="minorHAnsi" w:cstheme="minorHAnsi"/>
                <w:sz w:val="20"/>
                <w:szCs w:val="20"/>
              </w:rPr>
              <w:t xml:space="preserve">ime to Progression/ Progression Free Survival </w:t>
            </w:r>
            <w:r w:rsidRPr="00A21238">
              <w:rPr>
                <w:rFonts w:asciiTheme="minorHAnsi" w:hAnsiTheme="minorHAnsi" w:cstheme="minorHAnsi"/>
                <w:sz w:val="20"/>
                <w:szCs w:val="20"/>
              </w:rPr>
              <w:t>(months)</w:t>
            </w:r>
            <w:r w:rsidR="0002496E" w:rsidRPr="0002496E">
              <w:rPr>
                <w:rFonts w:asciiTheme="minorHAnsi" w:hAnsiTheme="minorHAnsi" w:cstheme="minorHAnsi"/>
                <w:noProof/>
                <w:sz w:val="20"/>
                <w:szCs w:val="20"/>
                <w:vertAlign w:val="superscript"/>
              </w:rPr>
              <w:t>20, 26, 54, 71, 75, 122, 124</w:t>
            </w:r>
          </w:p>
        </w:tc>
        <w:tc>
          <w:tcPr>
            <w:tcW w:w="1440" w:type="dxa"/>
            <w:tcBorders>
              <w:top w:val="nil"/>
              <w:left w:val="nil"/>
              <w:bottom w:val="single" w:sz="4" w:space="0" w:color="auto"/>
              <w:right w:val="single" w:sz="4" w:space="0" w:color="auto"/>
            </w:tcBorders>
            <w:shd w:val="clear" w:color="auto" w:fill="auto"/>
            <w:noWrap/>
            <w:vAlign w:val="bottom"/>
            <w:hideMark/>
          </w:tcPr>
          <w:p w:rsidR="00B6118D" w:rsidRPr="00A21238" w:rsidRDefault="00F22484" w:rsidP="00F22484">
            <w:pPr>
              <w:jc w:val="center"/>
              <w:rPr>
                <w:rFonts w:asciiTheme="minorHAnsi" w:hAnsiTheme="minorHAnsi" w:cstheme="minorHAnsi"/>
                <w:sz w:val="20"/>
                <w:szCs w:val="20"/>
              </w:rPr>
            </w:pPr>
            <w:r>
              <w:rPr>
                <w:rFonts w:asciiTheme="minorHAnsi" w:hAnsiTheme="minorHAnsi" w:cstheme="minorHAnsi"/>
                <w:sz w:val="20"/>
                <w:szCs w:val="20"/>
              </w:rPr>
              <w:t xml:space="preserve">4.4 </w:t>
            </w:r>
            <w:r w:rsidR="00CF3473" w:rsidRPr="00CF3473">
              <w:rPr>
                <w:rFonts w:asciiTheme="minorHAnsi" w:hAnsiTheme="minorHAnsi" w:cstheme="minorHAnsi"/>
                <w:sz w:val="20"/>
                <w:szCs w:val="20"/>
                <w:u w:val="single"/>
              </w:rPr>
              <w:t>+</w:t>
            </w:r>
            <w:r>
              <w:rPr>
                <w:rFonts w:asciiTheme="minorHAnsi" w:hAnsiTheme="minorHAnsi" w:cstheme="minorHAnsi"/>
                <w:sz w:val="20"/>
                <w:szCs w:val="20"/>
              </w:rPr>
              <w:t xml:space="preserve"> 2.8</w:t>
            </w:r>
          </w:p>
        </w:tc>
        <w:tc>
          <w:tcPr>
            <w:tcW w:w="1530" w:type="dxa"/>
            <w:tcBorders>
              <w:top w:val="nil"/>
              <w:left w:val="nil"/>
              <w:bottom w:val="single" w:sz="4" w:space="0" w:color="auto"/>
              <w:right w:val="single" w:sz="4" w:space="0" w:color="auto"/>
            </w:tcBorders>
            <w:shd w:val="clear" w:color="auto" w:fill="auto"/>
            <w:noWrap/>
            <w:vAlign w:val="bottom"/>
            <w:hideMark/>
          </w:tcPr>
          <w:p w:rsidR="00B6118D" w:rsidRPr="00A21238" w:rsidRDefault="00F22484" w:rsidP="00B6118D">
            <w:pPr>
              <w:jc w:val="center"/>
              <w:rPr>
                <w:rFonts w:asciiTheme="minorHAnsi" w:hAnsiTheme="minorHAnsi" w:cstheme="minorHAnsi"/>
                <w:sz w:val="20"/>
                <w:szCs w:val="20"/>
              </w:rPr>
            </w:pPr>
            <w:r>
              <w:rPr>
                <w:rFonts w:asciiTheme="minorHAnsi" w:hAnsiTheme="minorHAnsi" w:cstheme="minorHAnsi"/>
                <w:sz w:val="20"/>
                <w:szCs w:val="20"/>
              </w:rPr>
              <w:t>2.9  + 0.7</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B6118D" w:rsidRPr="00A21238" w:rsidRDefault="00F22484" w:rsidP="00B6118D">
            <w:pPr>
              <w:jc w:val="center"/>
              <w:rPr>
                <w:rFonts w:asciiTheme="minorHAnsi" w:hAnsiTheme="minorHAnsi" w:cstheme="minorHAnsi"/>
                <w:sz w:val="20"/>
                <w:szCs w:val="20"/>
              </w:rPr>
            </w:pPr>
            <w:r>
              <w:rPr>
                <w:rFonts w:asciiTheme="minorHAnsi" w:hAnsiTheme="minorHAnsi" w:cstheme="minorHAnsi"/>
                <w:sz w:val="20"/>
                <w:szCs w:val="20"/>
              </w:rPr>
              <w:t>7(638)</w:t>
            </w:r>
          </w:p>
        </w:tc>
        <w:tc>
          <w:tcPr>
            <w:tcW w:w="1890" w:type="dxa"/>
            <w:gridSpan w:val="3"/>
            <w:tcBorders>
              <w:top w:val="nil"/>
              <w:left w:val="nil"/>
              <w:bottom w:val="single" w:sz="4" w:space="0" w:color="auto"/>
              <w:right w:val="nil"/>
            </w:tcBorders>
            <w:shd w:val="clear" w:color="auto" w:fill="auto"/>
            <w:noWrap/>
            <w:vAlign w:val="bottom"/>
            <w:hideMark/>
          </w:tcPr>
          <w:p w:rsidR="00B6118D" w:rsidRPr="00A21238" w:rsidRDefault="00F22484" w:rsidP="00B6118D">
            <w:pPr>
              <w:jc w:val="right"/>
              <w:rPr>
                <w:rFonts w:asciiTheme="minorHAnsi" w:hAnsiTheme="minorHAnsi" w:cstheme="minorHAnsi"/>
                <w:bCs/>
                <w:sz w:val="20"/>
                <w:szCs w:val="20"/>
              </w:rPr>
            </w:pPr>
            <w:r>
              <w:rPr>
                <w:rFonts w:asciiTheme="minorHAnsi" w:hAnsiTheme="minorHAnsi" w:cstheme="minorHAnsi"/>
                <w:bCs/>
                <w:sz w:val="20"/>
                <w:szCs w:val="20"/>
              </w:rPr>
              <w:t>4.06 [1.97, 6.16]</w:t>
            </w:r>
          </w:p>
        </w:tc>
        <w:tc>
          <w:tcPr>
            <w:tcW w:w="1339" w:type="dxa"/>
            <w:gridSpan w:val="2"/>
            <w:tcBorders>
              <w:top w:val="nil"/>
              <w:left w:val="single" w:sz="4" w:space="0" w:color="auto"/>
              <w:bottom w:val="single" w:sz="4" w:space="0" w:color="auto"/>
              <w:right w:val="single" w:sz="4" w:space="0" w:color="auto"/>
            </w:tcBorders>
            <w:shd w:val="clear" w:color="auto" w:fill="auto"/>
            <w:noWrap/>
            <w:vAlign w:val="bottom"/>
            <w:hideMark/>
          </w:tcPr>
          <w:p w:rsidR="00B6118D" w:rsidRPr="00A21238" w:rsidRDefault="00DC01F2" w:rsidP="00017CBE">
            <w:pPr>
              <w:jc w:val="center"/>
              <w:rPr>
                <w:rFonts w:asciiTheme="minorHAnsi" w:hAnsiTheme="minorHAnsi" w:cstheme="minorHAnsi"/>
                <w:b/>
                <w:bCs/>
                <w:sz w:val="20"/>
                <w:szCs w:val="20"/>
              </w:rPr>
            </w:pPr>
            <w:r w:rsidRPr="00A21238">
              <w:rPr>
                <w:rFonts w:asciiTheme="minorHAnsi" w:hAnsiTheme="minorHAnsi" w:cstheme="minorHAnsi"/>
                <w:b/>
                <w:bCs/>
                <w:i/>
                <w:sz w:val="20"/>
                <w:szCs w:val="20"/>
              </w:rPr>
              <w:t>P</w:t>
            </w:r>
            <w:r w:rsidR="00C04238">
              <w:rPr>
                <w:rFonts w:asciiTheme="minorHAnsi" w:hAnsiTheme="minorHAnsi" w:cstheme="minorHAnsi"/>
                <w:b/>
                <w:bCs/>
                <w:i/>
                <w:sz w:val="20"/>
                <w:szCs w:val="20"/>
              </w:rPr>
              <w:t>&lt;.001</w:t>
            </w:r>
          </w:p>
        </w:tc>
      </w:tr>
      <w:tr w:rsidR="00B6118D" w:rsidRPr="00A21238" w:rsidTr="005E32CB">
        <w:trPr>
          <w:gridAfter w:val="2"/>
          <w:wAfter w:w="2160" w:type="dxa"/>
          <w:trHeight w:val="27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B6118D" w:rsidRPr="00A21238" w:rsidRDefault="009223C6" w:rsidP="0002496E">
            <w:pPr>
              <w:rPr>
                <w:rFonts w:asciiTheme="minorHAnsi" w:hAnsiTheme="minorHAnsi" w:cstheme="minorHAnsi"/>
                <w:sz w:val="20"/>
                <w:szCs w:val="20"/>
              </w:rPr>
            </w:pPr>
            <w:r w:rsidRPr="00A21238">
              <w:rPr>
                <w:rFonts w:asciiTheme="minorHAnsi" w:hAnsiTheme="minorHAnsi" w:cstheme="minorHAnsi"/>
                <w:sz w:val="20"/>
                <w:szCs w:val="20"/>
              </w:rPr>
              <w:t xml:space="preserve">Median </w:t>
            </w:r>
            <w:r w:rsidR="00B6118D" w:rsidRPr="00A21238">
              <w:rPr>
                <w:rFonts w:asciiTheme="minorHAnsi" w:hAnsiTheme="minorHAnsi" w:cstheme="minorHAnsi"/>
                <w:sz w:val="20"/>
                <w:szCs w:val="20"/>
              </w:rPr>
              <w:t>Survival time (Months)</w:t>
            </w:r>
            <w:r w:rsidR="0002496E" w:rsidRPr="0002496E">
              <w:rPr>
                <w:rFonts w:asciiTheme="minorHAnsi" w:hAnsiTheme="minorHAnsi" w:cstheme="minorHAnsi"/>
                <w:noProof/>
                <w:sz w:val="20"/>
                <w:szCs w:val="20"/>
                <w:vertAlign w:val="superscript"/>
              </w:rPr>
              <w:t>20, 26, 54, 75, 86, 122-124</w:t>
            </w:r>
          </w:p>
        </w:tc>
        <w:tc>
          <w:tcPr>
            <w:tcW w:w="1440" w:type="dxa"/>
            <w:tcBorders>
              <w:top w:val="nil"/>
              <w:left w:val="nil"/>
              <w:bottom w:val="single" w:sz="4" w:space="0" w:color="auto"/>
              <w:right w:val="single" w:sz="4" w:space="0" w:color="auto"/>
            </w:tcBorders>
            <w:shd w:val="clear" w:color="auto" w:fill="auto"/>
            <w:noWrap/>
            <w:vAlign w:val="bottom"/>
            <w:hideMark/>
          </w:tcPr>
          <w:p w:rsidR="00B6118D" w:rsidRPr="00A21238" w:rsidRDefault="00F22484" w:rsidP="00B6118D">
            <w:pPr>
              <w:jc w:val="center"/>
              <w:rPr>
                <w:rFonts w:asciiTheme="minorHAnsi" w:hAnsiTheme="minorHAnsi" w:cstheme="minorHAnsi"/>
                <w:sz w:val="20"/>
                <w:szCs w:val="20"/>
              </w:rPr>
            </w:pPr>
            <w:r>
              <w:rPr>
                <w:rFonts w:asciiTheme="minorHAnsi" w:hAnsiTheme="minorHAnsi" w:cstheme="minorHAnsi"/>
                <w:sz w:val="20"/>
                <w:szCs w:val="20"/>
              </w:rPr>
              <w:t>10.3</w:t>
            </w:r>
            <w:r w:rsidR="00B6118D" w:rsidRPr="00A21238">
              <w:rPr>
                <w:rFonts w:asciiTheme="minorHAnsi" w:hAnsiTheme="minorHAnsi" w:cstheme="minorHAnsi"/>
                <w:sz w:val="20"/>
                <w:szCs w:val="20"/>
              </w:rPr>
              <w:t xml:space="preserve"> </w:t>
            </w:r>
            <w:r w:rsidR="00B6118D" w:rsidRPr="00A21238">
              <w:rPr>
                <w:rFonts w:asciiTheme="minorHAnsi" w:hAnsiTheme="minorHAnsi" w:cstheme="minorHAnsi"/>
                <w:sz w:val="20"/>
                <w:szCs w:val="20"/>
                <w:u w:val="single"/>
              </w:rPr>
              <w:t>+</w:t>
            </w:r>
            <w:r w:rsidR="00B6118D" w:rsidRPr="00A21238">
              <w:rPr>
                <w:rFonts w:asciiTheme="minorHAnsi" w:hAnsiTheme="minorHAnsi" w:cstheme="minorHAnsi"/>
                <w:sz w:val="20"/>
                <w:szCs w:val="20"/>
              </w:rPr>
              <w:t xml:space="preserve"> </w:t>
            </w:r>
            <w:r>
              <w:rPr>
                <w:rFonts w:asciiTheme="minorHAnsi" w:hAnsiTheme="minorHAnsi" w:cstheme="minorHAnsi"/>
                <w:sz w:val="20"/>
                <w:szCs w:val="20"/>
              </w:rPr>
              <w:t>3.4</w:t>
            </w:r>
          </w:p>
        </w:tc>
        <w:tc>
          <w:tcPr>
            <w:tcW w:w="1530" w:type="dxa"/>
            <w:tcBorders>
              <w:top w:val="nil"/>
              <w:left w:val="nil"/>
              <w:bottom w:val="single" w:sz="4" w:space="0" w:color="auto"/>
              <w:right w:val="single" w:sz="4" w:space="0" w:color="auto"/>
            </w:tcBorders>
            <w:shd w:val="clear" w:color="auto" w:fill="auto"/>
            <w:noWrap/>
            <w:vAlign w:val="bottom"/>
            <w:hideMark/>
          </w:tcPr>
          <w:p w:rsidR="00B6118D" w:rsidRPr="00A21238" w:rsidRDefault="007C60CF" w:rsidP="00B6118D">
            <w:pPr>
              <w:jc w:val="center"/>
              <w:rPr>
                <w:rFonts w:asciiTheme="minorHAnsi" w:hAnsiTheme="minorHAnsi" w:cstheme="minorHAnsi"/>
                <w:sz w:val="20"/>
                <w:szCs w:val="20"/>
              </w:rPr>
            </w:pPr>
            <w:r>
              <w:rPr>
                <w:rFonts w:asciiTheme="minorHAnsi" w:hAnsiTheme="minorHAnsi" w:cstheme="minorHAnsi"/>
                <w:sz w:val="20"/>
                <w:szCs w:val="20"/>
              </w:rPr>
              <w:t>8.7</w:t>
            </w:r>
            <w:r w:rsidR="00B6118D" w:rsidRPr="00A21238">
              <w:rPr>
                <w:rFonts w:asciiTheme="minorHAnsi" w:hAnsiTheme="minorHAnsi" w:cstheme="minorHAnsi"/>
                <w:sz w:val="20"/>
                <w:szCs w:val="20"/>
              </w:rPr>
              <w:t xml:space="preserve"> </w:t>
            </w:r>
            <w:r w:rsidR="00B6118D" w:rsidRPr="00A21238">
              <w:rPr>
                <w:rFonts w:asciiTheme="minorHAnsi" w:hAnsiTheme="minorHAnsi" w:cstheme="minorHAnsi"/>
                <w:sz w:val="20"/>
                <w:szCs w:val="20"/>
                <w:u w:val="single"/>
              </w:rPr>
              <w:t>+</w:t>
            </w:r>
            <w:r w:rsidR="00B6118D" w:rsidRPr="00A21238">
              <w:rPr>
                <w:rFonts w:asciiTheme="minorHAnsi" w:hAnsiTheme="minorHAnsi" w:cstheme="minorHAnsi"/>
                <w:sz w:val="20"/>
                <w:szCs w:val="20"/>
              </w:rPr>
              <w:t xml:space="preserve"> </w:t>
            </w:r>
            <w:r>
              <w:rPr>
                <w:rFonts w:asciiTheme="minorHAnsi" w:hAnsiTheme="minorHAnsi" w:cstheme="minorHAnsi"/>
                <w:sz w:val="20"/>
                <w:szCs w:val="20"/>
              </w:rPr>
              <w:t>2.4</w:t>
            </w:r>
          </w:p>
        </w:tc>
        <w:tc>
          <w:tcPr>
            <w:tcW w:w="1473" w:type="dxa"/>
            <w:gridSpan w:val="2"/>
            <w:tcBorders>
              <w:top w:val="nil"/>
              <w:left w:val="nil"/>
              <w:bottom w:val="single" w:sz="4" w:space="0" w:color="auto"/>
              <w:right w:val="single" w:sz="4" w:space="0" w:color="auto"/>
            </w:tcBorders>
            <w:shd w:val="clear" w:color="auto" w:fill="auto"/>
            <w:noWrap/>
            <w:vAlign w:val="bottom"/>
            <w:hideMark/>
          </w:tcPr>
          <w:p w:rsidR="00B6118D" w:rsidRPr="00A21238" w:rsidRDefault="007C60CF" w:rsidP="00B6118D">
            <w:pPr>
              <w:jc w:val="center"/>
              <w:rPr>
                <w:rFonts w:asciiTheme="minorHAnsi" w:hAnsiTheme="minorHAnsi" w:cstheme="minorHAnsi"/>
                <w:sz w:val="20"/>
                <w:szCs w:val="20"/>
              </w:rPr>
            </w:pPr>
            <w:r>
              <w:rPr>
                <w:rFonts w:asciiTheme="minorHAnsi" w:hAnsiTheme="minorHAnsi" w:cstheme="minorHAnsi"/>
                <w:sz w:val="20"/>
                <w:szCs w:val="20"/>
              </w:rPr>
              <w:t>8(778)</w:t>
            </w:r>
          </w:p>
        </w:tc>
        <w:tc>
          <w:tcPr>
            <w:tcW w:w="1890" w:type="dxa"/>
            <w:gridSpan w:val="3"/>
            <w:tcBorders>
              <w:top w:val="nil"/>
              <w:left w:val="nil"/>
              <w:bottom w:val="single" w:sz="4" w:space="0" w:color="auto"/>
              <w:right w:val="single" w:sz="4" w:space="0" w:color="auto"/>
            </w:tcBorders>
            <w:shd w:val="clear" w:color="auto" w:fill="auto"/>
            <w:noWrap/>
            <w:vAlign w:val="bottom"/>
            <w:hideMark/>
          </w:tcPr>
          <w:p w:rsidR="00B6118D" w:rsidRPr="00A21238" w:rsidRDefault="007C60CF" w:rsidP="00B6118D">
            <w:pPr>
              <w:jc w:val="right"/>
              <w:rPr>
                <w:rFonts w:asciiTheme="minorHAnsi" w:hAnsiTheme="minorHAnsi" w:cstheme="minorHAnsi"/>
                <w:bCs/>
                <w:sz w:val="20"/>
                <w:szCs w:val="20"/>
              </w:rPr>
            </w:pPr>
            <w:r>
              <w:rPr>
                <w:rFonts w:asciiTheme="minorHAnsi" w:hAnsiTheme="minorHAnsi" w:cstheme="minorHAnsi"/>
                <w:bCs/>
                <w:sz w:val="20"/>
                <w:szCs w:val="20"/>
              </w:rPr>
              <w:t>1.54 [-1.83, 4.91]</w:t>
            </w:r>
          </w:p>
        </w:tc>
        <w:tc>
          <w:tcPr>
            <w:tcW w:w="1339" w:type="dxa"/>
            <w:gridSpan w:val="2"/>
            <w:tcBorders>
              <w:top w:val="nil"/>
              <w:left w:val="single" w:sz="4" w:space="0" w:color="auto"/>
              <w:bottom w:val="single" w:sz="4" w:space="0" w:color="auto"/>
              <w:right w:val="single" w:sz="4" w:space="0" w:color="auto"/>
            </w:tcBorders>
            <w:shd w:val="clear" w:color="auto" w:fill="auto"/>
            <w:noWrap/>
            <w:vAlign w:val="bottom"/>
            <w:hideMark/>
          </w:tcPr>
          <w:p w:rsidR="00B6118D" w:rsidRPr="00A21238" w:rsidRDefault="00041A50" w:rsidP="00017CBE">
            <w:pPr>
              <w:jc w:val="center"/>
              <w:rPr>
                <w:rFonts w:asciiTheme="minorHAnsi" w:hAnsiTheme="minorHAnsi" w:cstheme="minorHAnsi"/>
                <w:b/>
                <w:bCs/>
                <w:sz w:val="20"/>
                <w:szCs w:val="20"/>
              </w:rPr>
            </w:pPr>
            <w:r w:rsidRPr="00041A50">
              <w:rPr>
                <w:rFonts w:asciiTheme="minorHAnsi" w:hAnsiTheme="minorHAnsi" w:cstheme="minorHAnsi"/>
                <w:b/>
                <w:bCs/>
                <w:i/>
                <w:sz w:val="20"/>
                <w:szCs w:val="20"/>
              </w:rPr>
              <w:t>P</w:t>
            </w:r>
            <w:r>
              <w:rPr>
                <w:rFonts w:asciiTheme="minorHAnsi" w:hAnsiTheme="minorHAnsi" w:cstheme="minorHAnsi"/>
                <w:b/>
                <w:bCs/>
                <w:sz w:val="20"/>
                <w:szCs w:val="20"/>
              </w:rPr>
              <w:t>=</w:t>
            </w:r>
            <w:r w:rsidR="00B418E6">
              <w:rPr>
                <w:rFonts w:asciiTheme="minorHAnsi" w:hAnsiTheme="minorHAnsi" w:cstheme="minorHAnsi"/>
                <w:b/>
                <w:bCs/>
                <w:sz w:val="20"/>
                <w:szCs w:val="20"/>
              </w:rPr>
              <w:t>.37</w:t>
            </w:r>
          </w:p>
        </w:tc>
      </w:tr>
    </w:tbl>
    <w:p w:rsidR="00577551" w:rsidRPr="00437895" w:rsidRDefault="00AC081E" w:rsidP="00577551">
      <w:pPr>
        <w:rPr>
          <w:rFonts w:ascii="Calibri" w:hAnsi="Calibri" w:cs="Calibri"/>
          <w:bCs/>
          <w:sz w:val="18"/>
          <w:szCs w:val="18"/>
        </w:rPr>
      </w:pPr>
      <w:r w:rsidRPr="00AC081E">
        <w:rPr>
          <w:rFonts w:asciiTheme="minorHAnsi" w:hAnsiTheme="minorHAnsi"/>
          <w:sz w:val="18"/>
          <w:szCs w:val="18"/>
        </w:rPr>
        <w:t xml:space="preserve">Abbreviations: CI, Confidence interval; </w:t>
      </w:r>
      <w:r w:rsidRPr="00AC081E">
        <w:rPr>
          <w:rFonts w:asciiTheme="minorHAnsi" w:hAnsiTheme="minorHAnsi" w:cstheme="minorHAnsi"/>
          <w:sz w:val="18"/>
          <w:szCs w:val="18"/>
        </w:rPr>
        <w:t>M-H, Mantel-Haenszel;</w:t>
      </w:r>
      <w:r w:rsidRPr="00AC081E">
        <w:rPr>
          <w:rFonts w:asciiTheme="minorHAnsi" w:hAnsiTheme="minorHAnsi"/>
          <w:sz w:val="18"/>
          <w:szCs w:val="18"/>
        </w:rPr>
        <w:t xml:space="preserve"> n, Number of studies; N, Number of patients</w:t>
      </w:r>
      <w:r w:rsidRPr="00AC081E">
        <w:rPr>
          <w:rFonts w:asciiTheme="minorHAnsi" w:hAnsiTheme="minorHAnsi" w:cstheme="minorHAnsi"/>
          <w:sz w:val="18"/>
          <w:szCs w:val="18"/>
        </w:rPr>
        <w:t xml:space="preserve">; Random, random effects model; </w:t>
      </w:r>
      <w:r w:rsidRPr="00AC081E">
        <w:rPr>
          <w:rFonts w:ascii="Calibri" w:hAnsi="Calibri"/>
          <w:sz w:val="18"/>
          <w:szCs w:val="18"/>
        </w:rPr>
        <w:t>SD, standard deviation; TKI, tyrosine kinase inhibitor</w:t>
      </w:r>
    </w:p>
    <w:p w:rsidR="003A5B88" w:rsidRPr="00437895" w:rsidRDefault="00665CB4" w:rsidP="003546D4">
      <w:pPr>
        <w:rPr>
          <w:rFonts w:asciiTheme="minorHAnsi" w:hAnsiTheme="minorHAnsi" w:cs="Arial"/>
          <w:b/>
          <w:sz w:val="18"/>
          <w:szCs w:val="18"/>
        </w:rPr>
      </w:pPr>
      <w:proofErr w:type="gramStart"/>
      <w:r w:rsidRPr="00AC081E">
        <w:rPr>
          <w:rFonts w:asciiTheme="minorHAnsi" w:hAnsiTheme="minorHAnsi"/>
          <w:sz w:val="18"/>
          <w:szCs w:val="18"/>
          <w:vertAlign w:val="superscript"/>
        </w:rPr>
        <w:t>a</w:t>
      </w:r>
      <w:proofErr w:type="gramEnd"/>
      <w:r>
        <w:rPr>
          <w:rFonts w:asciiTheme="minorHAnsi" w:hAnsiTheme="minorHAnsi"/>
          <w:sz w:val="18"/>
          <w:szCs w:val="18"/>
          <w:vertAlign w:val="superscript"/>
        </w:rPr>
        <w:t xml:space="preserve"> </w:t>
      </w:r>
      <w:r w:rsidRPr="00AC081E">
        <w:rPr>
          <w:rFonts w:asciiTheme="minorHAnsi" w:hAnsiTheme="minorHAnsi"/>
          <w:sz w:val="18"/>
          <w:szCs w:val="18"/>
        </w:rPr>
        <w:t>FISH</w:t>
      </w:r>
      <w:r w:rsidR="00AC081E" w:rsidRPr="00AC081E">
        <w:rPr>
          <w:rFonts w:asciiTheme="minorHAnsi" w:hAnsiTheme="minorHAnsi"/>
          <w:sz w:val="18"/>
          <w:szCs w:val="18"/>
        </w:rPr>
        <w:t xml:space="preserve"> scored by </w:t>
      </w:r>
      <w:proofErr w:type="spellStart"/>
      <w:r w:rsidR="00AC081E" w:rsidRPr="00AC081E">
        <w:rPr>
          <w:rFonts w:asciiTheme="minorHAnsi" w:hAnsiTheme="minorHAnsi"/>
          <w:sz w:val="18"/>
          <w:szCs w:val="18"/>
        </w:rPr>
        <w:t>Cappuzzo</w:t>
      </w:r>
      <w:proofErr w:type="spellEnd"/>
      <w:r w:rsidR="00AC081E" w:rsidRPr="00AC081E">
        <w:rPr>
          <w:rFonts w:asciiTheme="minorHAnsi" w:hAnsiTheme="minorHAnsi"/>
          <w:sz w:val="18"/>
          <w:szCs w:val="18"/>
        </w:rPr>
        <w:t>, et al.</w:t>
      </w:r>
    </w:p>
    <w:p w:rsidR="00B13AF0" w:rsidRDefault="00B13AF0">
      <w:pPr>
        <w:rPr>
          <w:rFonts w:ascii="Century Gothic" w:hAnsi="Century Gothic"/>
          <w:b/>
          <w:sz w:val="20"/>
          <w:szCs w:val="20"/>
        </w:rPr>
      </w:pPr>
      <w:r>
        <w:rPr>
          <w:rFonts w:ascii="Century Gothic" w:hAnsi="Century Gothic"/>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678C3" w:rsidRPr="00A52683" w:rsidTr="004952B0">
        <w:tc>
          <w:tcPr>
            <w:tcW w:w="5000" w:type="pct"/>
            <w:vAlign w:val="center"/>
          </w:tcPr>
          <w:p w:rsidR="00481C2E" w:rsidRPr="00A52683" w:rsidRDefault="00C167BC" w:rsidP="00D67A20">
            <w:pPr>
              <w:rPr>
                <w:b/>
                <w:sz w:val="22"/>
                <w:szCs w:val="22"/>
              </w:rPr>
            </w:pPr>
            <w:r w:rsidRPr="00A52683">
              <w:rPr>
                <w:b/>
                <w:sz w:val="22"/>
                <w:szCs w:val="22"/>
              </w:rPr>
              <w:lastRenderedPageBreak/>
              <w:br w:type="page"/>
            </w:r>
            <w:r w:rsidR="00481C2E" w:rsidRPr="00A52683">
              <w:rPr>
                <w:b/>
                <w:sz w:val="22"/>
                <w:szCs w:val="22"/>
              </w:rPr>
              <w:t xml:space="preserve">7.1:  Recommendation: </w:t>
            </w:r>
            <w:r w:rsidR="00481C2E" w:rsidRPr="00A52683">
              <w:rPr>
                <w:b/>
                <w:i/>
                <w:sz w:val="22"/>
                <w:szCs w:val="22"/>
              </w:rPr>
              <w:t>KRAS</w:t>
            </w:r>
            <w:r w:rsidR="00481C2E" w:rsidRPr="00A52683">
              <w:rPr>
                <w:b/>
                <w:sz w:val="22"/>
                <w:szCs w:val="22"/>
              </w:rPr>
              <w:t xml:space="preserve"> mutation testing </w:t>
            </w:r>
            <w:proofErr w:type="gramStart"/>
            <w:r w:rsidR="00481C2E" w:rsidRPr="00A52683">
              <w:rPr>
                <w:b/>
                <w:sz w:val="22"/>
                <w:szCs w:val="22"/>
              </w:rPr>
              <w:t xml:space="preserve">is </w:t>
            </w:r>
            <w:r w:rsidR="004A0542" w:rsidRPr="00A52683">
              <w:rPr>
                <w:b/>
                <w:sz w:val="22"/>
                <w:szCs w:val="22"/>
              </w:rPr>
              <w:t xml:space="preserve">not </w:t>
            </w:r>
            <w:r w:rsidR="00481C2E" w:rsidRPr="00A52683">
              <w:rPr>
                <w:b/>
                <w:sz w:val="22"/>
                <w:szCs w:val="22"/>
              </w:rPr>
              <w:t>recommended</w:t>
            </w:r>
            <w:proofErr w:type="gramEnd"/>
            <w:r w:rsidR="00481C2E" w:rsidRPr="00A52683">
              <w:rPr>
                <w:b/>
                <w:sz w:val="22"/>
                <w:szCs w:val="22"/>
              </w:rPr>
              <w:t xml:space="preserve"> as a sole determinant of </w:t>
            </w:r>
            <w:r w:rsidR="00481C2E" w:rsidRPr="00662C9F">
              <w:rPr>
                <w:b/>
                <w:sz w:val="22"/>
                <w:szCs w:val="22"/>
              </w:rPr>
              <w:t>EGFR</w:t>
            </w:r>
            <w:r w:rsidR="00481C2E" w:rsidRPr="00A52683">
              <w:rPr>
                <w:b/>
                <w:sz w:val="22"/>
                <w:szCs w:val="22"/>
              </w:rPr>
              <w:t xml:space="preserve"> TKI therapy.</w:t>
            </w:r>
          </w:p>
        </w:tc>
      </w:tr>
      <w:tr w:rsidR="008678C3" w:rsidRPr="00A52683" w:rsidTr="004952B0">
        <w:tc>
          <w:tcPr>
            <w:tcW w:w="5000" w:type="pct"/>
            <w:vAlign w:val="center"/>
          </w:tcPr>
          <w:p w:rsidR="008678C3" w:rsidRPr="00A52683" w:rsidRDefault="008678C3" w:rsidP="004952B0">
            <w:pPr>
              <w:rPr>
                <w:sz w:val="22"/>
                <w:szCs w:val="22"/>
              </w:rPr>
            </w:pPr>
            <w:r w:rsidRPr="00A52683">
              <w:rPr>
                <w:b/>
                <w:bCs/>
                <w:sz w:val="22"/>
                <w:szCs w:val="22"/>
              </w:rPr>
              <w:t>Evidence base: B</w:t>
            </w:r>
          </w:p>
        </w:tc>
      </w:tr>
      <w:tr w:rsidR="008678C3" w:rsidRPr="00A52683" w:rsidTr="004952B0">
        <w:tc>
          <w:tcPr>
            <w:tcW w:w="5000" w:type="pct"/>
            <w:vAlign w:val="center"/>
          </w:tcPr>
          <w:p w:rsidR="008678C3" w:rsidRPr="00A52683" w:rsidRDefault="008678C3" w:rsidP="004952B0">
            <w:pPr>
              <w:rPr>
                <w:sz w:val="22"/>
                <w:szCs w:val="22"/>
              </w:rPr>
            </w:pPr>
            <w:r w:rsidRPr="00A52683">
              <w:rPr>
                <w:b/>
                <w:bCs/>
                <w:sz w:val="22"/>
                <w:szCs w:val="22"/>
              </w:rPr>
              <w:t>Consistency: B</w:t>
            </w:r>
          </w:p>
        </w:tc>
      </w:tr>
      <w:tr w:rsidR="008678C3" w:rsidRPr="00A52683" w:rsidTr="004952B0">
        <w:tc>
          <w:tcPr>
            <w:tcW w:w="5000" w:type="pct"/>
            <w:vAlign w:val="center"/>
          </w:tcPr>
          <w:p w:rsidR="008678C3" w:rsidRPr="00A52683" w:rsidRDefault="008678C3" w:rsidP="00D14783">
            <w:pPr>
              <w:rPr>
                <w:b/>
                <w:bCs/>
                <w:sz w:val="22"/>
                <w:szCs w:val="22"/>
              </w:rPr>
            </w:pPr>
            <w:r w:rsidRPr="00A52683">
              <w:rPr>
                <w:b/>
                <w:bCs/>
                <w:sz w:val="22"/>
                <w:szCs w:val="22"/>
              </w:rPr>
              <w:t>Clinical impact: A</w:t>
            </w:r>
          </w:p>
        </w:tc>
      </w:tr>
      <w:tr w:rsidR="008678C3" w:rsidRPr="00A52683" w:rsidTr="004952B0">
        <w:tc>
          <w:tcPr>
            <w:tcW w:w="5000" w:type="pct"/>
            <w:vAlign w:val="center"/>
          </w:tcPr>
          <w:p w:rsidR="008678C3" w:rsidRPr="00A52683" w:rsidRDefault="00D14783" w:rsidP="00D14783">
            <w:pPr>
              <w:rPr>
                <w:b/>
                <w:bCs/>
                <w:sz w:val="22"/>
                <w:szCs w:val="22"/>
              </w:rPr>
            </w:pPr>
            <w:proofErr w:type="spellStart"/>
            <w:r w:rsidRPr="00A52683">
              <w:rPr>
                <w:b/>
                <w:bCs/>
                <w:sz w:val="22"/>
                <w:szCs w:val="22"/>
              </w:rPr>
              <w:t>Generalizability</w:t>
            </w:r>
            <w:proofErr w:type="spellEnd"/>
            <w:r w:rsidRPr="00A52683">
              <w:rPr>
                <w:b/>
                <w:bCs/>
                <w:sz w:val="22"/>
                <w:szCs w:val="22"/>
              </w:rPr>
              <w:t xml:space="preserve">: </w:t>
            </w:r>
            <w:r w:rsidR="008678C3" w:rsidRPr="00A52683">
              <w:rPr>
                <w:b/>
                <w:bCs/>
                <w:sz w:val="22"/>
                <w:szCs w:val="22"/>
              </w:rPr>
              <w:t>A</w:t>
            </w:r>
          </w:p>
        </w:tc>
      </w:tr>
      <w:tr w:rsidR="008678C3" w:rsidRPr="00A52683" w:rsidTr="004952B0">
        <w:tc>
          <w:tcPr>
            <w:tcW w:w="5000" w:type="pct"/>
            <w:vAlign w:val="center"/>
          </w:tcPr>
          <w:p w:rsidR="008678C3" w:rsidRPr="00A52683" w:rsidRDefault="008678C3" w:rsidP="00D14783">
            <w:pPr>
              <w:rPr>
                <w:b/>
                <w:bCs/>
                <w:sz w:val="22"/>
                <w:szCs w:val="22"/>
              </w:rPr>
            </w:pPr>
            <w:r w:rsidRPr="00A52683">
              <w:rPr>
                <w:b/>
                <w:bCs/>
                <w:sz w:val="22"/>
                <w:szCs w:val="22"/>
              </w:rPr>
              <w:t>Applicability: A</w:t>
            </w:r>
          </w:p>
        </w:tc>
      </w:tr>
      <w:tr w:rsidR="008678C3" w:rsidRPr="00A52683" w:rsidTr="004952B0">
        <w:tc>
          <w:tcPr>
            <w:tcW w:w="5000" w:type="pct"/>
            <w:vAlign w:val="center"/>
          </w:tcPr>
          <w:p w:rsidR="008678C3" w:rsidRPr="00A52683" w:rsidRDefault="008678C3" w:rsidP="004952B0">
            <w:pPr>
              <w:rPr>
                <w:b/>
                <w:bCs/>
                <w:sz w:val="22"/>
                <w:szCs w:val="22"/>
              </w:rPr>
            </w:pPr>
            <w:r w:rsidRPr="00A52683">
              <w:rPr>
                <w:b/>
                <w:sz w:val="22"/>
                <w:szCs w:val="22"/>
              </w:rPr>
              <w:t xml:space="preserve">Overall Grade: </w:t>
            </w:r>
            <w:r w:rsidR="00902428" w:rsidRPr="00A52683">
              <w:rPr>
                <w:b/>
                <w:sz w:val="22"/>
                <w:szCs w:val="22"/>
              </w:rPr>
              <w:t xml:space="preserve"> B</w:t>
            </w:r>
          </w:p>
        </w:tc>
      </w:tr>
    </w:tbl>
    <w:p w:rsidR="008678C3" w:rsidRPr="00A52683" w:rsidRDefault="008678C3" w:rsidP="00C74FDD">
      <w:pPr>
        <w:rPr>
          <w:sz w:val="22"/>
          <w:szCs w:val="22"/>
        </w:rPr>
      </w:pPr>
    </w:p>
    <w:p w:rsidR="00C74FDD" w:rsidRPr="00A52683" w:rsidRDefault="00C74FDD" w:rsidP="00567423">
      <w:pPr>
        <w:rPr>
          <w:b/>
          <w:sz w:val="22"/>
          <w:szCs w:val="22"/>
        </w:rPr>
      </w:pPr>
    </w:p>
    <w:p w:rsidR="00567423" w:rsidRPr="00A52683" w:rsidRDefault="00245238" w:rsidP="00567423">
      <w:pPr>
        <w:rPr>
          <w:b/>
          <w:sz w:val="22"/>
          <w:szCs w:val="22"/>
        </w:rPr>
      </w:pPr>
      <w:r w:rsidRPr="00A52683">
        <w:rPr>
          <w:b/>
          <w:sz w:val="22"/>
          <w:szCs w:val="22"/>
        </w:rPr>
        <w:t>Table 2</w:t>
      </w:r>
      <w:r w:rsidR="00A566D8" w:rsidRPr="00A52683">
        <w:rPr>
          <w:b/>
          <w:sz w:val="22"/>
          <w:szCs w:val="22"/>
        </w:rPr>
        <w:t>3</w:t>
      </w:r>
      <w:r w:rsidR="00567423" w:rsidRPr="00A52683">
        <w:rPr>
          <w:b/>
          <w:sz w:val="22"/>
          <w:szCs w:val="22"/>
        </w:rPr>
        <w:t xml:space="preserve">: Different outcomes </w:t>
      </w:r>
      <w:r w:rsidR="00A424AC" w:rsidRPr="00A52683">
        <w:rPr>
          <w:b/>
          <w:sz w:val="22"/>
          <w:szCs w:val="22"/>
        </w:rPr>
        <w:t xml:space="preserve">in patients </w:t>
      </w:r>
      <w:r w:rsidR="003F52B6" w:rsidRPr="00A52683">
        <w:rPr>
          <w:b/>
          <w:sz w:val="22"/>
          <w:szCs w:val="22"/>
        </w:rPr>
        <w:t>for trea</w:t>
      </w:r>
      <w:r w:rsidR="00A424AC" w:rsidRPr="00A52683">
        <w:rPr>
          <w:b/>
          <w:sz w:val="22"/>
          <w:szCs w:val="22"/>
        </w:rPr>
        <w:t>ted</w:t>
      </w:r>
      <w:r w:rsidR="003F52B6" w:rsidRPr="00A52683">
        <w:rPr>
          <w:b/>
          <w:sz w:val="22"/>
          <w:szCs w:val="22"/>
        </w:rPr>
        <w:t xml:space="preserve"> with </w:t>
      </w:r>
      <w:r w:rsidR="00567423" w:rsidRPr="00A52683">
        <w:rPr>
          <w:b/>
          <w:sz w:val="22"/>
          <w:szCs w:val="22"/>
        </w:rPr>
        <w:t>Tyrosine Kinase Inhibitor</w:t>
      </w:r>
      <w:r w:rsidR="003F52B6" w:rsidRPr="00A52683">
        <w:rPr>
          <w:b/>
          <w:sz w:val="22"/>
          <w:szCs w:val="22"/>
        </w:rPr>
        <w:t>,</w:t>
      </w:r>
      <w:r w:rsidR="004A0542" w:rsidRPr="00A52683">
        <w:rPr>
          <w:b/>
          <w:sz w:val="22"/>
          <w:szCs w:val="22"/>
        </w:rPr>
        <w:t xml:space="preserve"> </w:t>
      </w:r>
      <w:r w:rsidR="00567423" w:rsidRPr="00A52683">
        <w:rPr>
          <w:b/>
          <w:sz w:val="22"/>
          <w:szCs w:val="22"/>
        </w:rPr>
        <w:t xml:space="preserve">with or without </w:t>
      </w:r>
      <w:r w:rsidR="00567423" w:rsidRPr="00A52683">
        <w:rPr>
          <w:b/>
          <w:i/>
          <w:sz w:val="22"/>
          <w:szCs w:val="22"/>
        </w:rPr>
        <w:t>KRAS</w:t>
      </w:r>
      <w:r w:rsidR="00567423" w:rsidRPr="00A52683">
        <w:rPr>
          <w:b/>
          <w:sz w:val="22"/>
          <w:szCs w:val="22"/>
        </w:rPr>
        <w:t xml:space="preserve"> mutations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8"/>
        <w:gridCol w:w="1323"/>
        <w:gridCol w:w="1366"/>
        <w:gridCol w:w="1080"/>
        <w:gridCol w:w="2444"/>
        <w:gridCol w:w="875"/>
      </w:tblGrid>
      <w:tr w:rsidR="00567423" w:rsidRPr="00A21238" w:rsidTr="009F5F76">
        <w:tc>
          <w:tcPr>
            <w:tcW w:w="1299" w:type="pct"/>
            <w:vMerge w:val="restart"/>
          </w:tcPr>
          <w:p w:rsidR="00567423" w:rsidRPr="00A21238" w:rsidRDefault="00567423" w:rsidP="00327473">
            <w:pPr>
              <w:rPr>
                <w:rFonts w:ascii="Calibri" w:hAnsi="Calibri" w:cs="Calibri"/>
                <w:b/>
                <w:sz w:val="20"/>
                <w:szCs w:val="20"/>
              </w:rPr>
            </w:pPr>
            <w:r w:rsidRPr="00A21238">
              <w:rPr>
                <w:rFonts w:ascii="Calibri" w:hAnsi="Calibri" w:cs="Calibri"/>
                <w:b/>
                <w:sz w:val="20"/>
                <w:szCs w:val="20"/>
              </w:rPr>
              <w:t>Outcome</w:t>
            </w:r>
          </w:p>
        </w:tc>
        <w:tc>
          <w:tcPr>
            <w:tcW w:w="1404" w:type="pct"/>
            <w:gridSpan w:val="2"/>
          </w:tcPr>
          <w:p w:rsidR="00567423" w:rsidRPr="00A21238" w:rsidRDefault="002E7F19" w:rsidP="00327473">
            <w:pPr>
              <w:jc w:val="center"/>
              <w:rPr>
                <w:rFonts w:ascii="Calibri" w:hAnsi="Calibri" w:cs="Calibri"/>
                <w:b/>
                <w:sz w:val="20"/>
                <w:szCs w:val="20"/>
              </w:rPr>
            </w:pPr>
            <w:r w:rsidRPr="00A21238">
              <w:rPr>
                <w:rFonts w:ascii="Calibri" w:hAnsi="Calibri" w:cs="Calibri"/>
                <w:b/>
                <w:sz w:val="20"/>
                <w:szCs w:val="20"/>
              </w:rPr>
              <w:t>Percentage</w:t>
            </w:r>
          </w:p>
        </w:tc>
        <w:tc>
          <w:tcPr>
            <w:tcW w:w="564" w:type="pct"/>
            <w:vMerge w:val="restart"/>
            <w:vAlign w:val="bottom"/>
          </w:tcPr>
          <w:p w:rsidR="00567423" w:rsidRPr="00A21238" w:rsidRDefault="00567423" w:rsidP="001E0BE4">
            <w:pPr>
              <w:jc w:val="center"/>
              <w:rPr>
                <w:rFonts w:ascii="Calibri" w:hAnsi="Calibri" w:cs="Calibri"/>
                <w:b/>
                <w:sz w:val="20"/>
                <w:szCs w:val="20"/>
              </w:rPr>
            </w:pPr>
            <w:r w:rsidRPr="00A21238">
              <w:rPr>
                <w:rFonts w:ascii="Calibri" w:hAnsi="Calibri" w:cs="Calibri"/>
                <w:b/>
                <w:sz w:val="20"/>
                <w:szCs w:val="20"/>
              </w:rPr>
              <w:t>n (N)</w:t>
            </w:r>
          </w:p>
        </w:tc>
        <w:tc>
          <w:tcPr>
            <w:tcW w:w="1276" w:type="pct"/>
            <w:vMerge w:val="restart"/>
            <w:vAlign w:val="bottom"/>
          </w:tcPr>
          <w:p w:rsidR="00567423" w:rsidRPr="00A21238" w:rsidRDefault="00567423" w:rsidP="001E0BE4">
            <w:pPr>
              <w:jc w:val="center"/>
              <w:rPr>
                <w:rFonts w:ascii="Calibri" w:hAnsi="Calibri" w:cs="Calibri"/>
                <w:b/>
                <w:sz w:val="20"/>
                <w:szCs w:val="20"/>
                <w:lang w:val="fr-CA"/>
              </w:rPr>
            </w:pPr>
            <w:r w:rsidRPr="00A21238">
              <w:rPr>
                <w:rFonts w:ascii="Calibri" w:hAnsi="Calibri" w:cs="Calibri"/>
                <w:b/>
                <w:sz w:val="20"/>
                <w:szCs w:val="20"/>
                <w:lang w:val="fr-CA"/>
              </w:rPr>
              <w:t xml:space="preserve"> </w:t>
            </w:r>
            <w:r w:rsidR="00B13AF0">
              <w:rPr>
                <w:rFonts w:ascii="Calibri" w:hAnsi="Calibri" w:cs="Calibri"/>
                <w:b/>
                <w:sz w:val="20"/>
                <w:szCs w:val="20"/>
                <w:lang w:val="fr-CA"/>
              </w:rPr>
              <w:t xml:space="preserve">RR </w:t>
            </w:r>
            <w:r w:rsidRPr="00A21238">
              <w:rPr>
                <w:rFonts w:ascii="Calibri" w:hAnsi="Calibri" w:cs="Calibri"/>
                <w:b/>
                <w:sz w:val="20"/>
                <w:szCs w:val="20"/>
                <w:lang w:val="fr-CA"/>
              </w:rPr>
              <w:t xml:space="preserve">[95% CI] </w:t>
            </w:r>
          </w:p>
        </w:tc>
        <w:tc>
          <w:tcPr>
            <w:tcW w:w="457" w:type="pct"/>
            <w:vMerge w:val="restart"/>
            <w:vAlign w:val="bottom"/>
          </w:tcPr>
          <w:p w:rsidR="00567423" w:rsidRPr="00A21238" w:rsidRDefault="00A70B30" w:rsidP="009F5F76">
            <w:pPr>
              <w:jc w:val="center"/>
              <w:rPr>
                <w:rFonts w:ascii="Calibri" w:hAnsi="Calibri" w:cs="Calibri"/>
                <w:b/>
                <w:sz w:val="20"/>
                <w:szCs w:val="20"/>
              </w:rPr>
            </w:pPr>
            <w:r w:rsidRPr="00A21238">
              <w:rPr>
                <w:rFonts w:ascii="Calibri" w:hAnsi="Calibri" w:cs="Calibri"/>
                <w:b/>
                <w:i/>
                <w:sz w:val="20"/>
                <w:szCs w:val="20"/>
              </w:rPr>
              <w:t>P</w:t>
            </w:r>
            <w:r w:rsidR="00766AA9" w:rsidRPr="00A21238">
              <w:rPr>
                <w:rFonts w:ascii="Calibri" w:hAnsi="Calibri" w:cs="Calibri"/>
                <w:b/>
                <w:sz w:val="20"/>
                <w:szCs w:val="20"/>
              </w:rPr>
              <w:t xml:space="preserve"> value</w:t>
            </w:r>
          </w:p>
        </w:tc>
      </w:tr>
      <w:tr w:rsidR="00567423" w:rsidRPr="00A21238" w:rsidTr="00327473">
        <w:trPr>
          <w:trHeight w:val="394"/>
        </w:trPr>
        <w:tc>
          <w:tcPr>
            <w:tcW w:w="1299" w:type="pct"/>
            <w:vMerge/>
          </w:tcPr>
          <w:p w:rsidR="00567423" w:rsidRPr="00A21238" w:rsidRDefault="00567423" w:rsidP="00327473">
            <w:pPr>
              <w:jc w:val="center"/>
              <w:rPr>
                <w:rFonts w:ascii="Calibri" w:hAnsi="Calibri" w:cs="Calibri"/>
                <w:b/>
                <w:sz w:val="20"/>
                <w:szCs w:val="20"/>
              </w:rPr>
            </w:pPr>
          </w:p>
        </w:tc>
        <w:tc>
          <w:tcPr>
            <w:tcW w:w="691" w:type="pct"/>
          </w:tcPr>
          <w:p w:rsidR="00567423" w:rsidRPr="00A21238" w:rsidRDefault="00766AA9" w:rsidP="00327473">
            <w:pPr>
              <w:jc w:val="center"/>
              <w:rPr>
                <w:rFonts w:ascii="Calibri" w:hAnsi="Calibri" w:cs="Calibri"/>
                <w:b/>
                <w:i/>
                <w:sz w:val="20"/>
                <w:szCs w:val="20"/>
              </w:rPr>
            </w:pPr>
            <w:r w:rsidRPr="00A21238">
              <w:rPr>
                <w:rFonts w:ascii="Calibri" w:hAnsi="Calibri" w:cs="Calibri"/>
                <w:b/>
                <w:i/>
                <w:sz w:val="20"/>
                <w:szCs w:val="20"/>
              </w:rPr>
              <w:t>KRAS</w:t>
            </w:r>
          </w:p>
          <w:p w:rsidR="00567423" w:rsidRPr="00A21238" w:rsidRDefault="00766AA9" w:rsidP="00327473">
            <w:pPr>
              <w:jc w:val="center"/>
              <w:rPr>
                <w:rFonts w:ascii="Calibri" w:hAnsi="Calibri" w:cs="Calibri"/>
                <w:b/>
                <w:sz w:val="20"/>
                <w:szCs w:val="20"/>
              </w:rPr>
            </w:pPr>
            <w:r w:rsidRPr="00A21238">
              <w:rPr>
                <w:rFonts w:ascii="Calibri" w:hAnsi="Calibri" w:cs="Calibri"/>
                <w:b/>
                <w:sz w:val="20"/>
                <w:szCs w:val="20"/>
              </w:rPr>
              <w:t>Mutations</w:t>
            </w:r>
          </w:p>
        </w:tc>
        <w:tc>
          <w:tcPr>
            <w:tcW w:w="713" w:type="pct"/>
          </w:tcPr>
          <w:p w:rsidR="00567423" w:rsidRPr="00A21238" w:rsidRDefault="00766AA9" w:rsidP="00327473">
            <w:pPr>
              <w:jc w:val="center"/>
              <w:rPr>
                <w:rFonts w:ascii="Calibri" w:hAnsi="Calibri" w:cs="Calibri"/>
                <w:b/>
                <w:sz w:val="20"/>
                <w:szCs w:val="20"/>
              </w:rPr>
            </w:pPr>
            <w:r w:rsidRPr="00A21238">
              <w:rPr>
                <w:rFonts w:ascii="Calibri" w:hAnsi="Calibri" w:cs="Calibri"/>
                <w:b/>
                <w:sz w:val="20"/>
                <w:szCs w:val="20"/>
              </w:rPr>
              <w:t xml:space="preserve">No </w:t>
            </w:r>
            <w:r w:rsidRPr="00A21238">
              <w:rPr>
                <w:rFonts w:ascii="Calibri" w:hAnsi="Calibri" w:cs="Calibri"/>
                <w:b/>
                <w:i/>
                <w:sz w:val="20"/>
                <w:szCs w:val="20"/>
              </w:rPr>
              <w:t>KRAS</w:t>
            </w:r>
          </w:p>
          <w:p w:rsidR="00567423" w:rsidRPr="00A21238" w:rsidRDefault="00766AA9" w:rsidP="00327473">
            <w:pPr>
              <w:jc w:val="center"/>
              <w:rPr>
                <w:rFonts w:ascii="Calibri" w:hAnsi="Calibri" w:cs="Calibri"/>
                <w:b/>
                <w:sz w:val="20"/>
                <w:szCs w:val="20"/>
              </w:rPr>
            </w:pPr>
            <w:r w:rsidRPr="00A21238">
              <w:rPr>
                <w:rFonts w:ascii="Calibri" w:hAnsi="Calibri" w:cs="Calibri"/>
                <w:b/>
                <w:sz w:val="20"/>
                <w:szCs w:val="20"/>
              </w:rPr>
              <w:t>Mutations</w:t>
            </w:r>
          </w:p>
        </w:tc>
        <w:tc>
          <w:tcPr>
            <w:tcW w:w="564" w:type="pct"/>
            <w:vMerge/>
          </w:tcPr>
          <w:p w:rsidR="00567423" w:rsidRPr="00A21238" w:rsidRDefault="00567423" w:rsidP="00327473">
            <w:pPr>
              <w:jc w:val="center"/>
              <w:rPr>
                <w:rFonts w:ascii="Calibri" w:hAnsi="Calibri" w:cs="Calibri"/>
                <w:b/>
                <w:sz w:val="20"/>
                <w:szCs w:val="20"/>
              </w:rPr>
            </w:pPr>
          </w:p>
        </w:tc>
        <w:tc>
          <w:tcPr>
            <w:tcW w:w="1276" w:type="pct"/>
            <w:vMerge/>
          </w:tcPr>
          <w:p w:rsidR="00567423" w:rsidRPr="00A21238" w:rsidRDefault="00567423" w:rsidP="00327473">
            <w:pPr>
              <w:jc w:val="center"/>
              <w:rPr>
                <w:rFonts w:ascii="Calibri" w:hAnsi="Calibri" w:cs="Calibri"/>
                <w:b/>
                <w:sz w:val="20"/>
                <w:szCs w:val="20"/>
              </w:rPr>
            </w:pPr>
          </w:p>
        </w:tc>
        <w:tc>
          <w:tcPr>
            <w:tcW w:w="457" w:type="pct"/>
            <w:vMerge/>
          </w:tcPr>
          <w:p w:rsidR="00567423" w:rsidRPr="00A21238" w:rsidRDefault="00567423" w:rsidP="00327473">
            <w:pPr>
              <w:jc w:val="center"/>
              <w:rPr>
                <w:rFonts w:ascii="Calibri" w:hAnsi="Calibri" w:cs="Calibri"/>
                <w:b/>
                <w:sz w:val="20"/>
                <w:szCs w:val="20"/>
              </w:rPr>
            </w:pPr>
          </w:p>
        </w:tc>
      </w:tr>
      <w:tr w:rsidR="00567423" w:rsidRPr="00A21238" w:rsidTr="009F5F76">
        <w:trPr>
          <w:trHeight w:val="341"/>
        </w:trPr>
        <w:tc>
          <w:tcPr>
            <w:tcW w:w="1299" w:type="pct"/>
          </w:tcPr>
          <w:p w:rsidR="00567423" w:rsidRPr="00A21238" w:rsidRDefault="00567423" w:rsidP="0002496E">
            <w:pPr>
              <w:rPr>
                <w:rFonts w:ascii="Calibri" w:hAnsi="Calibri" w:cs="Calibri"/>
                <w:sz w:val="20"/>
                <w:szCs w:val="20"/>
              </w:rPr>
            </w:pPr>
            <w:r w:rsidRPr="00A21238">
              <w:rPr>
                <w:rFonts w:ascii="Calibri" w:hAnsi="Calibri" w:cs="Calibri"/>
                <w:sz w:val="20"/>
                <w:szCs w:val="20"/>
              </w:rPr>
              <w:t>Response rate (%)</w:t>
            </w:r>
            <w:r w:rsidR="0002496E" w:rsidRPr="0002496E">
              <w:rPr>
                <w:rFonts w:ascii="Calibri" w:hAnsi="Calibri" w:cs="Calibri"/>
                <w:noProof/>
                <w:sz w:val="20"/>
                <w:szCs w:val="20"/>
                <w:vertAlign w:val="superscript"/>
              </w:rPr>
              <w:t>20, 41, 54, 75, 76, 78, 86, 119, 123, 125-127</w:t>
            </w:r>
          </w:p>
        </w:tc>
        <w:tc>
          <w:tcPr>
            <w:tcW w:w="691" w:type="pct"/>
            <w:vAlign w:val="bottom"/>
          </w:tcPr>
          <w:p w:rsidR="00567423" w:rsidRPr="00A21238" w:rsidRDefault="001E0BE4" w:rsidP="009F5F76">
            <w:pPr>
              <w:jc w:val="center"/>
              <w:rPr>
                <w:rFonts w:ascii="Calibri" w:hAnsi="Calibri" w:cs="Calibri"/>
                <w:sz w:val="20"/>
                <w:szCs w:val="20"/>
              </w:rPr>
            </w:pPr>
            <w:r w:rsidRPr="00A21238">
              <w:rPr>
                <w:rFonts w:ascii="Calibri" w:hAnsi="Calibri" w:cs="Calibri"/>
                <w:sz w:val="20"/>
                <w:szCs w:val="20"/>
              </w:rPr>
              <w:t>3%</w:t>
            </w:r>
          </w:p>
        </w:tc>
        <w:tc>
          <w:tcPr>
            <w:tcW w:w="713" w:type="pct"/>
            <w:vAlign w:val="bottom"/>
          </w:tcPr>
          <w:p w:rsidR="00567423" w:rsidRPr="00A21238" w:rsidRDefault="001E0BE4" w:rsidP="009F5F76">
            <w:pPr>
              <w:jc w:val="center"/>
              <w:rPr>
                <w:rFonts w:ascii="Calibri" w:hAnsi="Calibri" w:cs="Calibri"/>
                <w:sz w:val="20"/>
                <w:szCs w:val="20"/>
              </w:rPr>
            </w:pPr>
            <w:r w:rsidRPr="00A21238">
              <w:rPr>
                <w:rFonts w:ascii="Calibri" w:hAnsi="Calibri" w:cs="Calibri"/>
                <w:sz w:val="20"/>
                <w:szCs w:val="20"/>
              </w:rPr>
              <w:t>24%</w:t>
            </w:r>
          </w:p>
        </w:tc>
        <w:tc>
          <w:tcPr>
            <w:tcW w:w="564" w:type="pct"/>
            <w:vAlign w:val="bottom"/>
          </w:tcPr>
          <w:p w:rsidR="00567423" w:rsidRPr="00A21238" w:rsidRDefault="001E0BE4" w:rsidP="009F5F76">
            <w:pPr>
              <w:jc w:val="center"/>
              <w:rPr>
                <w:rFonts w:ascii="Calibri" w:hAnsi="Calibri" w:cs="Calibri"/>
                <w:sz w:val="20"/>
                <w:szCs w:val="20"/>
              </w:rPr>
            </w:pPr>
            <w:r w:rsidRPr="00A21238">
              <w:rPr>
                <w:rFonts w:ascii="Calibri" w:hAnsi="Calibri" w:cs="Calibri"/>
                <w:sz w:val="20"/>
                <w:szCs w:val="20"/>
              </w:rPr>
              <w:t>12(1041)</w:t>
            </w:r>
          </w:p>
        </w:tc>
        <w:tc>
          <w:tcPr>
            <w:tcW w:w="1276" w:type="pct"/>
            <w:vAlign w:val="bottom"/>
          </w:tcPr>
          <w:p w:rsidR="00567423" w:rsidRPr="00A21238" w:rsidRDefault="001E0BE4" w:rsidP="009F5F76">
            <w:pPr>
              <w:jc w:val="center"/>
              <w:rPr>
                <w:rFonts w:ascii="Calibri" w:hAnsi="Calibri" w:cs="Calibri"/>
                <w:sz w:val="20"/>
                <w:szCs w:val="20"/>
              </w:rPr>
            </w:pPr>
            <w:r w:rsidRPr="00A21238">
              <w:rPr>
                <w:rFonts w:ascii="Calibri" w:hAnsi="Calibri" w:cs="Calibri"/>
                <w:sz w:val="20"/>
                <w:szCs w:val="20"/>
              </w:rPr>
              <w:t>0.33 [0.18, 0.60]</w:t>
            </w:r>
          </w:p>
        </w:tc>
        <w:tc>
          <w:tcPr>
            <w:tcW w:w="457" w:type="pct"/>
            <w:vAlign w:val="bottom"/>
          </w:tcPr>
          <w:p w:rsidR="00567423" w:rsidRPr="00A21238" w:rsidRDefault="00A70B30" w:rsidP="009F5F76">
            <w:pPr>
              <w:jc w:val="center"/>
              <w:rPr>
                <w:rFonts w:ascii="Calibri" w:hAnsi="Calibri" w:cs="Calibri"/>
                <w:b/>
                <w:sz w:val="20"/>
                <w:szCs w:val="20"/>
              </w:rPr>
            </w:pPr>
            <w:r w:rsidRPr="00A21238">
              <w:rPr>
                <w:rFonts w:asciiTheme="minorHAnsi" w:hAnsiTheme="minorHAnsi" w:cstheme="minorHAnsi"/>
                <w:b/>
                <w:bCs/>
                <w:i/>
                <w:sz w:val="20"/>
                <w:szCs w:val="20"/>
              </w:rPr>
              <w:t>P</w:t>
            </w:r>
            <w:r w:rsidRPr="00A21238">
              <w:rPr>
                <w:rFonts w:asciiTheme="minorHAnsi" w:hAnsiTheme="minorHAnsi" w:cstheme="minorHAnsi"/>
                <w:b/>
                <w:bCs/>
                <w:sz w:val="20"/>
                <w:szCs w:val="20"/>
              </w:rPr>
              <w:t>&lt;.001</w:t>
            </w:r>
          </w:p>
        </w:tc>
      </w:tr>
    </w:tbl>
    <w:p w:rsidR="003E4FA9" w:rsidRPr="00A21238" w:rsidRDefault="003E4FA9">
      <w:pPr>
        <w:rPr>
          <w:rFonts w:ascii="Calibri" w:hAnsi="Calibri" w:cs="Calibri"/>
          <w:b/>
          <w:sz w:val="20"/>
          <w:szCs w:val="20"/>
        </w:rPr>
      </w:pPr>
    </w:p>
    <w:p w:rsidR="001E0BE4" w:rsidRPr="00A21238" w:rsidRDefault="001E0BE4">
      <w:pPr>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8"/>
        <w:gridCol w:w="1323"/>
        <w:gridCol w:w="1366"/>
        <w:gridCol w:w="1080"/>
        <w:gridCol w:w="2444"/>
        <w:gridCol w:w="875"/>
      </w:tblGrid>
      <w:tr w:rsidR="003546D4" w:rsidRPr="00A21238" w:rsidTr="009F5F76">
        <w:tc>
          <w:tcPr>
            <w:tcW w:w="1299" w:type="pct"/>
            <w:vMerge w:val="restart"/>
          </w:tcPr>
          <w:p w:rsidR="003546D4" w:rsidRPr="00A21238" w:rsidRDefault="003546D4" w:rsidP="003546D4">
            <w:pPr>
              <w:rPr>
                <w:rFonts w:ascii="Calibri" w:hAnsi="Calibri" w:cs="Calibri"/>
                <w:b/>
                <w:sz w:val="20"/>
                <w:szCs w:val="20"/>
              </w:rPr>
            </w:pPr>
            <w:r w:rsidRPr="00A21238">
              <w:rPr>
                <w:rFonts w:ascii="Calibri" w:hAnsi="Calibri" w:cs="Calibri"/>
                <w:b/>
                <w:sz w:val="20"/>
                <w:szCs w:val="20"/>
              </w:rPr>
              <w:t>Outcome</w:t>
            </w:r>
          </w:p>
        </w:tc>
        <w:tc>
          <w:tcPr>
            <w:tcW w:w="1404" w:type="pct"/>
            <w:gridSpan w:val="2"/>
          </w:tcPr>
          <w:p w:rsidR="003546D4" w:rsidRPr="00A21238" w:rsidRDefault="003546D4" w:rsidP="003546D4">
            <w:pPr>
              <w:jc w:val="center"/>
              <w:rPr>
                <w:rFonts w:ascii="Calibri" w:hAnsi="Calibri" w:cs="Calibri"/>
                <w:b/>
                <w:sz w:val="20"/>
                <w:szCs w:val="20"/>
              </w:rPr>
            </w:pPr>
            <w:r w:rsidRPr="00A21238">
              <w:rPr>
                <w:rFonts w:ascii="Calibri" w:hAnsi="Calibri" w:cs="Calibri"/>
                <w:b/>
                <w:sz w:val="20"/>
                <w:szCs w:val="20"/>
              </w:rPr>
              <w:t>Mean ± SD</w:t>
            </w:r>
          </w:p>
        </w:tc>
        <w:tc>
          <w:tcPr>
            <w:tcW w:w="564" w:type="pct"/>
            <w:vMerge w:val="restart"/>
            <w:vAlign w:val="bottom"/>
          </w:tcPr>
          <w:p w:rsidR="003546D4" w:rsidRPr="00A21238" w:rsidRDefault="003546D4" w:rsidP="009F5F76">
            <w:pPr>
              <w:jc w:val="center"/>
              <w:rPr>
                <w:rFonts w:ascii="Calibri" w:hAnsi="Calibri" w:cs="Calibri"/>
                <w:b/>
                <w:sz w:val="20"/>
                <w:szCs w:val="20"/>
              </w:rPr>
            </w:pPr>
            <w:r w:rsidRPr="00A21238">
              <w:rPr>
                <w:rFonts w:ascii="Calibri" w:hAnsi="Calibri" w:cs="Calibri"/>
                <w:b/>
                <w:sz w:val="20"/>
                <w:szCs w:val="20"/>
              </w:rPr>
              <w:t>n (N)</w:t>
            </w:r>
          </w:p>
        </w:tc>
        <w:tc>
          <w:tcPr>
            <w:tcW w:w="1276" w:type="pct"/>
            <w:vMerge w:val="restart"/>
            <w:vAlign w:val="bottom"/>
          </w:tcPr>
          <w:p w:rsidR="003546D4" w:rsidRPr="00A21238" w:rsidRDefault="003546D4" w:rsidP="00913508">
            <w:pPr>
              <w:jc w:val="center"/>
              <w:rPr>
                <w:rFonts w:ascii="Calibri" w:hAnsi="Calibri" w:cs="Calibri"/>
                <w:b/>
                <w:sz w:val="20"/>
                <w:szCs w:val="20"/>
                <w:lang w:val="fr-CA"/>
              </w:rPr>
            </w:pPr>
            <w:r w:rsidRPr="00A21238">
              <w:rPr>
                <w:rFonts w:ascii="Calibri" w:hAnsi="Calibri" w:cs="Calibri"/>
                <w:b/>
                <w:sz w:val="20"/>
                <w:szCs w:val="20"/>
                <w:lang w:val="fr-CA"/>
              </w:rPr>
              <w:t>WMD</w:t>
            </w:r>
            <w:r w:rsidR="00913508">
              <w:rPr>
                <w:rFonts w:ascii="Calibri" w:hAnsi="Calibri" w:cs="Calibri"/>
                <w:b/>
                <w:sz w:val="20"/>
                <w:szCs w:val="20"/>
                <w:lang w:val="fr-CA"/>
              </w:rPr>
              <w:t xml:space="preserve"> </w:t>
            </w:r>
            <w:r w:rsidRPr="00A21238">
              <w:rPr>
                <w:rFonts w:ascii="Calibri" w:hAnsi="Calibri" w:cs="Calibri"/>
                <w:b/>
                <w:sz w:val="20"/>
                <w:szCs w:val="20"/>
                <w:lang w:val="fr-CA"/>
              </w:rPr>
              <w:t>[95% CI]</w:t>
            </w:r>
          </w:p>
        </w:tc>
        <w:tc>
          <w:tcPr>
            <w:tcW w:w="457" w:type="pct"/>
            <w:vMerge w:val="restart"/>
            <w:vAlign w:val="bottom"/>
          </w:tcPr>
          <w:p w:rsidR="003546D4" w:rsidRPr="00A21238" w:rsidRDefault="00A70B30" w:rsidP="009F5F76">
            <w:pPr>
              <w:jc w:val="center"/>
              <w:rPr>
                <w:rFonts w:ascii="Calibri" w:hAnsi="Calibri" w:cs="Calibri"/>
                <w:b/>
                <w:sz w:val="20"/>
                <w:szCs w:val="20"/>
              </w:rPr>
            </w:pPr>
            <w:r w:rsidRPr="00A21238">
              <w:rPr>
                <w:rFonts w:ascii="Calibri" w:hAnsi="Calibri" w:cs="Calibri"/>
                <w:b/>
                <w:i/>
                <w:sz w:val="20"/>
                <w:szCs w:val="20"/>
              </w:rPr>
              <w:t>P</w:t>
            </w:r>
            <w:r w:rsidR="003546D4" w:rsidRPr="00A21238">
              <w:rPr>
                <w:rFonts w:ascii="Calibri" w:hAnsi="Calibri" w:cs="Calibri"/>
                <w:b/>
                <w:sz w:val="20"/>
                <w:szCs w:val="20"/>
              </w:rPr>
              <w:t xml:space="preserve"> value</w:t>
            </w:r>
          </w:p>
        </w:tc>
      </w:tr>
      <w:tr w:rsidR="003546D4" w:rsidRPr="00A21238" w:rsidTr="003546D4">
        <w:trPr>
          <w:trHeight w:val="394"/>
        </w:trPr>
        <w:tc>
          <w:tcPr>
            <w:tcW w:w="1299" w:type="pct"/>
            <w:vMerge/>
          </w:tcPr>
          <w:p w:rsidR="003546D4" w:rsidRPr="00A21238" w:rsidRDefault="003546D4" w:rsidP="003546D4">
            <w:pPr>
              <w:jc w:val="center"/>
              <w:rPr>
                <w:rFonts w:ascii="Calibri" w:hAnsi="Calibri" w:cs="Calibri"/>
                <w:b/>
                <w:sz w:val="20"/>
                <w:szCs w:val="20"/>
              </w:rPr>
            </w:pPr>
          </w:p>
        </w:tc>
        <w:tc>
          <w:tcPr>
            <w:tcW w:w="691" w:type="pct"/>
          </w:tcPr>
          <w:p w:rsidR="003546D4" w:rsidRPr="00A21238" w:rsidRDefault="003546D4" w:rsidP="003546D4">
            <w:pPr>
              <w:jc w:val="center"/>
              <w:rPr>
                <w:rFonts w:ascii="Calibri" w:hAnsi="Calibri" w:cs="Calibri"/>
                <w:b/>
                <w:i/>
                <w:sz w:val="20"/>
                <w:szCs w:val="20"/>
              </w:rPr>
            </w:pPr>
            <w:r w:rsidRPr="00A21238">
              <w:rPr>
                <w:rFonts w:ascii="Calibri" w:hAnsi="Calibri" w:cs="Calibri"/>
                <w:b/>
                <w:i/>
                <w:sz w:val="20"/>
                <w:szCs w:val="20"/>
              </w:rPr>
              <w:t>KRAS</w:t>
            </w:r>
          </w:p>
          <w:p w:rsidR="003546D4" w:rsidRPr="00A21238" w:rsidRDefault="003546D4" w:rsidP="003546D4">
            <w:pPr>
              <w:jc w:val="center"/>
              <w:rPr>
                <w:rFonts w:ascii="Calibri" w:hAnsi="Calibri" w:cs="Calibri"/>
                <w:b/>
                <w:sz w:val="20"/>
                <w:szCs w:val="20"/>
              </w:rPr>
            </w:pPr>
            <w:r w:rsidRPr="00A21238">
              <w:rPr>
                <w:rFonts w:ascii="Calibri" w:hAnsi="Calibri" w:cs="Calibri"/>
                <w:b/>
                <w:sz w:val="20"/>
                <w:szCs w:val="20"/>
              </w:rPr>
              <w:t>Mutations</w:t>
            </w:r>
          </w:p>
        </w:tc>
        <w:tc>
          <w:tcPr>
            <w:tcW w:w="713" w:type="pct"/>
          </w:tcPr>
          <w:p w:rsidR="003546D4" w:rsidRPr="00A21238" w:rsidRDefault="003546D4" w:rsidP="003546D4">
            <w:pPr>
              <w:jc w:val="center"/>
              <w:rPr>
                <w:rFonts w:ascii="Calibri" w:hAnsi="Calibri" w:cs="Calibri"/>
                <w:b/>
                <w:sz w:val="20"/>
                <w:szCs w:val="20"/>
              </w:rPr>
            </w:pPr>
            <w:r w:rsidRPr="00A21238">
              <w:rPr>
                <w:rFonts w:ascii="Calibri" w:hAnsi="Calibri" w:cs="Calibri"/>
                <w:b/>
                <w:sz w:val="20"/>
                <w:szCs w:val="20"/>
              </w:rPr>
              <w:t xml:space="preserve">No </w:t>
            </w:r>
            <w:r w:rsidRPr="00A21238">
              <w:rPr>
                <w:rFonts w:ascii="Calibri" w:hAnsi="Calibri" w:cs="Calibri"/>
                <w:b/>
                <w:i/>
                <w:sz w:val="20"/>
                <w:szCs w:val="20"/>
              </w:rPr>
              <w:t>KRAS</w:t>
            </w:r>
          </w:p>
          <w:p w:rsidR="003546D4" w:rsidRPr="00A21238" w:rsidRDefault="003546D4" w:rsidP="003546D4">
            <w:pPr>
              <w:jc w:val="center"/>
              <w:rPr>
                <w:rFonts w:ascii="Calibri" w:hAnsi="Calibri" w:cs="Calibri"/>
                <w:b/>
                <w:sz w:val="20"/>
                <w:szCs w:val="20"/>
              </w:rPr>
            </w:pPr>
            <w:r w:rsidRPr="00A21238">
              <w:rPr>
                <w:rFonts w:ascii="Calibri" w:hAnsi="Calibri" w:cs="Calibri"/>
                <w:b/>
                <w:sz w:val="20"/>
                <w:szCs w:val="20"/>
              </w:rPr>
              <w:t>Mutations</w:t>
            </w:r>
          </w:p>
        </w:tc>
        <w:tc>
          <w:tcPr>
            <w:tcW w:w="564" w:type="pct"/>
            <w:vMerge/>
          </w:tcPr>
          <w:p w:rsidR="003546D4" w:rsidRPr="00A21238" w:rsidRDefault="003546D4" w:rsidP="003546D4">
            <w:pPr>
              <w:jc w:val="center"/>
              <w:rPr>
                <w:rFonts w:ascii="Calibri" w:hAnsi="Calibri" w:cs="Calibri"/>
                <w:b/>
                <w:sz w:val="20"/>
                <w:szCs w:val="20"/>
              </w:rPr>
            </w:pPr>
          </w:p>
        </w:tc>
        <w:tc>
          <w:tcPr>
            <w:tcW w:w="1276" w:type="pct"/>
            <w:vMerge/>
          </w:tcPr>
          <w:p w:rsidR="003546D4" w:rsidRPr="00A21238" w:rsidRDefault="003546D4" w:rsidP="003546D4">
            <w:pPr>
              <w:jc w:val="center"/>
              <w:rPr>
                <w:rFonts w:ascii="Calibri" w:hAnsi="Calibri" w:cs="Calibri"/>
                <w:b/>
                <w:sz w:val="20"/>
                <w:szCs w:val="20"/>
              </w:rPr>
            </w:pPr>
          </w:p>
        </w:tc>
        <w:tc>
          <w:tcPr>
            <w:tcW w:w="457" w:type="pct"/>
            <w:vMerge/>
          </w:tcPr>
          <w:p w:rsidR="003546D4" w:rsidRPr="00A21238" w:rsidRDefault="003546D4" w:rsidP="003546D4">
            <w:pPr>
              <w:jc w:val="center"/>
              <w:rPr>
                <w:rFonts w:ascii="Calibri" w:hAnsi="Calibri" w:cs="Calibri"/>
                <w:b/>
                <w:sz w:val="20"/>
                <w:szCs w:val="20"/>
              </w:rPr>
            </w:pPr>
          </w:p>
        </w:tc>
      </w:tr>
      <w:tr w:rsidR="003546D4" w:rsidRPr="00A21238" w:rsidTr="009F5F76">
        <w:trPr>
          <w:trHeight w:val="341"/>
        </w:trPr>
        <w:tc>
          <w:tcPr>
            <w:tcW w:w="1299" w:type="pct"/>
          </w:tcPr>
          <w:p w:rsidR="003546D4" w:rsidRPr="00A21238" w:rsidRDefault="003546D4" w:rsidP="0002496E">
            <w:pPr>
              <w:rPr>
                <w:rFonts w:ascii="Calibri" w:hAnsi="Calibri" w:cs="Calibri"/>
                <w:sz w:val="20"/>
                <w:szCs w:val="20"/>
              </w:rPr>
            </w:pPr>
            <w:r w:rsidRPr="00A21238">
              <w:rPr>
                <w:rFonts w:ascii="Calibri" w:hAnsi="Calibri" w:cs="Calibri"/>
                <w:sz w:val="20"/>
                <w:szCs w:val="20"/>
              </w:rPr>
              <w:t>T</w:t>
            </w:r>
            <w:r w:rsidR="001E0BE4" w:rsidRPr="00A21238">
              <w:rPr>
                <w:rFonts w:ascii="Calibri" w:hAnsi="Calibri" w:cs="Calibri"/>
                <w:sz w:val="20"/>
                <w:szCs w:val="20"/>
              </w:rPr>
              <w:t xml:space="preserve">ime to Progression/ Progression Free Survival </w:t>
            </w:r>
            <w:r w:rsidRPr="00A21238">
              <w:rPr>
                <w:rFonts w:ascii="Calibri" w:hAnsi="Calibri" w:cs="Calibri"/>
                <w:sz w:val="20"/>
                <w:szCs w:val="20"/>
              </w:rPr>
              <w:t>(</w:t>
            </w:r>
            <w:r w:rsidR="001E0BE4" w:rsidRPr="00A21238">
              <w:rPr>
                <w:rFonts w:ascii="Calibri" w:hAnsi="Calibri" w:cs="Calibri"/>
                <w:sz w:val="20"/>
                <w:szCs w:val="20"/>
              </w:rPr>
              <w:t>m</w:t>
            </w:r>
            <w:r w:rsidRPr="00A21238">
              <w:rPr>
                <w:rFonts w:ascii="Calibri" w:hAnsi="Calibri" w:cs="Calibri"/>
                <w:sz w:val="20"/>
                <w:szCs w:val="20"/>
              </w:rPr>
              <w:t>onths)</w:t>
            </w:r>
            <w:r w:rsidR="0002496E" w:rsidRPr="0002496E">
              <w:rPr>
                <w:rFonts w:ascii="Calibri" w:hAnsi="Calibri" w:cs="Calibri"/>
                <w:noProof/>
                <w:sz w:val="20"/>
                <w:szCs w:val="20"/>
                <w:vertAlign w:val="superscript"/>
              </w:rPr>
              <w:t>20, 41, 54, 75, 91, 125, 126</w:t>
            </w:r>
          </w:p>
        </w:tc>
        <w:tc>
          <w:tcPr>
            <w:tcW w:w="691" w:type="pct"/>
            <w:vAlign w:val="bottom"/>
          </w:tcPr>
          <w:p w:rsidR="003546D4" w:rsidRPr="00A21238" w:rsidRDefault="003546D4" w:rsidP="009F5F76">
            <w:pPr>
              <w:jc w:val="center"/>
              <w:rPr>
                <w:rFonts w:ascii="Calibri" w:hAnsi="Calibri" w:cs="Calibri"/>
                <w:sz w:val="20"/>
                <w:szCs w:val="20"/>
              </w:rPr>
            </w:pPr>
          </w:p>
          <w:p w:rsidR="001E0BE4" w:rsidRPr="00A21238" w:rsidRDefault="001E0BE4" w:rsidP="009F5F76">
            <w:pPr>
              <w:jc w:val="center"/>
              <w:rPr>
                <w:rFonts w:ascii="Calibri" w:hAnsi="Calibri" w:cs="Calibri"/>
                <w:sz w:val="20"/>
                <w:szCs w:val="20"/>
              </w:rPr>
            </w:pPr>
            <w:r w:rsidRPr="00A21238">
              <w:rPr>
                <w:rFonts w:ascii="Calibri" w:hAnsi="Calibri" w:cs="Calibri"/>
                <w:sz w:val="20"/>
                <w:szCs w:val="20"/>
              </w:rPr>
              <w:t xml:space="preserve">3.4 </w:t>
            </w:r>
            <w:r w:rsidRPr="00A21238">
              <w:rPr>
                <w:rFonts w:ascii="Calibri" w:hAnsi="Calibri" w:cs="Calibri"/>
                <w:sz w:val="20"/>
                <w:szCs w:val="20"/>
                <w:u w:val="single"/>
              </w:rPr>
              <w:t>+</w:t>
            </w:r>
            <w:r w:rsidRPr="00A21238">
              <w:rPr>
                <w:rFonts w:ascii="Calibri" w:hAnsi="Calibri" w:cs="Calibri"/>
                <w:sz w:val="20"/>
                <w:szCs w:val="20"/>
              </w:rPr>
              <w:t xml:space="preserve"> 2.7</w:t>
            </w:r>
          </w:p>
        </w:tc>
        <w:tc>
          <w:tcPr>
            <w:tcW w:w="713" w:type="pct"/>
            <w:vAlign w:val="bottom"/>
          </w:tcPr>
          <w:p w:rsidR="003546D4" w:rsidRPr="00A21238" w:rsidRDefault="003546D4" w:rsidP="009F5F76">
            <w:pPr>
              <w:jc w:val="center"/>
              <w:rPr>
                <w:rFonts w:ascii="Calibri" w:hAnsi="Calibri" w:cs="Calibri"/>
                <w:sz w:val="20"/>
                <w:szCs w:val="20"/>
              </w:rPr>
            </w:pPr>
          </w:p>
          <w:p w:rsidR="001E0BE4" w:rsidRPr="00A21238" w:rsidRDefault="001E0BE4" w:rsidP="009F5F76">
            <w:pPr>
              <w:jc w:val="center"/>
              <w:rPr>
                <w:rFonts w:ascii="Calibri" w:hAnsi="Calibri" w:cs="Calibri"/>
                <w:sz w:val="20"/>
                <w:szCs w:val="20"/>
              </w:rPr>
            </w:pPr>
            <w:r w:rsidRPr="00A21238">
              <w:rPr>
                <w:rFonts w:ascii="Calibri" w:hAnsi="Calibri" w:cs="Calibri"/>
                <w:sz w:val="20"/>
                <w:szCs w:val="20"/>
              </w:rPr>
              <w:t xml:space="preserve">5 </w:t>
            </w:r>
            <w:r w:rsidRPr="00A21238">
              <w:rPr>
                <w:rFonts w:ascii="Calibri" w:hAnsi="Calibri" w:cs="Calibri"/>
                <w:sz w:val="20"/>
                <w:szCs w:val="20"/>
                <w:u w:val="single"/>
              </w:rPr>
              <w:t>+</w:t>
            </w:r>
            <w:r w:rsidRPr="00A21238">
              <w:rPr>
                <w:rFonts w:ascii="Calibri" w:hAnsi="Calibri" w:cs="Calibri"/>
                <w:sz w:val="20"/>
                <w:szCs w:val="20"/>
              </w:rPr>
              <w:t xml:space="preserve"> 3.7</w:t>
            </w:r>
          </w:p>
        </w:tc>
        <w:tc>
          <w:tcPr>
            <w:tcW w:w="564" w:type="pct"/>
            <w:vAlign w:val="bottom"/>
          </w:tcPr>
          <w:p w:rsidR="003546D4" w:rsidRPr="00A21238" w:rsidRDefault="003546D4" w:rsidP="009F5F76">
            <w:pPr>
              <w:jc w:val="center"/>
              <w:rPr>
                <w:rFonts w:ascii="Calibri" w:hAnsi="Calibri" w:cs="Calibri"/>
                <w:sz w:val="20"/>
                <w:szCs w:val="20"/>
              </w:rPr>
            </w:pPr>
          </w:p>
          <w:p w:rsidR="001E0BE4" w:rsidRPr="00A21238" w:rsidRDefault="001E0BE4" w:rsidP="009F5F76">
            <w:pPr>
              <w:jc w:val="center"/>
              <w:rPr>
                <w:rFonts w:ascii="Calibri" w:hAnsi="Calibri" w:cs="Calibri"/>
                <w:sz w:val="20"/>
                <w:szCs w:val="20"/>
              </w:rPr>
            </w:pPr>
            <w:r w:rsidRPr="00A21238">
              <w:rPr>
                <w:rFonts w:ascii="Calibri" w:hAnsi="Calibri" w:cs="Calibri"/>
                <w:sz w:val="20"/>
                <w:szCs w:val="20"/>
              </w:rPr>
              <w:t>7(918)</w:t>
            </w:r>
          </w:p>
        </w:tc>
        <w:tc>
          <w:tcPr>
            <w:tcW w:w="1276" w:type="pct"/>
            <w:vAlign w:val="bottom"/>
          </w:tcPr>
          <w:p w:rsidR="003546D4" w:rsidRPr="00A21238" w:rsidRDefault="003546D4" w:rsidP="009F5F76">
            <w:pPr>
              <w:jc w:val="center"/>
              <w:rPr>
                <w:rFonts w:ascii="Calibri" w:hAnsi="Calibri" w:cs="Calibri"/>
                <w:sz w:val="20"/>
                <w:szCs w:val="20"/>
              </w:rPr>
            </w:pPr>
          </w:p>
          <w:p w:rsidR="001E0BE4" w:rsidRPr="00A21238" w:rsidRDefault="001E0BE4" w:rsidP="009F5F76">
            <w:pPr>
              <w:jc w:val="center"/>
              <w:rPr>
                <w:rFonts w:ascii="Calibri" w:hAnsi="Calibri" w:cs="Calibri"/>
                <w:sz w:val="20"/>
                <w:szCs w:val="20"/>
              </w:rPr>
            </w:pPr>
            <w:r w:rsidRPr="00A21238">
              <w:rPr>
                <w:rFonts w:ascii="Calibri" w:hAnsi="Calibri" w:cs="Calibri"/>
                <w:sz w:val="20"/>
                <w:szCs w:val="20"/>
              </w:rPr>
              <w:t>-1.84 [-2.99, -1.70]</w:t>
            </w:r>
          </w:p>
        </w:tc>
        <w:tc>
          <w:tcPr>
            <w:tcW w:w="457" w:type="pct"/>
            <w:vAlign w:val="bottom"/>
          </w:tcPr>
          <w:p w:rsidR="001E0BE4" w:rsidRPr="00A21238" w:rsidRDefault="001E0BE4" w:rsidP="009F5F76">
            <w:pPr>
              <w:jc w:val="center"/>
              <w:rPr>
                <w:rFonts w:ascii="Calibri" w:hAnsi="Calibri" w:cs="Calibri"/>
                <w:b/>
                <w:sz w:val="20"/>
                <w:szCs w:val="20"/>
              </w:rPr>
            </w:pPr>
          </w:p>
          <w:p w:rsidR="003546D4" w:rsidRPr="00A21238" w:rsidRDefault="00FE123D" w:rsidP="009F5F76">
            <w:pPr>
              <w:jc w:val="center"/>
              <w:rPr>
                <w:rFonts w:ascii="Calibri" w:hAnsi="Calibri" w:cs="Calibri"/>
                <w:b/>
                <w:sz w:val="20"/>
                <w:szCs w:val="20"/>
              </w:rPr>
            </w:pPr>
            <w:r w:rsidRPr="00FE123D">
              <w:rPr>
                <w:rFonts w:ascii="Calibri" w:hAnsi="Calibri" w:cs="Calibri"/>
                <w:b/>
                <w:i/>
                <w:sz w:val="20"/>
                <w:szCs w:val="20"/>
              </w:rPr>
              <w:t>P</w:t>
            </w:r>
            <w:r>
              <w:rPr>
                <w:rFonts w:ascii="Calibri" w:hAnsi="Calibri" w:cs="Calibri"/>
                <w:b/>
                <w:sz w:val="20"/>
                <w:szCs w:val="20"/>
              </w:rPr>
              <w:t>=</w:t>
            </w:r>
            <w:r w:rsidR="001E0BE4" w:rsidRPr="00A21238">
              <w:rPr>
                <w:rFonts w:ascii="Calibri" w:hAnsi="Calibri" w:cs="Calibri"/>
                <w:b/>
                <w:sz w:val="20"/>
                <w:szCs w:val="20"/>
              </w:rPr>
              <w:t>.002</w:t>
            </w:r>
          </w:p>
        </w:tc>
      </w:tr>
      <w:tr w:rsidR="003546D4" w:rsidRPr="00A21238" w:rsidTr="009F5F76">
        <w:trPr>
          <w:trHeight w:val="341"/>
        </w:trPr>
        <w:tc>
          <w:tcPr>
            <w:tcW w:w="1299" w:type="pct"/>
          </w:tcPr>
          <w:p w:rsidR="003546D4" w:rsidRPr="00A21238" w:rsidRDefault="009223C6" w:rsidP="0002496E">
            <w:pPr>
              <w:rPr>
                <w:rFonts w:ascii="Calibri" w:hAnsi="Calibri" w:cs="Calibri"/>
                <w:sz w:val="20"/>
                <w:szCs w:val="20"/>
              </w:rPr>
            </w:pPr>
            <w:r w:rsidRPr="00A21238">
              <w:rPr>
                <w:rFonts w:ascii="Calibri" w:hAnsi="Calibri" w:cs="Calibri"/>
                <w:sz w:val="20"/>
                <w:szCs w:val="20"/>
              </w:rPr>
              <w:t xml:space="preserve">Median </w:t>
            </w:r>
            <w:r w:rsidR="00D01AA5" w:rsidRPr="00A21238">
              <w:rPr>
                <w:rFonts w:ascii="Calibri" w:hAnsi="Calibri" w:cs="Calibri"/>
                <w:sz w:val="20"/>
                <w:szCs w:val="20"/>
              </w:rPr>
              <w:t xml:space="preserve">Overall </w:t>
            </w:r>
            <w:r w:rsidR="003546D4" w:rsidRPr="00A21238">
              <w:rPr>
                <w:rFonts w:ascii="Calibri" w:hAnsi="Calibri" w:cs="Calibri"/>
                <w:sz w:val="20"/>
                <w:szCs w:val="20"/>
              </w:rPr>
              <w:t>Survival time (</w:t>
            </w:r>
            <w:r w:rsidR="001E0BE4" w:rsidRPr="00A21238">
              <w:rPr>
                <w:rFonts w:ascii="Calibri" w:hAnsi="Calibri" w:cs="Calibri"/>
                <w:sz w:val="20"/>
                <w:szCs w:val="20"/>
              </w:rPr>
              <w:t>m</w:t>
            </w:r>
            <w:r w:rsidR="003546D4" w:rsidRPr="00A21238">
              <w:rPr>
                <w:rFonts w:ascii="Calibri" w:hAnsi="Calibri" w:cs="Calibri"/>
                <w:sz w:val="20"/>
                <w:szCs w:val="20"/>
              </w:rPr>
              <w:t>onths)</w:t>
            </w:r>
            <w:r w:rsidR="0002496E" w:rsidRPr="0002496E">
              <w:rPr>
                <w:rFonts w:ascii="Calibri" w:hAnsi="Calibri" w:cs="Calibri"/>
                <w:noProof/>
                <w:sz w:val="20"/>
                <w:szCs w:val="20"/>
                <w:vertAlign w:val="superscript"/>
              </w:rPr>
              <w:t>20, 41, 54, 75, 86, 125, 126</w:t>
            </w:r>
          </w:p>
        </w:tc>
        <w:tc>
          <w:tcPr>
            <w:tcW w:w="691" w:type="pct"/>
            <w:vAlign w:val="bottom"/>
          </w:tcPr>
          <w:p w:rsidR="003546D4" w:rsidRPr="00A21238" w:rsidRDefault="001E0BE4" w:rsidP="009F5F76">
            <w:pPr>
              <w:jc w:val="center"/>
              <w:rPr>
                <w:rFonts w:ascii="Calibri" w:hAnsi="Calibri" w:cs="Calibri"/>
                <w:sz w:val="20"/>
                <w:szCs w:val="20"/>
              </w:rPr>
            </w:pPr>
            <w:r w:rsidRPr="00A21238">
              <w:rPr>
                <w:rFonts w:ascii="Calibri" w:hAnsi="Calibri" w:cs="Calibri"/>
                <w:sz w:val="20"/>
                <w:szCs w:val="20"/>
              </w:rPr>
              <w:t xml:space="preserve">9.2 </w:t>
            </w:r>
            <w:r w:rsidRPr="00A21238">
              <w:rPr>
                <w:rFonts w:ascii="Calibri" w:hAnsi="Calibri" w:cs="Calibri"/>
                <w:sz w:val="20"/>
                <w:szCs w:val="20"/>
                <w:u w:val="single"/>
              </w:rPr>
              <w:t>+</w:t>
            </w:r>
            <w:r w:rsidRPr="00A21238">
              <w:rPr>
                <w:rFonts w:ascii="Calibri" w:hAnsi="Calibri" w:cs="Calibri"/>
                <w:sz w:val="20"/>
                <w:szCs w:val="20"/>
              </w:rPr>
              <w:t xml:space="preserve"> 5.6</w:t>
            </w:r>
          </w:p>
        </w:tc>
        <w:tc>
          <w:tcPr>
            <w:tcW w:w="713" w:type="pct"/>
            <w:vAlign w:val="bottom"/>
          </w:tcPr>
          <w:p w:rsidR="003546D4" w:rsidRPr="00A21238" w:rsidRDefault="001E0BE4" w:rsidP="009F5F76">
            <w:pPr>
              <w:jc w:val="center"/>
              <w:rPr>
                <w:rFonts w:ascii="Calibri" w:hAnsi="Calibri" w:cs="Calibri"/>
                <w:sz w:val="20"/>
                <w:szCs w:val="20"/>
              </w:rPr>
            </w:pPr>
            <w:r w:rsidRPr="00A21238">
              <w:rPr>
                <w:rFonts w:ascii="Calibri" w:hAnsi="Calibri" w:cs="Calibri"/>
                <w:sz w:val="20"/>
                <w:szCs w:val="20"/>
              </w:rPr>
              <w:t xml:space="preserve">13.2 </w:t>
            </w:r>
            <w:r w:rsidRPr="00A21238">
              <w:rPr>
                <w:rFonts w:ascii="Calibri" w:hAnsi="Calibri" w:cs="Calibri"/>
                <w:sz w:val="20"/>
                <w:szCs w:val="20"/>
                <w:u w:val="single"/>
              </w:rPr>
              <w:t>+</w:t>
            </w:r>
            <w:r w:rsidRPr="00A21238">
              <w:rPr>
                <w:rFonts w:ascii="Calibri" w:hAnsi="Calibri" w:cs="Calibri"/>
                <w:sz w:val="20"/>
                <w:szCs w:val="20"/>
              </w:rPr>
              <w:t xml:space="preserve"> 7.1</w:t>
            </w:r>
          </w:p>
        </w:tc>
        <w:tc>
          <w:tcPr>
            <w:tcW w:w="564" w:type="pct"/>
            <w:vAlign w:val="bottom"/>
          </w:tcPr>
          <w:p w:rsidR="003546D4" w:rsidRPr="00A21238" w:rsidRDefault="001E0BE4" w:rsidP="009F5F76">
            <w:pPr>
              <w:jc w:val="center"/>
              <w:rPr>
                <w:rFonts w:ascii="Calibri" w:hAnsi="Calibri" w:cs="Calibri"/>
                <w:sz w:val="20"/>
                <w:szCs w:val="20"/>
              </w:rPr>
            </w:pPr>
            <w:r w:rsidRPr="00A21238">
              <w:rPr>
                <w:rFonts w:ascii="Calibri" w:hAnsi="Calibri" w:cs="Calibri"/>
                <w:sz w:val="20"/>
                <w:szCs w:val="20"/>
              </w:rPr>
              <w:t>7(737)</w:t>
            </w:r>
          </w:p>
        </w:tc>
        <w:tc>
          <w:tcPr>
            <w:tcW w:w="1276" w:type="pct"/>
            <w:vAlign w:val="bottom"/>
          </w:tcPr>
          <w:p w:rsidR="003546D4" w:rsidRPr="00A21238" w:rsidRDefault="001E0BE4" w:rsidP="009F5F76">
            <w:pPr>
              <w:jc w:val="center"/>
              <w:rPr>
                <w:rFonts w:ascii="Calibri" w:hAnsi="Calibri" w:cs="Calibri"/>
                <w:sz w:val="20"/>
                <w:szCs w:val="20"/>
              </w:rPr>
            </w:pPr>
            <w:r w:rsidRPr="00A21238">
              <w:rPr>
                <w:rFonts w:ascii="Calibri" w:hAnsi="Calibri" w:cs="Calibri"/>
                <w:sz w:val="20"/>
                <w:szCs w:val="20"/>
              </w:rPr>
              <w:t>-3.69 [-6.32, -1.06]</w:t>
            </w:r>
          </w:p>
        </w:tc>
        <w:tc>
          <w:tcPr>
            <w:tcW w:w="457" w:type="pct"/>
            <w:vAlign w:val="bottom"/>
          </w:tcPr>
          <w:p w:rsidR="003546D4" w:rsidRPr="00A21238" w:rsidRDefault="00FE123D" w:rsidP="009F5F76">
            <w:pPr>
              <w:jc w:val="center"/>
              <w:rPr>
                <w:rFonts w:ascii="Calibri" w:hAnsi="Calibri" w:cs="Calibri"/>
                <w:b/>
                <w:sz w:val="20"/>
                <w:szCs w:val="20"/>
              </w:rPr>
            </w:pPr>
            <w:r w:rsidRPr="00FE123D">
              <w:rPr>
                <w:rFonts w:ascii="Calibri" w:hAnsi="Calibri" w:cs="Calibri"/>
                <w:b/>
                <w:i/>
                <w:sz w:val="20"/>
                <w:szCs w:val="20"/>
              </w:rPr>
              <w:t>P</w:t>
            </w:r>
            <w:r>
              <w:rPr>
                <w:rFonts w:ascii="Calibri" w:hAnsi="Calibri" w:cs="Calibri"/>
                <w:b/>
                <w:sz w:val="20"/>
                <w:szCs w:val="20"/>
              </w:rPr>
              <w:t>=</w:t>
            </w:r>
            <w:r w:rsidR="001E0BE4" w:rsidRPr="00A21238">
              <w:rPr>
                <w:rFonts w:ascii="Calibri" w:hAnsi="Calibri" w:cs="Calibri"/>
                <w:b/>
                <w:sz w:val="20"/>
                <w:szCs w:val="20"/>
              </w:rPr>
              <w:t>.006</w:t>
            </w:r>
          </w:p>
        </w:tc>
      </w:tr>
    </w:tbl>
    <w:p w:rsidR="001E0BE4" w:rsidRPr="00A52683" w:rsidRDefault="00437895" w:rsidP="00A26FF8">
      <w:pPr>
        <w:ind w:left="-90"/>
        <w:rPr>
          <w:rFonts w:asciiTheme="minorHAnsi" w:hAnsiTheme="minorHAnsi" w:cs="Arial"/>
          <w:b/>
          <w:sz w:val="18"/>
          <w:szCs w:val="18"/>
        </w:rPr>
      </w:pPr>
      <w:r>
        <w:rPr>
          <w:rFonts w:asciiTheme="minorHAnsi" w:hAnsiTheme="minorHAnsi"/>
          <w:sz w:val="18"/>
          <w:szCs w:val="18"/>
        </w:rPr>
        <w:t xml:space="preserve">Abbreviations: </w:t>
      </w:r>
      <w:r w:rsidR="001E0BE4" w:rsidRPr="00A52683">
        <w:rPr>
          <w:rFonts w:asciiTheme="minorHAnsi" w:hAnsiTheme="minorHAnsi"/>
          <w:sz w:val="18"/>
          <w:szCs w:val="18"/>
        </w:rPr>
        <w:t>CI</w:t>
      </w:r>
      <w:r w:rsidR="00470CE4">
        <w:rPr>
          <w:rFonts w:asciiTheme="minorHAnsi" w:hAnsiTheme="minorHAnsi"/>
          <w:sz w:val="18"/>
          <w:szCs w:val="18"/>
        </w:rPr>
        <w:t>,</w:t>
      </w:r>
      <w:r w:rsidR="001E0BE4" w:rsidRPr="00A52683">
        <w:rPr>
          <w:rFonts w:asciiTheme="minorHAnsi" w:hAnsiTheme="minorHAnsi"/>
          <w:sz w:val="18"/>
          <w:szCs w:val="18"/>
        </w:rPr>
        <w:t xml:space="preserve"> Confidence interval; n</w:t>
      </w:r>
      <w:r w:rsidR="00470CE4">
        <w:rPr>
          <w:rFonts w:asciiTheme="minorHAnsi" w:hAnsiTheme="minorHAnsi"/>
          <w:sz w:val="18"/>
          <w:szCs w:val="18"/>
        </w:rPr>
        <w:t>,</w:t>
      </w:r>
      <w:r w:rsidR="001E0BE4" w:rsidRPr="00A52683">
        <w:rPr>
          <w:rFonts w:asciiTheme="minorHAnsi" w:hAnsiTheme="minorHAnsi"/>
          <w:sz w:val="18"/>
          <w:szCs w:val="18"/>
        </w:rPr>
        <w:t xml:space="preserve"> Number of studies; N</w:t>
      </w:r>
      <w:r w:rsidR="00470CE4">
        <w:rPr>
          <w:rFonts w:asciiTheme="minorHAnsi" w:hAnsiTheme="minorHAnsi"/>
          <w:sz w:val="18"/>
          <w:szCs w:val="18"/>
        </w:rPr>
        <w:t>,</w:t>
      </w:r>
      <w:r w:rsidR="001E0BE4" w:rsidRPr="00A52683">
        <w:rPr>
          <w:rFonts w:asciiTheme="minorHAnsi" w:hAnsiTheme="minorHAnsi"/>
          <w:sz w:val="18"/>
          <w:szCs w:val="18"/>
        </w:rPr>
        <w:t xml:space="preserve"> Number of patients; WMD</w:t>
      </w:r>
      <w:r w:rsidR="00470CE4">
        <w:rPr>
          <w:rFonts w:asciiTheme="minorHAnsi" w:hAnsiTheme="minorHAnsi"/>
          <w:sz w:val="18"/>
          <w:szCs w:val="18"/>
        </w:rPr>
        <w:t>,</w:t>
      </w:r>
      <w:r w:rsidR="001E0BE4" w:rsidRPr="00A52683">
        <w:rPr>
          <w:rFonts w:asciiTheme="minorHAnsi" w:hAnsiTheme="minorHAnsi"/>
          <w:sz w:val="18"/>
          <w:szCs w:val="18"/>
        </w:rPr>
        <w:t xml:space="preserve"> Weighted mean difference</w:t>
      </w:r>
      <w:r w:rsidR="00913508" w:rsidRPr="00A52683">
        <w:rPr>
          <w:rFonts w:asciiTheme="minorHAnsi" w:hAnsiTheme="minorHAnsi"/>
          <w:sz w:val="18"/>
          <w:szCs w:val="18"/>
        </w:rPr>
        <w:t xml:space="preserve"> </w:t>
      </w:r>
      <w:r w:rsidR="00913508" w:rsidRPr="00A52683">
        <w:rPr>
          <w:rFonts w:ascii="Calibri" w:hAnsi="Calibri" w:cs="Calibri"/>
          <w:sz w:val="18"/>
          <w:szCs w:val="18"/>
          <w:lang w:val="fr-CA"/>
        </w:rPr>
        <w:t xml:space="preserve">Inverse-variance, </w:t>
      </w:r>
      <w:proofErr w:type="spellStart"/>
      <w:r w:rsidR="00913508" w:rsidRPr="00A52683">
        <w:rPr>
          <w:rFonts w:ascii="Calibri" w:hAnsi="Calibri" w:cs="Calibri"/>
          <w:sz w:val="18"/>
          <w:szCs w:val="18"/>
          <w:lang w:val="fr-CA"/>
        </w:rPr>
        <w:t>Random</w:t>
      </w:r>
      <w:proofErr w:type="spellEnd"/>
      <w:r w:rsidR="00913508" w:rsidRPr="00A52683">
        <w:rPr>
          <w:rFonts w:ascii="Calibri" w:hAnsi="Calibri" w:cs="Calibri"/>
          <w:sz w:val="18"/>
          <w:szCs w:val="18"/>
          <w:lang w:val="fr-CA"/>
        </w:rPr>
        <w:t xml:space="preserve"> </w:t>
      </w:r>
      <w:proofErr w:type="spellStart"/>
      <w:r w:rsidR="00913508" w:rsidRPr="00A52683">
        <w:rPr>
          <w:rFonts w:ascii="Calibri" w:hAnsi="Calibri" w:cs="Calibri"/>
          <w:sz w:val="18"/>
          <w:szCs w:val="18"/>
          <w:lang w:val="fr-CA"/>
        </w:rPr>
        <w:t>effects</w:t>
      </w:r>
      <w:proofErr w:type="spellEnd"/>
      <w:r w:rsidR="00913508" w:rsidRPr="00A52683">
        <w:rPr>
          <w:rFonts w:ascii="Calibri" w:hAnsi="Calibri" w:cs="Calibri"/>
          <w:sz w:val="18"/>
          <w:szCs w:val="18"/>
          <w:lang w:val="fr-CA"/>
        </w:rPr>
        <w:t xml:space="preserve"> [95% CI]</w:t>
      </w:r>
      <w:r w:rsidR="00B13AF0" w:rsidRPr="00A52683">
        <w:rPr>
          <w:rFonts w:asciiTheme="minorHAnsi" w:hAnsiTheme="minorHAnsi"/>
          <w:sz w:val="18"/>
          <w:szCs w:val="18"/>
        </w:rPr>
        <w:t>; RR</w:t>
      </w:r>
      <w:r w:rsidR="00470CE4">
        <w:rPr>
          <w:rFonts w:asciiTheme="minorHAnsi" w:hAnsiTheme="minorHAnsi"/>
          <w:sz w:val="18"/>
          <w:szCs w:val="18"/>
        </w:rPr>
        <w:t>,</w:t>
      </w:r>
      <w:r w:rsidR="00913508" w:rsidRPr="00A52683">
        <w:rPr>
          <w:rFonts w:asciiTheme="minorHAnsi" w:hAnsiTheme="minorHAnsi" w:cstheme="minorHAnsi"/>
          <w:sz w:val="18"/>
          <w:szCs w:val="18"/>
        </w:rPr>
        <w:t xml:space="preserve"> Relative Risk, Mantel-Haenszel, Random Effects model, [95% CI]</w:t>
      </w:r>
    </w:p>
    <w:p w:rsidR="008678C3" w:rsidRPr="00A21238" w:rsidRDefault="00C74FDD" w:rsidP="00D4135A">
      <w:pPr>
        <w:rPr>
          <w:rFonts w:ascii="Century Gothic" w:hAnsi="Century Gothic"/>
          <w:b/>
          <w:sz w:val="20"/>
          <w:szCs w:val="20"/>
        </w:rPr>
      </w:pPr>
      <w:r w:rsidRPr="00A21238">
        <w:rPr>
          <w:rFonts w:ascii="Century Gothic" w:hAnsi="Century Gothic"/>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678C3" w:rsidRPr="00A52683" w:rsidTr="004952B0">
        <w:tc>
          <w:tcPr>
            <w:tcW w:w="5000" w:type="pct"/>
            <w:vAlign w:val="center"/>
          </w:tcPr>
          <w:p w:rsidR="00481C2E" w:rsidRPr="00A52683" w:rsidRDefault="004A0542" w:rsidP="004952B0">
            <w:pPr>
              <w:rPr>
                <w:b/>
                <w:sz w:val="22"/>
                <w:szCs w:val="22"/>
              </w:rPr>
            </w:pPr>
            <w:r w:rsidRPr="00A52683">
              <w:rPr>
                <w:b/>
                <w:sz w:val="22"/>
                <w:szCs w:val="22"/>
              </w:rPr>
              <w:lastRenderedPageBreak/>
              <w:t>8.1</w:t>
            </w:r>
            <w:r w:rsidR="00481C2E" w:rsidRPr="00A52683">
              <w:rPr>
                <w:b/>
                <w:sz w:val="22"/>
                <w:szCs w:val="22"/>
              </w:rPr>
              <w:t xml:space="preserve">: Recommendation: </w:t>
            </w:r>
            <w:r w:rsidR="00A070F6" w:rsidRPr="00A52683">
              <w:rPr>
                <w:b/>
                <w:sz w:val="22"/>
                <w:szCs w:val="22"/>
              </w:rPr>
              <w:t>I</w:t>
            </w:r>
            <w:r w:rsidR="00481C2E" w:rsidRPr="00A52683">
              <w:rPr>
                <w:b/>
                <w:sz w:val="22"/>
                <w:szCs w:val="22"/>
              </w:rPr>
              <w:t>f a laboratory perfo</w:t>
            </w:r>
            <w:r w:rsidRPr="00A52683">
              <w:rPr>
                <w:b/>
                <w:sz w:val="22"/>
                <w:szCs w:val="22"/>
              </w:rPr>
              <w:t>r</w:t>
            </w:r>
            <w:r w:rsidR="00481C2E" w:rsidRPr="00A52683">
              <w:rPr>
                <w:b/>
                <w:sz w:val="22"/>
                <w:szCs w:val="22"/>
              </w:rPr>
              <w:t>ms testing on specimens from patients with acquired resistance</w:t>
            </w:r>
            <w:r w:rsidR="009200CE">
              <w:rPr>
                <w:b/>
                <w:sz w:val="22"/>
                <w:szCs w:val="22"/>
              </w:rPr>
              <w:t xml:space="preserve"> (AR)</w:t>
            </w:r>
            <w:r w:rsidR="00481C2E" w:rsidRPr="00A52683">
              <w:rPr>
                <w:b/>
                <w:sz w:val="22"/>
                <w:szCs w:val="22"/>
              </w:rPr>
              <w:t xml:space="preserve"> to EGFR kinase inhibitors, such tests should be able to detect the secondary </w:t>
            </w:r>
            <w:r w:rsidR="00481C2E" w:rsidRPr="00A52683">
              <w:rPr>
                <w:b/>
                <w:i/>
                <w:sz w:val="22"/>
                <w:szCs w:val="22"/>
              </w:rPr>
              <w:t xml:space="preserve">EGFR </w:t>
            </w:r>
            <w:r w:rsidR="00481C2E" w:rsidRPr="00A52683">
              <w:rPr>
                <w:b/>
                <w:sz w:val="22"/>
                <w:szCs w:val="22"/>
              </w:rPr>
              <w:t>T790M mutation in as few as 5% of cells.</w:t>
            </w:r>
          </w:p>
        </w:tc>
      </w:tr>
      <w:tr w:rsidR="008678C3" w:rsidRPr="00A52683" w:rsidTr="004952B0">
        <w:tc>
          <w:tcPr>
            <w:tcW w:w="5000" w:type="pct"/>
            <w:vAlign w:val="center"/>
          </w:tcPr>
          <w:p w:rsidR="008678C3" w:rsidRPr="00A52683" w:rsidRDefault="008678C3" w:rsidP="004952B0">
            <w:pPr>
              <w:rPr>
                <w:sz w:val="22"/>
                <w:szCs w:val="22"/>
              </w:rPr>
            </w:pPr>
            <w:r w:rsidRPr="00A52683">
              <w:rPr>
                <w:b/>
                <w:bCs/>
                <w:sz w:val="22"/>
                <w:szCs w:val="22"/>
              </w:rPr>
              <w:t>Evidence base: B</w:t>
            </w:r>
          </w:p>
        </w:tc>
      </w:tr>
      <w:tr w:rsidR="008678C3" w:rsidRPr="00A52683" w:rsidTr="004952B0">
        <w:tc>
          <w:tcPr>
            <w:tcW w:w="5000" w:type="pct"/>
            <w:vAlign w:val="center"/>
          </w:tcPr>
          <w:p w:rsidR="008678C3" w:rsidRPr="00A52683" w:rsidRDefault="008678C3" w:rsidP="004952B0">
            <w:pPr>
              <w:rPr>
                <w:sz w:val="22"/>
                <w:szCs w:val="22"/>
              </w:rPr>
            </w:pPr>
            <w:r w:rsidRPr="00A52683">
              <w:rPr>
                <w:b/>
                <w:bCs/>
                <w:sz w:val="22"/>
                <w:szCs w:val="22"/>
              </w:rPr>
              <w:t>Consistency: B</w:t>
            </w:r>
          </w:p>
        </w:tc>
      </w:tr>
      <w:tr w:rsidR="008678C3" w:rsidRPr="00A52683" w:rsidTr="004952B0">
        <w:tc>
          <w:tcPr>
            <w:tcW w:w="5000" w:type="pct"/>
            <w:vAlign w:val="center"/>
          </w:tcPr>
          <w:p w:rsidR="008678C3" w:rsidRPr="00A52683" w:rsidRDefault="008678C3" w:rsidP="001A66EB">
            <w:pPr>
              <w:rPr>
                <w:b/>
                <w:bCs/>
                <w:sz w:val="22"/>
                <w:szCs w:val="22"/>
              </w:rPr>
            </w:pPr>
            <w:r w:rsidRPr="00A52683">
              <w:rPr>
                <w:b/>
                <w:bCs/>
                <w:sz w:val="22"/>
                <w:szCs w:val="22"/>
              </w:rPr>
              <w:t xml:space="preserve">Clinical impact: </w:t>
            </w:r>
            <w:r w:rsidR="000A720E" w:rsidRPr="00A52683">
              <w:rPr>
                <w:b/>
                <w:bCs/>
                <w:sz w:val="22"/>
                <w:szCs w:val="22"/>
              </w:rPr>
              <w:t>B</w:t>
            </w:r>
          </w:p>
        </w:tc>
      </w:tr>
      <w:tr w:rsidR="008678C3" w:rsidRPr="00A52683" w:rsidTr="004952B0">
        <w:tc>
          <w:tcPr>
            <w:tcW w:w="5000" w:type="pct"/>
            <w:vAlign w:val="center"/>
          </w:tcPr>
          <w:p w:rsidR="008678C3" w:rsidRPr="00A52683" w:rsidRDefault="008678C3" w:rsidP="001A66EB">
            <w:pPr>
              <w:rPr>
                <w:b/>
                <w:bCs/>
                <w:sz w:val="22"/>
                <w:szCs w:val="22"/>
              </w:rPr>
            </w:pPr>
            <w:proofErr w:type="spellStart"/>
            <w:r w:rsidRPr="00A52683">
              <w:rPr>
                <w:b/>
                <w:bCs/>
                <w:sz w:val="22"/>
                <w:szCs w:val="22"/>
              </w:rPr>
              <w:t>Generalizability</w:t>
            </w:r>
            <w:proofErr w:type="spellEnd"/>
            <w:r w:rsidRPr="00A52683">
              <w:rPr>
                <w:b/>
                <w:bCs/>
                <w:sz w:val="22"/>
                <w:szCs w:val="22"/>
              </w:rPr>
              <w:t xml:space="preserve">: </w:t>
            </w:r>
            <w:r w:rsidR="000A720E" w:rsidRPr="00A52683">
              <w:rPr>
                <w:b/>
                <w:bCs/>
                <w:sz w:val="22"/>
                <w:szCs w:val="22"/>
              </w:rPr>
              <w:t>C</w:t>
            </w:r>
          </w:p>
        </w:tc>
      </w:tr>
      <w:tr w:rsidR="008678C3" w:rsidRPr="00A52683" w:rsidTr="004952B0">
        <w:tc>
          <w:tcPr>
            <w:tcW w:w="5000" w:type="pct"/>
            <w:vAlign w:val="center"/>
          </w:tcPr>
          <w:p w:rsidR="008678C3" w:rsidRPr="00A52683" w:rsidRDefault="001A66EB" w:rsidP="001A66EB">
            <w:pPr>
              <w:rPr>
                <w:b/>
                <w:bCs/>
                <w:sz w:val="22"/>
                <w:szCs w:val="22"/>
              </w:rPr>
            </w:pPr>
            <w:r w:rsidRPr="00A52683">
              <w:rPr>
                <w:b/>
                <w:bCs/>
                <w:sz w:val="22"/>
                <w:szCs w:val="22"/>
              </w:rPr>
              <w:t xml:space="preserve">Applicability: </w:t>
            </w:r>
            <w:r w:rsidR="000A720E" w:rsidRPr="00A52683">
              <w:rPr>
                <w:b/>
                <w:bCs/>
                <w:sz w:val="22"/>
                <w:szCs w:val="22"/>
              </w:rPr>
              <w:t>B</w:t>
            </w:r>
          </w:p>
        </w:tc>
      </w:tr>
      <w:tr w:rsidR="008678C3" w:rsidRPr="00A52683" w:rsidTr="004952B0">
        <w:tc>
          <w:tcPr>
            <w:tcW w:w="5000" w:type="pct"/>
            <w:vAlign w:val="center"/>
          </w:tcPr>
          <w:p w:rsidR="008678C3" w:rsidRPr="00A52683" w:rsidRDefault="008678C3" w:rsidP="004952B0">
            <w:pPr>
              <w:rPr>
                <w:b/>
                <w:bCs/>
                <w:sz w:val="22"/>
                <w:szCs w:val="22"/>
              </w:rPr>
            </w:pPr>
            <w:r w:rsidRPr="00A52683">
              <w:rPr>
                <w:b/>
                <w:sz w:val="22"/>
                <w:szCs w:val="22"/>
              </w:rPr>
              <w:t xml:space="preserve">Overall Grade: </w:t>
            </w:r>
            <w:r w:rsidR="000A720E" w:rsidRPr="00A52683">
              <w:rPr>
                <w:b/>
                <w:sz w:val="22"/>
                <w:szCs w:val="22"/>
              </w:rPr>
              <w:t>B</w:t>
            </w:r>
          </w:p>
        </w:tc>
      </w:tr>
    </w:tbl>
    <w:p w:rsidR="008678C3" w:rsidRPr="00A52683" w:rsidRDefault="008678C3" w:rsidP="008678C3">
      <w:pPr>
        <w:spacing w:after="200" w:line="276" w:lineRule="auto"/>
        <w:rPr>
          <w:b/>
          <w:sz w:val="22"/>
          <w:szCs w:val="22"/>
        </w:rPr>
      </w:pPr>
    </w:p>
    <w:tbl>
      <w:tblPr>
        <w:tblW w:w="7155" w:type="dxa"/>
        <w:tblInd w:w="93" w:type="dxa"/>
        <w:tblLook w:val="04A0"/>
      </w:tblPr>
      <w:tblGrid>
        <w:gridCol w:w="2917"/>
        <w:gridCol w:w="1042"/>
        <w:gridCol w:w="2176"/>
        <w:gridCol w:w="1020"/>
      </w:tblGrid>
      <w:tr w:rsidR="00ED4FD1" w:rsidRPr="00A52683" w:rsidTr="00A623F2">
        <w:trPr>
          <w:trHeight w:val="270"/>
        </w:trPr>
        <w:tc>
          <w:tcPr>
            <w:tcW w:w="6135" w:type="dxa"/>
            <w:gridSpan w:val="3"/>
            <w:tcBorders>
              <w:top w:val="nil"/>
              <w:left w:val="nil"/>
              <w:bottom w:val="nil"/>
              <w:right w:val="nil"/>
            </w:tcBorders>
            <w:shd w:val="clear" w:color="auto" w:fill="auto"/>
            <w:noWrap/>
            <w:vAlign w:val="bottom"/>
            <w:hideMark/>
          </w:tcPr>
          <w:p w:rsidR="00ED4FD1" w:rsidRPr="00A52683" w:rsidRDefault="00245238" w:rsidP="00ED4FD1">
            <w:pPr>
              <w:rPr>
                <w:b/>
                <w:bCs/>
                <w:sz w:val="22"/>
                <w:szCs w:val="22"/>
              </w:rPr>
            </w:pPr>
            <w:r w:rsidRPr="00A52683">
              <w:rPr>
                <w:b/>
                <w:bCs/>
                <w:sz w:val="22"/>
                <w:szCs w:val="22"/>
              </w:rPr>
              <w:t>Table 2</w:t>
            </w:r>
            <w:r w:rsidR="00A566D8" w:rsidRPr="00A52683">
              <w:rPr>
                <w:b/>
                <w:bCs/>
                <w:sz w:val="22"/>
                <w:szCs w:val="22"/>
              </w:rPr>
              <w:t>4</w:t>
            </w:r>
            <w:r w:rsidR="00ED4FD1" w:rsidRPr="00A52683">
              <w:rPr>
                <w:b/>
                <w:bCs/>
                <w:sz w:val="22"/>
                <w:szCs w:val="22"/>
              </w:rPr>
              <w:t>: TKI Post-treatment detection of T790M</w:t>
            </w:r>
          </w:p>
        </w:tc>
        <w:tc>
          <w:tcPr>
            <w:tcW w:w="1020" w:type="dxa"/>
            <w:tcBorders>
              <w:top w:val="nil"/>
              <w:left w:val="nil"/>
              <w:bottom w:val="nil"/>
              <w:right w:val="nil"/>
            </w:tcBorders>
            <w:shd w:val="clear" w:color="auto" w:fill="auto"/>
            <w:noWrap/>
            <w:vAlign w:val="bottom"/>
            <w:hideMark/>
          </w:tcPr>
          <w:p w:rsidR="00ED4FD1" w:rsidRPr="00A52683" w:rsidRDefault="00ED4FD1" w:rsidP="00ED4FD1">
            <w:pPr>
              <w:rPr>
                <w:sz w:val="22"/>
                <w:szCs w:val="22"/>
              </w:rPr>
            </w:pPr>
          </w:p>
        </w:tc>
      </w:tr>
      <w:tr w:rsidR="00ED4FD1" w:rsidRPr="00A52683" w:rsidTr="00A623F2">
        <w:trPr>
          <w:trHeight w:val="270"/>
        </w:trPr>
        <w:tc>
          <w:tcPr>
            <w:tcW w:w="7155" w:type="dxa"/>
            <w:gridSpan w:val="4"/>
            <w:tcBorders>
              <w:top w:val="nil"/>
              <w:left w:val="nil"/>
              <w:bottom w:val="nil"/>
              <w:right w:val="nil"/>
            </w:tcBorders>
            <w:shd w:val="clear" w:color="auto" w:fill="auto"/>
            <w:noWrap/>
            <w:vAlign w:val="bottom"/>
            <w:hideMark/>
          </w:tcPr>
          <w:p w:rsidR="00ED4FD1" w:rsidRPr="00A52683" w:rsidRDefault="00ED4FD1" w:rsidP="00ED4FD1">
            <w:pPr>
              <w:rPr>
                <w:b/>
                <w:bCs/>
                <w:sz w:val="22"/>
                <w:szCs w:val="22"/>
              </w:rPr>
            </w:pPr>
            <w:r w:rsidRPr="00A52683">
              <w:rPr>
                <w:b/>
                <w:bCs/>
                <w:sz w:val="22"/>
                <w:szCs w:val="22"/>
              </w:rPr>
              <w:t>Patients with relapse after initial response to TKI treatment</w:t>
            </w:r>
          </w:p>
        </w:tc>
      </w:tr>
      <w:tr w:rsidR="00ED4FD1" w:rsidRPr="00A21238" w:rsidTr="00EB03FC">
        <w:trPr>
          <w:trHeight w:val="270"/>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FD1" w:rsidRPr="00A21238" w:rsidRDefault="00ED4FD1" w:rsidP="00ED4FD1">
            <w:pPr>
              <w:rPr>
                <w:rFonts w:ascii="Calibri" w:hAnsi="Calibri" w:cs="Calibri"/>
                <w:b/>
                <w:bCs/>
                <w:sz w:val="20"/>
                <w:szCs w:val="20"/>
              </w:rPr>
            </w:pPr>
            <w:r w:rsidRPr="00A21238">
              <w:rPr>
                <w:rFonts w:ascii="Calibri" w:hAnsi="Calibri" w:cs="Calibri"/>
                <w:b/>
                <w:bCs/>
                <w:sz w:val="20"/>
                <w:szCs w:val="20"/>
              </w:rPr>
              <w:t>Study or Subgroup</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ED4FD1" w:rsidRPr="00A21238" w:rsidRDefault="00ED4FD1" w:rsidP="00EB03FC">
            <w:pPr>
              <w:jc w:val="center"/>
              <w:rPr>
                <w:rFonts w:ascii="Calibri" w:hAnsi="Calibri" w:cs="Calibri"/>
                <w:b/>
                <w:bCs/>
                <w:sz w:val="20"/>
                <w:szCs w:val="20"/>
              </w:rPr>
            </w:pPr>
            <w:r w:rsidRPr="00A21238">
              <w:rPr>
                <w:rFonts w:ascii="Calibri" w:hAnsi="Calibri" w:cs="Calibri"/>
                <w:b/>
                <w:bCs/>
                <w:sz w:val="20"/>
                <w:szCs w:val="20"/>
              </w:rPr>
              <w:t>Events</w:t>
            </w:r>
          </w:p>
        </w:tc>
        <w:tc>
          <w:tcPr>
            <w:tcW w:w="2176" w:type="dxa"/>
            <w:tcBorders>
              <w:top w:val="single" w:sz="4" w:space="0" w:color="auto"/>
              <w:left w:val="nil"/>
              <w:bottom w:val="single" w:sz="4" w:space="0" w:color="auto"/>
              <w:right w:val="single" w:sz="4" w:space="0" w:color="auto"/>
            </w:tcBorders>
            <w:shd w:val="clear" w:color="auto" w:fill="auto"/>
            <w:noWrap/>
            <w:vAlign w:val="bottom"/>
            <w:hideMark/>
          </w:tcPr>
          <w:p w:rsidR="00ED4FD1" w:rsidRPr="00A21238" w:rsidRDefault="00ED4FD1" w:rsidP="00EB03FC">
            <w:pPr>
              <w:jc w:val="center"/>
              <w:rPr>
                <w:rFonts w:ascii="Calibri" w:hAnsi="Calibri" w:cs="Calibri"/>
                <w:b/>
                <w:bCs/>
                <w:sz w:val="20"/>
                <w:szCs w:val="20"/>
              </w:rPr>
            </w:pPr>
            <w:r w:rsidRPr="00A21238">
              <w:rPr>
                <w:rFonts w:ascii="Calibri" w:hAnsi="Calibri" w:cs="Calibri"/>
                <w:b/>
                <w:bCs/>
                <w:sz w:val="20"/>
                <w:szCs w:val="20"/>
              </w:rPr>
              <w:t>Total</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D4FD1" w:rsidRPr="00A21238" w:rsidRDefault="00ED4FD1" w:rsidP="00EB03FC">
            <w:pPr>
              <w:jc w:val="center"/>
              <w:rPr>
                <w:rFonts w:ascii="Calibri" w:hAnsi="Calibri" w:cs="Calibri"/>
                <w:b/>
                <w:bCs/>
                <w:sz w:val="20"/>
                <w:szCs w:val="20"/>
              </w:rPr>
            </w:pPr>
            <w:r w:rsidRPr="00A21238">
              <w:rPr>
                <w:rFonts w:ascii="Calibri" w:hAnsi="Calibri" w:cs="Calibri"/>
                <w:b/>
                <w:bCs/>
                <w:sz w:val="20"/>
                <w:szCs w:val="20"/>
              </w:rPr>
              <w:t>Percent</w:t>
            </w:r>
          </w:p>
        </w:tc>
      </w:tr>
      <w:tr w:rsidR="00ED4FD1" w:rsidRPr="00A21238" w:rsidTr="00EB03FC">
        <w:trPr>
          <w:trHeight w:val="270"/>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ED4FD1" w:rsidRPr="00A21238" w:rsidRDefault="00ED4FD1" w:rsidP="0002496E">
            <w:pPr>
              <w:rPr>
                <w:rFonts w:ascii="Calibri" w:hAnsi="Calibri" w:cs="Calibri"/>
                <w:sz w:val="20"/>
                <w:szCs w:val="20"/>
              </w:rPr>
            </w:pPr>
            <w:r w:rsidRPr="00A21238">
              <w:rPr>
                <w:rFonts w:ascii="Calibri" w:hAnsi="Calibri" w:cs="Calibri"/>
                <w:sz w:val="20"/>
                <w:szCs w:val="20"/>
              </w:rPr>
              <w:t>Chen HJ</w:t>
            </w:r>
            <w:r w:rsidR="007F34E3" w:rsidRPr="00A21238">
              <w:rPr>
                <w:rFonts w:ascii="Calibri" w:hAnsi="Calibri" w:cs="Calibri"/>
                <w:sz w:val="20"/>
                <w:szCs w:val="20"/>
              </w:rPr>
              <w:t xml:space="preserve">, </w:t>
            </w:r>
            <w:r w:rsidR="007F34E3" w:rsidRPr="00913508">
              <w:rPr>
                <w:rFonts w:ascii="Calibri" w:hAnsi="Calibri" w:cs="Calibri"/>
                <w:i/>
                <w:sz w:val="20"/>
                <w:szCs w:val="20"/>
              </w:rPr>
              <w:t>et al</w:t>
            </w:r>
            <w:r w:rsidR="00913508">
              <w:rPr>
                <w:rFonts w:ascii="Calibri" w:hAnsi="Calibri" w:cs="Calibri"/>
                <w:sz w:val="20"/>
                <w:szCs w:val="20"/>
              </w:rPr>
              <w:t>.,</w:t>
            </w:r>
            <w:r w:rsidRPr="00A21238">
              <w:rPr>
                <w:rFonts w:ascii="Calibri" w:hAnsi="Calibri" w:cs="Calibri"/>
                <w:sz w:val="20"/>
                <w:szCs w:val="20"/>
              </w:rPr>
              <w:t xml:space="preserve"> 2009</w:t>
            </w:r>
            <w:r w:rsidR="0002496E" w:rsidRPr="0002496E">
              <w:rPr>
                <w:rFonts w:ascii="Calibri" w:hAnsi="Calibri" w:cs="Calibri"/>
                <w:noProof/>
                <w:sz w:val="20"/>
                <w:szCs w:val="20"/>
                <w:vertAlign w:val="superscript"/>
              </w:rPr>
              <w:t>128</w:t>
            </w:r>
          </w:p>
        </w:tc>
        <w:tc>
          <w:tcPr>
            <w:tcW w:w="1042" w:type="dxa"/>
            <w:tcBorders>
              <w:top w:val="nil"/>
              <w:left w:val="nil"/>
              <w:bottom w:val="single" w:sz="4" w:space="0" w:color="auto"/>
              <w:right w:val="single" w:sz="4" w:space="0" w:color="auto"/>
            </w:tcBorders>
            <w:shd w:val="clear" w:color="auto" w:fill="auto"/>
            <w:noWrap/>
            <w:vAlign w:val="bottom"/>
            <w:hideMark/>
          </w:tcPr>
          <w:p w:rsidR="00ED4FD1" w:rsidRPr="00A21238" w:rsidRDefault="00ED4FD1" w:rsidP="00EB03FC">
            <w:pPr>
              <w:jc w:val="center"/>
              <w:rPr>
                <w:rFonts w:ascii="Calibri" w:hAnsi="Calibri" w:cs="Calibri"/>
                <w:sz w:val="20"/>
                <w:szCs w:val="20"/>
              </w:rPr>
            </w:pPr>
            <w:r w:rsidRPr="00A21238">
              <w:rPr>
                <w:rFonts w:ascii="Calibri" w:hAnsi="Calibri" w:cs="Calibri"/>
                <w:sz w:val="20"/>
                <w:szCs w:val="20"/>
              </w:rPr>
              <w:t>14</w:t>
            </w:r>
          </w:p>
        </w:tc>
        <w:tc>
          <w:tcPr>
            <w:tcW w:w="2176" w:type="dxa"/>
            <w:tcBorders>
              <w:top w:val="nil"/>
              <w:left w:val="nil"/>
              <w:bottom w:val="single" w:sz="4" w:space="0" w:color="auto"/>
              <w:right w:val="single" w:sz="4" w:space="0" w:color="auto"/>
            </w:tcBorders>
            <w:shd w:val="clear" w:color="auto" w:fill="auto"/>
            <w:noWrap/>
            <w:vAlign w:val="bottom"/>
            <w:hideMark/>
          </w:tcPr>
          <w:p w:rsidR="00ED4FD1" w:rsidRPr="00A21238" w:rsidRDefault="00ED4FD1" w:rsidP="00EB03FC">
            <w:pPr>
              <w:jc w:val="center"/>
              <w:rPr>
                <w:rFonts w:ascii="Calibri" w:hAnsi="Calibri" w:cs="Calibri"/>
                <w:sz w:val="20"/>
                <w:szCs w:val="20"/>
              </w:rPr>
            </w:pPr>
            <w:r w:rsidRPr="00A21238">
              <w:rPr>
                <w:rFonts w:ascii="Calibri" w:hAnsi="Calibri" w:cs="Calibri"/>
                <w:sz w:val="20"/>
                <w:szCs w:val="20"/>
              </w:rPr>
              <w:t>29</w:t>
            </w:r>
          </w:p>
        </w:tc>
        <w:tc>
          <w:tcPr>
            <w:tcW w:w="1020" w:type="dxa"/>
            <w:tcBorders>
              <w:top w:val="nil"/>
              <w:left w:val="nil"/>
              <w:bottom w:val="single" w:sz="4" w:space="0" w:color="auto"/>
              <w:right w:val="single" w:sz="4" w:space="0" w:color="auto"/>
            </w:tcBorders>
            <w:shd w:val="clear" w:color="auto" w:fill="auto"/>
            <w:noWrap/>
            <w:vAlign w:val="bottom"/>
            <w:hideMark/>
          </w:tcPr>
          <w:p w:rsidR="00ED4FD1" w:rsidRPr="00A21238" w:rsidRDefault="00ED4FD1" w:rsidP="00EB03FC">
            <w:pPr>
              <w:jc w:val="center"/>
              <w:rPr>
                <w:rFonts w:ascii="Calibri" w:hAnsi="Calibri" w:cs="Calibri"/>
                <w:sz w:val="20"/>
                <w:szCs w:val="20"/>
              </w:rPr>
            </w:pPr>
            <w:r w:rsidRPr="00A21238">
              <w:rPr>
                <w:rFonts w:ascii="Calibri" w:hAnsi="Calibri" w:cs="Calibri"/>
                <w:sz w:val="20"/>
                <w:szCs w:val="20"/>
              </w:rPr>
              <w:t>48%</w:t>
            </w:r>
          </w:p>
        </w:tc>
      </w:tr>
      <w:tr w:rsidR="00ED4FD1" w:rsidRPr="00A21238" w:rsidTr="00EB03FC">
        <w:trPr>
          <w:trHeight w:val="270"/>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ED4FD1" w:rsidRPr="00A21238" w:rsidRDefault="00ED4FD1" w:rsidP="0002496E">
            <w:pPr>
              <w:rPr>
                <w:rFonts w:ascii="Calibri" w:hAnsi="Calibri" w:cs="Calibri"/>
                <w:sz w:val="20"/>
                <w:szCs w:val="20"/>
              </w:rPr>
            </w:pPr>
            <w:proofErr w:type="spellStart"/>
            <w:r w:rsidRPr="00A21238">
              <w:rPr>
                <w:rFonts w:ascii="Calibri" w:hAnsi="Calibri" w:cs="Calibri"/>
                <w:sz w:val="20"/>
                <w:szCs w:val="20"/>
              </w:rPr>
              <w:t>Kosaka</w:t>
            </w:r>
            <w:proofErr w:type="spellEnd"/>
            <w:r w:rsidRPr="00A21238">
              <w:rPr>
                <w:rFonts w:ascii="Calibri" w:hAnsi="Calibri" w:cs="Calibri"/>
                <w:sz w:val="20"/>
                <w:szCs w:val="20"/>
              </w:rPr>
              <w:t xml:space="preserve"> T</w:t>
            </w:r>
            <w:r w:rsidR="007F34E3" w:rsidRPr="00A21238">
              <w:rPr>
                <w:rFonts w:ascii="Calibri" w:hAnsi="Calibri" w:cs="Calibri"/>
                <w:sz w:val="20"/>
                <w:szCs w:val="20"/>
              </w:rPr>
              <w:t xml:space="preserve">, </w:t>
            </w:r>
            <w:r w:rsidR="007F34E3" w:rsidRPr="00913508">
              <w:rPr>
                <w:rFonts w:ascii="Calibri" w:hAnsi="Calibri" w:cs="Calibri"/>
                <w:i/>
                <w:sz w:val="20"/>
                <w:szCs w:val="20"/>
              </w:rPr>
              <w:t>et al</w:t>
            </w:r>
            <w:r w:rsidR="00913508">
              <w:rPr>
                <w:rFonts w:ascii="Calibri" w:hAnsi="Calibri" w:cs="Calibri"/>
                <w:sz w:val="20"/>
                <w:szCs w:val="20"/>
              </w:rPr>
              <w:t>.,</w:t>
            </w:r>
            <w:r w:rsidRPr="00A21238">
              <w:rPr>
                <w:rFonts w:ascii="Calibri" w:hAnsi="Calibri" w:cs="Calibri"/>
                <w:sz w:val="20"/>
                <w:szCs w:val="20"/>
              </w:rPr>
              <w:t xml:space="preserve"> 2006</w:t>
            </w:r>
            <w:r w:rsidR="0002496E" w:rsidRPr="0002496E">
              <w:rPr>
                <w:rFonts w:ascii="Calibri" w:hAnsi="Calibri" w:cs="Calibri"/>
                <w:noProof/>
                <w:sz w:val="20"/>
                <w:szCs w:val="20"/>
                <w:vertAlign w:val="superscript"/>
              </w:rPr>
              <w:t>129</w:t>
            </w:r>
          </w:p>
        </w:tc>
        <w:tc>
          <w:tcPr>
            <w:tcW w:w="1042" w:type="dxa"/>
            <w:tcBorders>
              <w:top w:val="nil"/>
              <w:left w:val="nil"/>
              <w:bottom w:val="single" w:sz="4" w:space="0" w:color="auto"/>
              <w:right w:val="single" w:sz="4" w:space="0" w:color="auto"/>
            </w:tcBorders>
            <w:shd w:val="clear" w:color="auto" w:fill="auto"/>
            <w:noWrap/>
            <w:vAlign w:val="bottom"/>
            <w:hideMark/>
          </w:tcPr>
          <w:p w:rsidR="00ED4FD1" w:rsidRPr="00A21238" w:rsidRDefault="00ED4FD1" w:rsidP="00EB03FC">
            <w:pPr>
              <w:jc w:val="center"/>
              <w:rPr>
                <w:rFonts w:ascii="Calibri" w:hAnsi="Calibri" w:cs="Calibri"/>
                <w:sz w:val="20"/>
                <w:szCs w:val="20"/>
              </w:rPr>
            </w:pPr>
            <w:r w:rsidRPr="00A21238">
              <w:rPr>
                <w:rFonts w:ascii="Calibri" w:hAnsi="Calibri" w:cs="Calibri"/>
                <w:sz w:val="20"/>
                <w:szCs w:val="20"/>
              </w:rPr>
              <w:t>7</w:t>
            </w:r>
          </w:p>
        </w:tc>
        <w:tc>
          <w:tcPr>
            <w:tcW w:w="2176" w:type="dxa"/>
            <w:tcBorders>
              <w:top w:val="nil"/>
              <w:left w:val="nil"/>
              <w:bottom w:val="single" w:sz="4" w:space="0" w:color="auto"/>
              <w:right w:val="single" w:sz="4" w:space="0" w:color="auto"/>
            </w:tcBorders>
            <w:shd w:val="clear" w:color="auto" w:fill="auto"/>
            <w:noWrap/>
            <w:vAlign w:val="bottom"/>
            <w:hideMark/>
          </w:tcPr>
          <w:p w:rsidR="00ED4FD1" w:rsidRPr="00A21238" w:rsidRDefault="00ED4FD1" w:rsidP="00EB03FC">
            <w:pPr>
              <w:jc w:val="center"/>
              <w:rPr>
                <w:rFonts w:ascii="Calibri" w:hAnsi="Calibri" w:cs="Calibri"/>
                <w:sz w:val="20"/>
                <w:szCs w:val="20"/>
              </w:rPr>
            </w:pPr>
            <w:r w:rsidRPr="00A21238">
              <w:rPr>
                <w:rFonts w:ascii="Calibri" w:hAnsi="Calibri" w:cs="Calibri"/>
                <w:sz w:val="20"/>
                <w:szCs w:val="20"/>
              </w:rPr>
              <w:t>14</w:t>
            </w:r>
          </w:p>
        </w:tc>
        <w:tc>
          <w:tcPr>
            <w:tcW w:w="1020" w:type="dxa"/>
            <w:tcBorders>
              <w:top w:val="nil"/>
              <w:left w:val="nil"/>
              <w:bottom w:val="single" w:sz="4" w:space="0" w:color="auto"/>
              <w:right w:val="single" w:sz="4" w:space="0" w:color="auto"/>
            </w:tcBorders>
            <w:shd w:val="clear" w:color="auto" w:fill="auto"/>
            <w:noWrap/>
            <w:vAlign w:val="bottom"/>
            <w:hideMark/>
          </w:tcPr>
          <w:p w:rsidR="00ED4FD1" w:rsidRPr="00A21238" w:rsidRDefault="00ED4FD1" w:rsidP="00EB03FC">
            <w:pPr>
              <w:jc w:val="center"/>
              <w:rPr>
                <w:rFonts w:ascii="Calibri" w:hAnsi="Calibri" w:cs="Calibri"/>
                <w:sz w:val="20"/>
                <w:szCs w:val="20"/>
              </w:rPr>
            </w:pPr>
            <w:r w:rsidRPr="00A21238">
              <w:rPr>
                <w:rFonts w:ascii="Calibri" w:hAnsi="Calibri" w:cs="Calibri"/>
                <w:sz w:val="20"/>
                <w:szCs w:val="20"/>
              </w:rPr>
              <w:t>50%</w:t>
            </w:r>
          </w:p>
        </w:tc>
      </w:tr>
      <w:tr w:rsidR="00ED4FD1" w:rsidRPr="00A21238" w:rsidTr="00EB03FC">
        <w:trPr>
          <w:trHeight w:val="270"/>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ED4FD1" w:rsidRPr="00A21238" w:rsidRDefault="00ED4FD1" w:rsidP="0002496E">
            <w:pPr>
              <w:rPr>
                <w:rFonts w:ascii="Calibri" w:hAnsi="Calibri" w:cs="Calibri"/>
                <w:sz w:val="20"/>
                <w:szCs w:val="20"/>
              </w:rPr>
            </w:pPr>
            <w:proofErr w:type="spellStart"/>
            <w:r w:rsidRPr="00A21238">
              <w:rPr>
                <w:rFonts w:ascii="Calibri" w:hAnsi="Calibri" w:cs="Calibri"/>
                <w:sz w:val="20"/>
                <w:szCs w:val="20"/>
              </w:rPr>
              <w:t>Onitsuka</w:t>
            </w:r>
            <w:proofErr w:type="spellEnd"/>
            <w:r w:rsidRPr="00A21238">
              <w:rPr>
                <w:rFonts w:ascii="Calibri" w:hAnsi="Calibri" w:cs="Calibri"/>
                <w:sz w:val="20"/>
                <w:szCs w:val="20"/>
              </w:rPr>
              <w:t xml:space="preserve"> T</w:t>
            </w:r>
            <w:r w:rsidR="007F34E3" w:rsidRPr="00A21238">
              <w:rPr>
                <w:rFonts w:ascii="Calibri" w:hAnsi="Calibri" w:cs="Calibri"/>
                <w:sz w:val="20"/>
                <w:szCs w:val="20"/>
              </w:rPr>
              <w:t xml:space="preserve">, </w:t>
            </w:r>
            <w:r w:rsidR="007F34E3" w:rsidRPr="00913508">
              <w:rPr>
                <w:rFonts w:ascii="Calibri" w:hAnsi="Calibri" w:cs="Calibri"/>
                <w:i/>
                <w:sz w:val="20"/>
                <w:szCs w:val="20"/>
              </w:rPr>
              <w:t>et al</w:t>
            </w:r>
            <w:r w:rsidR="00913508">
              <w:rPr>
                <w:rFonts w:ascii="Calibri" w:hAnsi="Calibri" w:cs="Calibri"/>
                <w:sz w:val="20"/>
                <w:szCs w:val="20"/>
              </w:rPr>
              <w:t>.,</w:t>
            </w:r>
            <w:r w:rsidRPr="00A21238">
              <w:rPr>
                <w:rFonts w:ascii="Calibri" w:hAnsi="Calibri" w:cs="Calibri"/>
                <w:sz w:val="20"/>
                <w:szCs w:val="20"/>
              </w:rPr>
              <w:t xml:space="preserve"> 2010</w:t>
            </w:r>
            <w:r w:rsidR="0002496E" w:rsidRPr="0002496E">
              <w:rPr>
                <w:rFonts w:ascii="Calibri" w:hAnsi="Calibri" w:cs="Calibri"/>
                <w:noProof/>
                <w:sz w:val="20"/>
                <w:szCs w:val="20"/>
                <w:vertAlign w:val="superscript"/>
              </w:rPr>
              <w:t>130</w:t>
            </w:r>
          </w:p>
        </w:tc>
        <w:tc>
          <w:tcPr>
            <w:tcW w:w="1042" w:type="dxa"/>
            <w:tcBorders>
              <w:top w:val="nil"/>
              <w:left w:val="nil"/>
              <w:bottom w:val="single" w:sz="4" w:space="0" w:color="auto"/>
              <w:right w:val="single" w:sz="4" w:space="0" w:color="auto"/>
            </w:tcBorders>
            <w:shd w:val="clear" w:color="auto" w:fill="auto"/>
            <w:noWrap/>
            <w:vAlign w:val="bottom"/>
            <w:hideMark/>
          </w:tcPr>
          <w:p w:rsidR="00ED4FD1" w:rsidRPr="00A21238" w:rsidRDefault="00ED4FD1" w:rsidP="00EB03FC">
            <w:pPr>
              <w:jc w:val="center"/>
              <w:rPr>
                <w:rFonts w:ascii="Calibri" w:hAnsi="Calibri" w:cs="Calibri"/>
                <w:sz w:val="20"/>
                <w:szCs w:val="20"/>
              </w:rPr>
            </w:pPr>
            <w:r w:rsidRPr="00A21238">
              <w:rPr>
                <w:rFonts w:ascii="Calibri" w:hAnsi="Calibri" w:cs="Calibri"/>
                <w:sz w:val="20"/>
                <w:szCs w:val="20"/>
              </w:rPr>
              <w:t>7</w:t>
            </w:r>
          </w:p>
        </w:tc>
        <w:tc>
          <w:tcPr>
            <w:tcW w:w="2176" w:type="dxa"/>
            <w:tcBorders>
              <w:top w:val="nil"/>
              <w:left w:val="nil"/>
              <w:bottom w:val="single" w:sz="4" w:space="0" w:color="auto"/>
              <w:right w:val="single" w:sz="4" w:space="0" w:color="auto"/>
            </w:tcBorders>
            <w:shd w:val="clear" w:color="auto" w:fill="auto"/>
            <w:noWrap/>
            <w:vAlign w:val="bottom"/>
            <w:hideMark/>
          </w:tcPr>
          <w:p w:rsidR="00ED4FD1" w:rsidRPr="00A21238" w:rsidRDefault="00ED4FD1" w:rsidP="00EB03FC">
            <w:pPr>
              <w:jc w:val="center"/>
              <w:rPr>
                <w:rFonts w:ascii="Calibri" w:hAnsi="Calibri" w:cs="Calibri"/>
                <w:sz w:val="20"/>
                <w:szCs w:val="20"/>
              </w:rPr>
            </w:pPr>
            <w:r w:rsidRPr="00A21238">
              <w:rPr>
                <w:rFonts w:ascii="Calibri" w:hAnsi="Calibri" w:cs="Calibri"/>
                <w:sz w:val="20"/>
                <w:szCs w:val="20"/>
              </w:rPr>
              <w:t>10</w:t>
            </w:r>
          </w:p>
        </w:tc>
        <w:tc>
          <w:tcPr>
            <w:tcW w:w="1020" w:type="dxa"/>
            <w:tcBorders>
              <w:top w:val="nil"/>
              <w:left w:val="nil"/>
              <w:bottom w:val="single" w:sz="4" w:space="0" w:color="auto"/>
              <w:right w:val="single" w:sz="4" w:space="0" w:color="auto"/>
            </w:tcBorders>
            <w:shd w:val="clear" w:color="auto" w:fill="auto"/>
            <w:noWrap/>
            <w:vAlign w:val="bottom"/>
            <w:hideMark/>
          </w:tcPr>
          <w:p w:rsidR="00ED4FD1" w:rsidRPr="00A21238" w:rsidRDefault="00ED4FD1" w:rsidP="00EB03FC">
            <w:pPr>
              <w:jc w:val="center"/>
              <w:rPr>
                <w:rFonts w:ascii="Calibri" w:hAnsi="Calibri" w:cs="Calibri"/>
                <w:sz w:val="20"/>
                <w:szCs w:val="20"/>
              </w:rPr>
            </w:pPr>
            <w:r w:rsidRPr="00A21238">
              <w:rPr>
                <w:rFonts w:ascii="Calibri" w:hAnsi="Calibri" w:cs="Calibri"/>
                <w:sz w:val="20"/>
                <w:szCs w:val="20"/>
              </w:rPr>
              <w:t>70%</w:t>
            </w:r>
          </w:p>
        </w:tc>
      </w:tr>
      <w:tr w:rsidR="00ED4FD1" w:rsidRPr="00A21238" w:rsidTr="00EB03FC">
        <w:trPr>
          <w:trHeight w:val="270"/>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ED4FD1" w:rsidRPr="00A21238" w:rsidRDefault="00ED4FD1" w:rsidP="0002496E">
            <w:pPr>
              <w:rPr>
                <w:rFonts w:ascii="Calibri" w:hAnsi="Calibri" w:cs="Calibri"/>
                <w:sz w:val="20"/>
                <w:szCs w:val="20"/>
              </w:rPr>
            </w:pPr>
            <w:r w:rsidRPr="00A21238">
              <w:rPr>
                <w:rFonts w:ascii="Calibri" w:hAnsi="Calibri" w:cs="Calibri"/>
                <w:sz w:val="20"/>
                <w:szCs w:val="20"/>
              </w:rPr>
              <w:t>Oxnard</w:t>
            </w:r>
            <w:r w:rsidR="007F34E3" w:rsidRPr="00A21238">
              <w:rPr>
                <w:rFonts w:ascii="Calibri" w:hAnsi="Calibri" w:cs="Calibri"/>
                <w:sz w:val="20"/>
                <w:szCs w:val="20"/>
              </w:rPr>
              <w:t xml:space="preserve">, </w:t>
            </w:r>
            <w:r w:rsidR="007F34E3" w:rsidRPr="00913508">
              <w:rPr>
                <w:rFonts w:ascii="Calibri" w:hAnsi="Calibri" w:cs="Calibri"/>
                <w:i/>
                <w:sz w:val="20"/>
                <w:szCs w:val="20"/>
              </w:rPr>
              <w:t>et al</w:t>
            </w:r>
            <w:r w:rsidR="00913508">
              <w:rPr>
                <w:rFonts w:ascii="Calibri" w:hAnsi="Calibri" w:cs="Calibri"/>
                <w:sz w:val="20"/>
                <w:szCs w:val="20"/>
              </w:rPr>
              <w:t>.,</w:t>
            </w:r>
            <w:r w:rsidRPr="00A21238">
              <w:rPr>
                <w:rFonts w:ascii="Calibri" w:hAnsi="Calibri" w:cs="Calibri"/>
                <w:sz w:val="20"/>
                <w:szCs w:val="20"/>
              </w:rPr>
              <w:t xml:space="preserve"> 2011</w:t>
            </w:r>
            <w:r w:rsidR="0002496E" w:rsidRPr="0002496E">
              <w:rPr>
                <w:rFonts w:ascii="Calibri" w:hAnsi="Calibri" w:cs="Calibri"/>
                <w:noProof/>
                <w:sz w:val="20"/>
                <w:szCs w:val="20"/>
                <w:vertAlign w:val="superscript"/>
              </w:rPr>
              <w:t>131</w:t>
            </w:r>
          </w:p>
        </w:tc>
        <w:tc>
          <w:tcPr>
            <w:tcW w:w="1042" w:type="dxa"/>
            <w:tcBorders>
              <w:top w:val="nil"/>
              <w:left w:val="nil"/>
              <w:bottom w:val="single" w:sz="4" w:space="0" w:color="auto"/>
              <w:right w:val="single" w:sz="4" w:space="0" w:color="auto"/>
            </w:tcBorders>
            <w:shd w:val="clear" w:color="auto" w:fill="auto"/>
            <w:noWrap/>
            <w:vAlign w:val="bottom"/>
            <w:hideMark/>
          </w:tcPr>
          <w:p w:rsidR="00ED4FD1" w:rsidRPr="00A21238" w:rsidRDefault="00ED4FD1" w:rsidP="00EB03FC">
            <w:pPr>
              <w:jc w:val="center"/>
              <w:rPr>
                <w:rFonts w:ascii="Calibri" w:hAnsi="Calibri" w:cs="Calibri"/>
                <w:sz w:val="20"/>
                <w:szCs w:val="20"/>
              </w:rPr>
            </w:pPr>
            <w:r w:rsidRPr="00A21238">
              <w:rPr>
                <w:rFonts w:ascii="Calibri" w:hAnsi="Calibri" w:cs="Calibri"/>
                <w:sz w:val="20"/>
                <w:szCs w:val="20"/>
              </w:rPr>
              <w:t>58</w:t>
            </w:r>
          </w:p>
        </w:tc>
        <w:tc>
          <w:tcPr>
            <w:tcW w:w="2176" w:type="dxa"/>
            <w:tcBorders>
              <w:top w:val="nil"/>
              <w:left w:val="nil"/>
              <w:bottom w:val="single" w:sz="4" w:space="0" w:color="auto"/>
              <w:right w:val="single" w:sz="4" w:space="0" w:color="auto"/>
            </w:tcBorders>
            <w:shd w:val="clear" w:color="auto" w:fill="auto"/>
            <w:noWrap/>
            <w:vAlign w:val="bottom"/>
            <w:hideMark/>
          </w:tcPr>
          <w:p w:rsidR="00ED4FD1" w:rsidRPr="00A21238" w:rsidRDefault="00ED4FD1" w:rsidP="00EB03FC">
            <w:pPr>
              <w:jc w:val="center"/>
              <w:rPr>
                <w:rFonts w:ascii="Calibri" w:hAnsi="Calibri" w:cs="Calibri"/>
                <w:sz w:val="20"/>
                <w:szCs w:val="20"/>
              </w:rPr>
            </w:pPr>
            <w:r w:rsidRPr="00A21238">
              <w:rPr>
                <w:rFonts w:ascii="Calibri" w:hAnsi="Calibri" w:cs="Calibri"/>
                <w:sz w:val="20"/>
                <w:szCs w:val="20"/>
              </w:rPr>
              <w:t>93</w:t>
            </w:r>
          </w:p>
        </w:tc>
        <w:tc>
          <w:tcPr>
            <w:tcW w:w="1020" w:type="dxa"/>
            <w:tcBorders>
              <w:top w:val="nil"/>
              <w:left w:val="nil"/>
              <w:bottom w:val="single" w:sz="4" w:space="0" w:color="auto"/>
              <w:right w:val="single" w:sz="4" w:space="0" w:color="auto"/>
            </w:tcBorders>
            <w:shd w:val="clear" w:color="auto" w:fill="auto"/>
            <w:noWrap/>
            <w:vAlign w:val="bottom"/>
            <w:hideMark/>
          </w:tcPr>
          <w:p w:rsidR="00ED4FD1" w:rsidRPr="00A21238" w:rsidRDefault="00ED4FD1" w:rsidP="00EB03FC">
            <w:pPr>
              <w:jc w:val="center"/>
              <w:rPr>
                <w:rFonts w:ascii="Calibri" w:hAnsi="Calibri" w:cs="Calibri"/>
                <w:sz w:val="20"/>
                <w:szCs w:val="20"/>
              </w:rPr>
            </w:pPr>
            <w:r w:rsidRPr="00A21238">
              <w:rPr>
                <w:rFonts w:ascii="Calibri" w:hAnsi="Calibri" w:cs="Calibri"/>
                <w:sz w:val="20"/>
                <w:szCs w:val="20"/>
              </w:rPr>
              <w:t>62%</w:t>
            </w:r>
          </w:p>
        </w:tc>
      </w:tr>
      <w:tr w:rsidR="00ED4FD1" w:rsidRPr="00A21238" w:rsidTr="00EB03FC">
        <w:trPr>
          <w:trHeight w:val="270"/>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ED4FD1" w:rsidRPr="00A21238" w:rsidRDefault="00ED4FD1" w:rsidP="00ED4FD1">
            <w:pPr>
              <w:rPr>
                <w:rFonts w:ascii="Calibri" w:hAnsi="Calibri" w:cs="Calibri"/>
                <w:b/>
                <w:bCs/>
                <w:sz w:val="20"/>
                <w:szCs w:val="20"/>
              </w:rPr>
            </w:pPr>
            <w:r w:rsidRPr="00A21238">
              <w:rPr>
                <w:rFonts w:ascii="Calibri" w:hAnsi="Calibri" w:cs="Calibri"/>
                <w:b/>
                <w:bCs/>
                <w:sz w:val="20"/>
                <w:szCs w:val="20"/>
              </w:rPr>
              <w:t>Total</w:t>
            </w:r>
          </w:p>
        </w:tc>
        <w:tc>
          <w:tcPr>
            <w:tcW w:w="1042" w:type="dxa"/>
            <w:tcBorders>
              <w:top w:val="nil"/>
              <w:left w:val="nil"/>
              <w:bottom w:val="single" w:sz="4" w:space="0" w:color="auto"/>
              <w:right w:val="single" w:sz="4" w:space="0" w:color="auto"/>
            </w:tcBorders>
            <w:shd w:val="clear" w:color="auto" w:fill="auto"/>
            <w:noWrap/>
            <w:vAlign w:val="bottom"/>
            <w:hideMark/>
          </w:tcPr>
          <w:p w:rsidR="00ED4FD1" w:rsidRPr="00A21238" w:rsidRDefault="00ED4FD1" w:rsidP="00EB03FC">
            <w:pPr>
              <w:jc w:val="center"/>
              <w:rPr>
                <w:rFonts w:ascii="Calibri" w:hAnsi="Calibri" w:cs="Calibri"/>
                <w:b/>
                <w:bCs/>
                <w:sz w:val="20"/>
                <w:szCs w:val="20"/>
              </w:rPr>
            </w:pPr>
            <w:r w:rsidRPr="00A21238">
              <w:rPr>
                <w:rFonts w:ascii="Calibri" w:hAnsi="Calibri" w:cs="Calibri"/>
                <w:b/>
                <w:bCs/>
                <w:sz w:val="20"/>
                <w:szCs w:val="20"/>
              </w:rPr>
              <w:t>86</w:t>
            </w:r>
          </w:p>
        </w:tc>
        <w:tc>
          <w:tcPr>
            <w:tcW w:w="2176" w:type="dxa"/>
            <w:tcBorders>
              <w:top w:val="nil"/>
              <w:left w:val="nil"/>
              <w:bottom w:val="single" w:sz="4" w:space="0" w:color="auto"/>
              <w:right w:val="single" w:sz="4" w:space="0" w:color="auto"/>
            </w:tcBorders>
            <w:shd w:val="clear" w:color="auto" w:fill="auto"/>
            <w:noWrap/>
            <w:vAlign w:val="bottom"/>
            <w:hideMark/>
          </w:tcPr>
          <w:p w:rsidR="00ED4FD1" w:rsidRPr="00A21238" w:rsidRDefault="00ED4FD1" w:rsidP="00EB03FC">
            <w:pPr>
              <w:jc w:val="center"/>
              <w:rPr>
                <w:rFonts w:ascii="Calibri" w:hAnsi="Calibri" w:cs="Calibri"/>
                <w:b/>
                <w:bCs/>
                <w:sz w:val="20"/>
                <w:szCs w:val="20"/>
              </w:rPr>
            </w:pPr>
            <w:r w:rsidRPr="00A21238">
              <w:rPr>
                <w:rFonts w:ascii="Calibri" w:hAnsi="Calibri" w:cs="Calibri"/>
                <w:b/>
                <w:bCs/>
                <w:sz w:val="20"/>
                <w:szCs w:val="20"/>
              </w:rPr>
              <w:t>146</w:t>
            </w:r>
          </w:p>
        </w:tc>
        <w:tc>
          <w:tcPr>
            <w:tcW w:w="1020" w:type="dxa"/>
            <w:tcBorders>
              <w:top w:val="nil"/>
              <w:left w:val="nil"/>
              <w:bottom w:val="single" w:sz="4" w:space="0" w:color="auto"/>
              <w:right w:val="single" w:sz="4" w:space="0" w:color="auto"/>
            </w:tcBorders>
            <w:shd w:val="clear" w:color="auto" w:fill="auto"/>
            <w:noWrap/>
            <w:vAlign w:val="bottom"/>
            <w:hideMark/>
          </w:tcPr>
          <w:p w:rsidR="00ED4FD1" w:rsidRPr="00A21238" w:rsidRDefault="00ED4FD1" w:rsidP="00EB03FC">
            <w:pPr>
              <w:jc w:val="center"/>
              <w:rPr>
                <w:rFonts w:ascii="Calibri" w:hAnsi="Calibri" w:cs="Calibri"/>
                <w:b/>
                <w:bCs/>
                <w:sz w:val="20"/>
                <w:szCs w:val="20"/>
              </w:rPr>
            </w:pPr>
            <w:r w:rsidRPr="00A21238">
              <w:rPr>
                <w:rFonts w:ascii="Calibri" w:hAnsi="Calibri" w:cs="Calibri"/>
                <w:b/>
                <w:bCs/>
                <w:sz w:val="20"/>
                <w:szCs w:val="20"/>
              </w:rPr>
              <w:t>59%</w:t>
            </w:r>
          </w:p>
        </w:tc>
      </w:tr>
    </w:tbl>
    <w:p w:rsidR="00ED4FD1" w:rsidRPr="00A21238" w:rsidRDefault="00ED4FD1" w:rsidP="008678C3">
      <w:pPr>
        <w:spacing w:after="200" w:line="276" w:lineRule="auto"/>
        <w:rPr>
          <w:rFonts w:ascii="Century Gothic" w:hAnsi="Century Gothic"/>
          <w:b/>
          <w:sz w:val="20"/>
          <w:szCs w:val="20"/>
        </w:rPr>
      </w:pPr>
    </w:p>
    <w:p w:rsidR="00ED4FD1" w:rsidRPr="00A21238" w:rsidRDefault="00ED4FD1" w:rsidP="008678C3">
      <w:pPr>
        <w:spacing w:after="200" w:line="276" w:lineRule="auto"/>
        <w:rPr>
          <w:rFonts w:ascii="Century Gothic" w:hAnsi="Century Gothic"/>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678C3" w:rsidRPr="00A52683" w:rsidTr="004952B0">
        <w:tc>
          <w:tcPr>
            <w:tcW w:w="5000" w:type="pct"/>
            <w:vAlign w:val="center"/>
          </w:tcPr>
          <w:p w:rsidR="004A0542" w:rsidRPr="00A52683" w:rsidRDefault="00481C2E" w:rsidP="00481C2E">
            <w:pPr>
              <w:rPr>
                <w:b/>
                <w:sz w:val="22"/>
                <w:szCs w:val="22"/>
              </w:rPr>
            </w:pPr>
            <w:r w:rsidRPr="00A52683">
              <w:rPr>
                <w:b/>
                <w:sz w:val="22"/>
                <w:szCs w:val="22"/>
              </w:rPr>
              <w:t xml:space="preserve">9.1:  Recommendation: </w:t>
            </w:r>
            <w:r w:rsidR="00A070F6" w:rsidRPr="00A52683">
              <w:rPr>
                <w:b/>
                <w:sz w:val="22"/>
                <w:szCs w:val="22"/>
              </w:rPr>
              <w:t>L</w:t>
            </w:r>
            <w:r w:rsidRPr="00A52683">
              <w:rPr>
                <w:b/>
                <w:sz w:val="22"/>
                <w:szCs w:val="22"/>
              </w:rPr>
              <w:t xml:space="preserve">aboratories should use an </w:t>
            </w:r>
            <w:r w:rsidRPr="00A52683">
              <w:rPr>
                <w:b/>
                <w:i/>
                <w:sz w:val="22"/>
                <w:szCs w:val="22"/>
              </w:rPr>
              <w:t>ALK</w:t>
            </w:r>
            <w:r w:rsidRPr="00A52683">
              <w:rPr>
                <w:b/>
                <w:sz w:val="22"/>
                <w:szCs w:val="22"/>
              </w:rPr>
              <w:t xml:space="preserve"> FISH assa</w:t>
            </w:r>
            <w:r w:rsidR="007A7748">
              <w:rPr>
                <w:b/>
                <w:sz w:val="22"/>
                <w:szCs w:val="22"/>
              </w:rPr>
              <w:t>y using dual-labeled break-apart</w:t>
            </w:r>
            <w:r w:rsidRPr="00A52683">
              <w:rPr>
                <w:b/>
                <w:sz w:val="22"/>
                <w:szCs w:val="22"/>
              </w:rPr>
              <w:t xml:space="preserve"> probes for selecting patients for </w:t>
            </w:r>
            <w:r w:rsidRPr="00B8122E">
              <w:rPr>
                <w:b/>
                <w:sz w:val="22"/>
                <w:szCs w:val="22"/>
              </w:rPr>
              <w:t>ALK</w:t>
            </w:r>
            <w:r w:rsidR="008F1C62">
              <w:rPr>
                <w:b/>
                <w:sz w:val="22"/>
                <w:szCs w:val="22"/>
              </w:rPr>
              <w:t xml:space="preserve"> </w:t>
            </w:r>
            <w:r w:rsidRPr="00A52683">
              <w:rPr>
                <w:b/>
                <w:sz w:val="22"/>
                <w:szCs w:val="22"/>
              </w:rPr>
              <w:t>TKI therapy</w:t>
            </w:r>
            <w:proofErr w:type="gramStart"/>
            <w:r w:rsidRPr="00A52683">
              <w:rPr>
                <w:b/>
                <w:sz w:val="22"/>
                <w:szCs w:val="22"/>
              </w:rPr>
              <w:t>;</w:t>
            </w:r>
            <w:proofErr w:type="gramEnd"/>
            <w:r w:rsidRPr="00A52683">
              <w:rPr>
                <w:b/>
                <w:sz w:val="22"/>
                <w:szCs w:val="22"/>
              </w:rPr>
              <w:t xml:space="preserve"> </w:t>
            </w:r>
            <w:r w:rsidRPr="00B8122E">
              <w:rPr>
                <w:b/>
                <w:sz w:val="22"/>
                <w:szCs w:val="22"/>
              </w:rPr>
              <w:t>ALK</w:t>
            </w:r>
            <w:r w:rsidRPr="00A52683">
              <w:rPr>
                <w:b/>
                <w:sz w:val="22"/>
                <w:szCs w:val="22"/>
              </w:rPr>
              <w:t xml:space="preserve"> immunohistochemistry, if carefully valida</w:t>
            </w:r>
            <w:r w:rsidR="002E6042" w:rsidRPr="00A52683">
              <w:rPr>
                <w:b/>
                <w:sz w:val="22"/>
                <w:szCs w:val="22"/>
              </w:rPr>
              <w:t xml:space="preserve">ted, may be considered as a </w:t>
            </w:r>
            <w:r w:rsidRPr="00A52683">
              <w:rPr>
                <w:b/>
                <w:sz w:val="22"/>
                <w:szCs w:val="22"/>
              </w:rPr>
              <w:t xml:space="preserve">screening methodology to select specimens for </w:t>
            </w:r>
            <w:r w:rsidRPr="00A52683">
              <w:rPr>
                <w:b/>
                <w:i/>
                <w:sz w:val="22"/>
                <w:szCs w:val="22"/>
              </w:rPr>
              <w:t>ALK</w:t>
            </w:r>
            <w:r w:rsidRPr="00A52683">
              <w:rPr>
                <w:b/>
                <w:sz w:val="22"/>
                <w:szCs w:val="22"/>
              </w:rPr>
              <w:t xml:space="preserve"> FISH testing.</w:t>
            </w:r>
          </w:p>
        </w:tc>
      </w:tr>
      <w:tr w:rsidR="008678C3" w:rsidRPr="00A52683" w:rsidTr="004952B0">
        <w:tc>
          <w:tcPr>
            <w:tcW w:w="5000" w:type="pct"/>
            <w:vAlign w:val="center"/>
          </w:tcPr>
          <w:p w:rsidR="008678C3" w:rsidRPr="00A52683" w:rsidRDefault="008678C3" w:rsidP="0023156A">
            <w:pPr>
              <w:rPr>
                <w:sz w:val="22"/>
                <w:szCs w:val="22"/>
              </w:rPr>
            </w:pPr>
            <w:r w:rsidRPr="00A52683">
              <w:rPr>
                <w:b/>
                <w:bCs/>
                <w:sz w:val="22"/>
                <w:szCs w:val="22"/>
              </w:rPr>
              <w:t xml:space="preserve">Evidence base: </w:t>
            </w:r>
            <w:r w:rsidR="0023156A" w:rsidRPr="00A52683">
              <w:rPr>
                <w:b/>
                <w:bCs/>
                <w:sz w:val="22"/>
                <w:szCs w:val="22"/>
              </w:rPr>
              <w:t>B</w:t>
            </w:r>
          </w:p>
        </w:tc>
      </w:tr>
      <w:tr w:rsidR="008678C3" w:rsidRPr="00A52683" w:rsidTr="004952B0">
        <w:tc>
          <w:tcPr>
            <w:tcW w:w="5000" w:type="pct"/>
            <w:vAlign w:val="center"/>
          </w:tcPr>
          <w:p w:rsidR="008678C3" w:rsidRPr="00A52683" w:rsidRDefault="008678C3" w:rsidP="0023156A">
            <w:pPr>
              <w:rPr>
                <w:sz w:val="22"/>
                <w:szCs w:val="22"/>
              </w:rPr>
            </w:pPr>
            <w:r w:rsidRPr="00A52683">
              <w:rPr>
                <w:b/>
                <w:bCs/>
                <w:sz w:val="22"/>
                <w:szCs w:val="22"/>
              </w:rPr>
              <w:t xml:space="preserve">Consistency: </w:t>
            </w:r>
            <w:r w:rsidR="0023156A" w:rsidRPr="00A52683">
              <w:rPr>
                <w:b/>
                <w:bCs/>
                <w:sz w:val="22"/>
                <w:szCs w:val="22"/>
              </w:rPr>
              <w:t>B</w:t>
            </w:r>
          </w:p>
        </w:tc>
      </w:tr>
      <w:tr w:rsidR="008678C3" w:rsidRPr="00A52683" w:rsidTr="004952B0">
        <w:tc>
          <w:tcPr>
            <w:tcW w:w="5000" w:type="pct"/>
            <w:vAlign w:val="center"/>
          </w:tcPr>
          <w:p w:rsidR="008678C3" w:rsidRPr="00A52683" w:rsidRDefault="008678C3" w:rsidP="00196F87">
            <w:pPr>
              <w:rPr>
                <w:b/>
                <w:bCs/>
                <w:sz w:val="22"/>
                <w:szCs w:val="22"/>
              </w:rPr>
            </w:pPr>
            <w:r w:rsidRPr="00A52683">
              <w:rPr>
                <w:b/>
                <w:bCs/>
                <w:sz w:val="22"/>
                <w:szCs w:val="22"/>
              </w:rPr>
              <w:t>Clinical impact: B</w:t>
            </w:r>
          </w:p>
        </w:tc>
      </w:tr>
      <w:tr w:rsidR="008678C3" w:rsidRPr="00A52683" w:rsidTr="004952B0">
        <w:tc>
          <w:tcPr>
            <w:tcW w:w="5000" w:type="pct"/>
            <w:vAlign w:val="center"/>
          </w:tcPr>
          <w:p w:rsidR="008678C3" w:rsidRPr="00A52683" w:rsidRDefault="008678C3" w:rsidP="00196F87">
            <w:pPr>
              <w:rPr>
                <w:b/>
                <w:bCs/>
                <w:sz w:val="22"/>
                <w:szCs w:val="22"/>
              </w:rPr>
            </w:pPr>
            <w:proofErr w:type="spellStart"/>
            <w:r w:rsidRPr="00A52683">
              <w:rPr>
                <w:b/>
                <w:bCs/>
                <w:sz w:val="22"/>
                <w:szCs w:val="22"/>
              </w:rPr>
              <w:t>Generalizability</w:t>
            </w:r>
            <w:proofErr w:type="spellEnd"/>
            <w:r w:rsidRPr="00A52683">
              <w:rPr>
                <w:b/>
                <w:bCs/>
                <w:sz w:val="22"/>
                <w:szCs w:val="22"/>
              </w:rPr>
              <w:t xml:space="preserve">: </w:t>
            </w:r>
            <w:r w:rsidR="008E4A88" w:rsidRPr="00A52683">
              <w:rPr>
                <w:b/>
                <w:bCs/>
                <w:sz w:val="22"/>
                <w:szCs w:val="22"/>
              </w:rPr>
              <w:t>B</w:t>
            </w:r>
          </w:p>
        </w:tc>
      </w:tr>
      <w:tr w:rsidR="008678C3" w:rsidRPr="00A52683" w:rsidTr="004952B0">
        <w:tc>
          <w:tcPr>
            <w:tcW w:w="5000" w:type="pct"/>
            <w:vAlign w:val="center"/>
          </w:tcPr>
          <w:p w:rsidR="008678C3" w:rsidRPr="00A52683" w:rsidRDefault="008678C3" w:rsidP="00196F87">
            <w:pPr>
              <w:rPr>
                <w:b/>
                <w:bCs/>
                <w:sz w:val="22"/>
                <w:szCs w:val="22"/>
              </w:rPr>
            </w:pPr>
            <w:r w:rsidRPr="00A52683">
              <w:rPr>
                <w:b/>
                <w:bCs/>
                <w:sz w:val="22"/>
                <w:szCs w:val="22"/>
              </w:rPr>
              <w:t xml:space="preserve">Applicability: </w:t>
            </w:r>
            <w:r w:rsidR="008E4A88" w:rsidRPr="00A52683">
              <w:rPr>
                <w:b/>
                <w:bCs/>
                <w:sz w:val="22"/>
                <w:szCs w:val="22"/>
              </w:rPr>
              <w:t>B</w:t>
            </w:r>
          </w:p>
        </w:tc>
      </w:tr>
      <w:tr w:rsidR="008678C3" w:rsidRPr="00A52683" w:rsidTr="004952B0">
        <w:tc>
          <w:tcPr>
            <w:tcW w:w="5000" w:type="pct"/>
            <w:vAlign w:val="center"/>
          </w:tcPr>
          <w:p w:rsidR="008678C3" w:rsidRPr="00A52683" w:rsidRDefault="008678C3" w:rsidP="0023156A">
            <w:pPr>
              <w:rPr>
                <w:b/>
                <w:bCs/>
                <w:sz w:val="22"/>
                <w:szCs w:val="22"/>
              </w:rPr>
            </w:pPr>
            <w:r w:rsidRPr="00A52683">
              <w:rPr>
                <w:b/>
                <w:sz w:val="22"/>
                <w:szCs w:val="22"/>
              </w:rPr>
              <w:t xml:space="preserve">Overall Grade: </w:t>
            </w:r>
            <w:r w:rsidR="0023156A" w:rsidRPr="00A52683">
              <w:rPr>
                <w:b/>
                <w:sz w:val="22"/>
                <w:szCs w:val="22"/>
              </w:rPr>
              <w:t>B</w:t>
            </w:r>
          </w:p>
        </w:tc>
      </w:tr>
    </w:tbl>
    <w:p w:rsidR="008678C3" w:rsidRPr="00A21238" w:rsidRDefault="008678C3" w:rsidP="00971A5D">
      <w:pPr>
        <w:rPr>
          <w:rFonts w:ascii="Century Gothic" w:hAnsi="Century Gothic"/>
          <w:sz w:val="20"/>
          <w:szCs w:val="20"/>
        </w:rPr>
      </w:pPr>
    </w:p>
    <w:p w:rsidR="00D4135A" w:rsidRPr="00A21238" w:rsidRDefault="00D4135A">
      <w:pPr>
        <w:rPr>
          <w:rFonts w:ascii="Century Gothic" w:hAnsi="Century Gothic"/>
          <w:sz w:val="20"/>
          <w:szCs w:val="20"/>
        </w:rPr>
      </w:pPr>
      <w:r w:rsidRPr="00A21238">
        <w:rPr>
          <w:rFonts w:ascii="Century Gothic" w:hAnsi="Century Gothic"/>
          <w:sz w:val="20"/>
          <w:szCs w:val="20"/>
        </w:rPr>
        <w:br w:type="page"/>
      </w:r>
    </w:p>
    <w:p w:rsidR="006C206A" w:rsidRPr="00A21238" w:rsidRDefault="006C206A" w:rsidP="00971A5D">
      <w:pPr>
        <w:rPr>
          <w:rFonts w:ascii="Century Gothic" w:hAnsi="Century Gothic"/>
          <w:sz w:val="20"/>
          <w:szCs w:val="20"/>
        </w:rPr>
      </w:pPr>
    </w:p>
    <w:p w:rsidR="00971A5D" w:rsidRPr="00A52683" w:rsidRDefault="00245238" w:rsidP="00971A5D">
      <w:pPr>
        <w:spacing w:after="200" w:line="276" w:lineRule="auto"/>
        <w:rPr>
          <w:sz w:val="22"/>
          <w:szCs w:val="22"/>
        </w:rPr>
      </w:pPr>
      <w:r w:rsidRPr="00A52683">
        <w:rPr>
          <w:b/>
          <w:sz w:val="22"/>
          <w:szCs w:val="22"/>
        </w:rPr>
        <w:t>Table 2</w:t>
      </w:r>
      <w:r w:rsidR="00A566D8" w:rsidRPr="00A52683">
        <w:rPr>
          <w:b/>
          <w:sz w:val="22"/>
          <w:szCs w:val="22"/>
        </w:rPr>
        <w:t>5</w:t>
      </w:r>
      <w:r w:rsidR="007E0E2D" w:rsidRPr="00A52683">
        <w:rPr>
          <w:b/>
          <w:sz w:val="22"/>
          <w:szCs w:val="22"/>
        </w:rPr>
        <w:t xml:space="preserve">: Comparing </w:t>
      </w:r>
      <w:r w:rsidR="000F6AF2" w:rsidRPr="00A52683">
        <w:rPr>
          <w:b/>
          <w:i/>
          <w:sz w:val="22"/>
          <w:szCs w:val="22"/>
        </w:rPr>
        <w:t>ALK</w:t>
      </w:r>
      <w:r w:rsidR="000F6AF2" w:rsidRPr="00A52683">
        <w:rPr>
          <w:b/>
          <w:sz w:val="22"/>
          <w:szCs w:val="22"/>
        </w:rPr>
        <w:t xml:space="preserve"> </w:t>
      </w:r>
      <w:r w:rsidR="007E0E2D" w:rsidRPr="00A52683">
        <w:rPr>
          <w:b/>
          <w:sz w:val="22"/>
          <w:szCs w:val="22"/>
        </w:rPr>
        <w:t>FISH with Immunohistochemistry</w:t>
      </w:r>
      <w:r w:rsidR="00065839" w:rsidRPr="00A52683">
        <w:rPr>
          <w:b/>
          <w:sz w:val="22"/>
          <w:szCs w:val="22"/>
        </w:rPr>
        <w:t xml:space="preserve"> (IHC)</w:t>
      </w:r>
    </w:p>
    <w:tbl>
      <w:tblPr>
        <w:tblW w:w="9467" w:type="dxa"/>
        <w:tblInd w:w="91" w:type="dxa"/>
        <w:tblLook w:val="04A0"/>
      </w:tblPr>
      <w:tblGrid>
        <w:gridCol w:w="1533"/>
        <w:gridCol w:w="649"/>
        <w:gridCol w:w="1255"/>
        <w:gridCol w:w="1350"/>
        <w:gridCol w:w="1530"/>
        <w:gridCol w:w="1350"/>
        <w:gridCol w:w="1800"/>
      </w:tblGrid>
      <w:tr w:rsidR="00065839" w:rsidRPr="00A21238" w:rsidTr="00EB03FC">
        <w:trPr>
          <w:trHeight w:val="270"/>
        </w:trPr>
        <w:tc>
          <w:tcPr>
            <w:tcW w:w="1533" w:type="dxa"/>
            <w:tcBorders>
              <w:top w:val="nil"/>
              <w:left w:val="nil"/>
              <w:bottom w:val="nil"/>
              <w:right w:val="nil"/>
            </w:tcBorders>
            <w:shd w:val="clear" w:color="auto" w:fill="auto"/>
            <w:noWrap/>
            <w:vAlign w:val="bottom"/>
            <w:hideMark/>
          </w:tcPr>
          <w:p w:rsidR="00065839" w:rsidRPr="00A21238" w:rsidRDefault="00065839" w:rsidP="00065839">
            <w:pPr>
              <w:rPr>
                <w:rFonts w:ascii="Century Gothic" w:hAnsi="Century Gothic"/>
                <w:sz w:val="20"/>
                <w:szCs w:val="20"/>
              </w:rPr>
            </w:pPr>
          </w:p>
        </w:tc>
        <w:tc>
          <w:tcPr>
            <w:tcW w:w="649" w:type="dxa"/>
            <w:tcBorders>
              <w:top w:val="nil"/>
              <w:left w:val="nil"/>
              <w:bottom w:val="nil"/>
              <w:right w:val="nil"/>
            </w:tcBorders>
            <w:shd w:val="clear" w:color="auto" w:fill="auto"/>
            <w:noWrap/>
            <w:vAlign w:val="bottom"/>
            <w:hideMark/>
          </w:tcPr>
          <w:p w:rsidR="00065839" w:rsidRPr="00A21238" w:rsidRDefault="00065839" w:rsidP="00065839">
            <w:pPr>
              <w:rPr>
                <w:rFonts w:ascii="Century Gothic" w:hAnsi="Century Gothic"/>
                <w:sz w:val="20"/>
                <w:szCs w:val="20"/>
              </w:rPr>
            </w:pPr>
          </w:p>
        </w:tc>
        <w:tc>
          <w:tcPr>
            <w:tcW w:w="1255" w:type="dxa"/>
            <w:tcBorders>
              <w:top w:val="nil"/>
              <w:left w:val="nil"/>
              <w:bottom w:val="nil"/>
              <w:right w:val="nil"/>
            </w:tcBorders>
            <w:shd w:val="clear" w:color="auto" w:fill="auto"/>
            <w:noWrap/>
            <w:vAlign w:val="bottom"/>
            <w:hideMark/>
          </w:tcPr>
          <w:p w:rsidR="00065839" w:rsidRPr="00A21238" w:rsidRDefault="00065839" w:rsidP="00065839">
            <w:pPr>
              <w:rPr>
                <w:rFonts w:ascii="Century Gothic" w:hAnsi="Century Gothic"/>
                <w:sz w:val="20"/>
                <w:szCs w:val="20"/>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Calibri" w:hAnsi="Calibri" w:cs="Calibri"/>
                <w:b/>
                <w:bCs/>
                <w:sz w:val="20"/>
                <w:szCs w:val="20"/>
              </w:rPr>
            </w:pPr>
            <w:r w:rsidRPr="00A21238">
              <w:rPr>
                <w:rFonts w:ascii="Calibri" w:hAnsi="Calibri" w:cs="Calibri"/>
                <w:b/>
                <w:bCs/>
                <w:sz w:val="20"/>
                <w:szCs w:val="20"/>
              </w:rPr>
              <w:t>Concordance</w:t>
            </w:r>
          </w:p>
        </w:tc>
        <w:tc>
          <w:tcPr>
            <w:tcW w:w="315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Calibri" w:hAnsi="Calibri" w:cs="Calibri"/>
                <w:b/>
                <w:bCs/>
                <w:sz w:val="20"/>
                <w:szCs w:val="20"/>
              </w:rPr>
            </w:pPr>
            <w:r w:rsidRPr="00A21238">
              <w:rPr>
                <w:rFonts w:ascii="Calibri" w:hAnsi="Calibri" w:cs="Calibri"/>
                <w:b/>
                <w:bCs/>
                <w:sz w:val="20"/>
                <w:szCs w:val="20"/>
              </w:rPr>
              <w:t>Discordance</w:t>
            </w:r>
          </w:p>
        </w:tc>
      </w:tr>
      <w:tr w:rsidR="00065839" w:rsidRPr="00A21238" w:rsidTr="00EB03FC">
        <w:trPr>
          <w:trHeight w:val="270"/>
        </w:trPr>
        <w:tc>
          <w:tcPr>
            <w:tcW w:w="218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65839" w:rsidRPr="00A21238" w:rsidRDefault="00065839" w:rsidP="00065839">
            <w:pPr>
              <w:rPr>
                <w:rFonts w:ascii="Calibri" w:hAnsi="Calibri" w:cs="Calibri"/>
                <w:b/>
                <w:bCs/>
                <w:sz w:val="20"/>
                <w:szCs w:val="20"/>
              </w:rPr>
            </w:pPr>
            <w:r w:rsidRPr="00A21238">
              <w:rPr>
                <w:rFonts w:ascii="Calibri" w:hAnsi="Calibri" w:cs="Calibri"/>
                <w:b/>
                <w:bCs/>
                <w:sz w:val="20"/>
                <w:szCs w:val="20"/>
              </w:rPr>
              <w:t>IHC Antibody</w:t>
            </w:r>
          </w:p>
        </w:tc>
        <w:tc>
          <w:tcPr>
            <w:tcW w:w="125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65839" w:rsidRPr="00A21238" w:rsidRDefault="00065839" w:rsidP="00EB03FC">
            <w:pPr>
              <w:jc w:val="center"/>
              <w:rPr>
                <w:rFonts w:ascii="Calibri" w:hAnsi="Calibri" w:cs="Calibri"/>
                <w:b/>
                <w:bCs/>
                <w:sz w:val="20"/>
                <w:szCs w:val="20"/>
              </w:rPr>
            </w:pPr>
            <w:r w:rsidRPr="00A21238">
              <w:rPr>
                <w:rFonts w:ascii="Calibri" w:hAnsi="Calibri" w:cs="Calibri"/>
                <w:b/>
                <w:bCs/>
                <w:sz w:val="20"/>
                <w:szCs w:val="20"/>
              </w:rPr>
              <w:t>n(N)</w:t>
            </w:r>
          </w:p>
        </w:tc>
        <w:tc>
          <w:tcPr>
            <w:tcW w:w="135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65839" w:rsidRPr="00A21238" w:rsidRDefault="00065839" w:rsidP="00EB03FC">
            <w:pPr>
              <w:jc w:val="center"/>
              <w:rPr>
                <w:rFonts w:ascii="Calibri" w:hAnsi="Calibri" w:cs="Calibri"/>
                <w:b/>
                <w:bCs/>
                <w:sz w:val="20"/>
                <w:szCs w:val="20"/>
              </w:rPr>
            </w:pPr>
            <w:r w:rsidRPr="00A21238">
              <w:rPr>
                <w:rFonts w:ascii="Calibri" w:hAnsi="Calibri" w:cs="Calibri"/>
                <w:b/>
                <w:bCs/>
                <w:sz w:val="20"/>
                <w:szCs w:val="20"/>
              </w:rPr>
              <w:t>FISH+/IHC+</w:t>
            </w:r>
          </w:p>
        </w:tc>
        <w:tc>
          <w:tcPr>
            <w:tcW w:w="153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65839" w:rsidRPr="00A21238" w:rsidRDefault="00065839" w:rsidP="00EB03FC">
            <w:pPr>
              <w:jc w:val="center"/>
              <w:rPr>
                <w:rFonts w:ascii="Calibri" w:hAnsi="Calibri" w:cs="Calibri"/>
                <w:b/>
                <w:bCs/>
                <w:sz w:val="20"/>
                <w:szCs w:val="20"/>
              </w:rPr>
            </w:pPr>
            <w:r w:rsidRPr="00A21238">
              <w:rPr>
                <w:rFonts w:ascii="Calibri" w:hAnsi="Calibri" w:cs="Calibri"/>
                <w:b/>
                <w:bCs/>
                <w:sz w:val="20"/>
                <w:szCs w:val="20"/>
              </w:rPr>
              <w:t>FISH-/IHC-</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Calibri" w:hAnsi="Calibri" w:cs="Calibri"/>
                <w:b/>
                <w:bCs/>
                <w:sz w:val="20"/>
                <w:szCs w:val="20"/>
              </w:rPr>
            </w:pPr>
            <w:r w:rsidRPr="00A21238">
              <w:rPr>
                <w:rFonts w:ascii="Calibri" w:hAnsi="Calibri" w:cs="Calibri"/>
                <w:b/>
                <w:bCs/>
                <w:sz w:val="20"/>
                <w:szCs w:val="20"/>
              </w:rPr>
              <w:t>FISH+/IHC-</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Calibri" w:hAnsi="Calibri" w:cs="Calibri"/>
                <w:b/>
                <w:bCs/>
                <w:sz w:val="20"/>
                <w:szCs w:val="20"/>
              </w:rPr>
            </w:pPr>
            <w:r w:rsidRPr="00A21238">
              <w:rPr>
                <w:rFonts w:ascii="Calibri" w:hAnsi="Calibri" w:cs="Calibri"/>
                <w:b/>
                <w:bCs/>
                <w:sz w:val="20"/>
                <w:szCs w:val="20"/>
              </w:rPr>
              <w:t>FISH-/IHC+</w:t>
            </w:r>
          </w:p>
        </w:tc>
      </w:tr>
      <w:tr w:rsidR="00065839" w:rsidRPr="00A21238" w:rsidTr="00EB03FC">
        <w:trPr>
          <w:trHeight w:val="270"/>
        </w:trPr>
        <w:tc>
          <w:tcPr>
            <w:tcW w:w="2182" w:type="dxa"/>
            <w:gridSpan w:val="2"/>
            <w:vMerge/>
            <w:tcBorders>
              <w:top w:val="single" w:sz="4" w:space="0" w:color="auto"/>
              <w:left w:val="single" w:sz="4" w:space="0" w:color="auto"/>
              <w:bottom w:val="single" w:sz="4" w:space="0" w:color="000000"/>
              <w:right w:val="single" w:sz="4" w:space="0" w:color="000000"/>
            </w:tcBorders>
            <w:vAlign w:val="center"/>
            <w:hideMark/>
          </w:tcPr>
          <w:p w:rsidR="00065839" w:rsidRPr="00A21238" w:rsidRDefault="00065839" w:rsidP="00065839">
            <w:pPr>
              <w:rPr>
                <w:rFonts w:ascii="Calibri" w:hAnsi="Calibri" w:cs="Calibri"/>
                <w:b/>
                <w:bCs/>
                <w:sz w:val="20"/>
                <w:szCs w:val="20"/>
              </w:rPr>
            </w:pPr>
          </w:p>
        </w:tc>
        <w:tc>
          <w:tcPr>
            <w:tcW w:w="1255" w:type="dxa"/>
            <w:vMerge/>
            <w:tcBorders>
              <w:top w:val="single" w:sz="4" w:space="0" w:color="auto"/>
              <w:left w:val="single" w:sz="4" w:space="0" w:color="auto"/>
              <w:bottom w:val="single" w:sz="4" w:space="0" w:color="000000"/>
              <w:right w:val="single" w:sz="4" w:space="0" w:color="auto"/>
            </w:tcBorders>
            <w:vAlign w:val="bottom"/>
            <w:hideMark/>
          </w:tcPr>
          <w:p w:rsidR="00065839" w:rsidRPr="00A21238" w:rsidRDefault="00065839" w:rsidP="00EB03FC">
            <w:pPr>
              <w:jc w:val="center"/>
              <w:rPr>
                <w:rFonts w:ascii="Calibri" w:hAnsi="Calibri" w:cs="Calibri"/>
                <w:b/>
                <w:bCs/>
                <w:sz w:val="20"/>
                <w:szCs w:val="20"/>
              </w:rPr>
            </w:pPr>
          </w:p>
        </w:tc>
        <w:tc>
          <w:tcPr>
            <w:tcW w:w="1350" w:type="dxa"/>
            <w:vMerge/>
            <w:tcBorders>
              <w:top w:val="nil"/>
              <w:left w:val="single" w:sz="4" w:space="0" w:color="auto"/>
              <w:bottom w:val="single" w:sz="4" w:space="0" w:color="000000"/>
              <w:right w:val="single" w:sz="4" w:space="0" w:color="auto"/>
            </w:tcBorders>
            <w:vAlign w:val="bottom"/>
            <w:hideMark/>
          </w:tcPr>
          <w:p w:rsidR="00065839" w:rsidRPr="00A21238" w:rsidRDefault="00065839" w:rsidP="00EB03FC">
            <w:pPr>
              <w:jc w:val="center"/>
              <w:rPr>
                <w:rFonts w:ascii="Calibri" w:hAnsi="Calibri" w:cs="Calibri"/>
                <w:b/>
                <w:bCs/>
                <w:sz w:val="20"/>
                <w:szCs w:val="20"/>
              </w:rPr>
            </w:pPr>
          </w:p>
        </w:tc>
        <w:tc>
          <w:tcPr>
            <w:tcW w:w="1530" w:type="dxa"/>
            <w:vMerge/>
            <w:tcBorders>
              <w:top w:val="nil"/>
              <w:left w:val="single" w:sz="4" w:space="0" w:color="auto"/>
              <w:bottom w:val="single" w:sz="4" w:space="0" w:color="000000"/>
              <w:right w:val="single" w:sz="4" w:space="0" w:color="auto"/>
            </w:tcBorders>
            <w:vAlign w:val="bottom"/>
            <w:hideMark/>
          </w:tcPr>
          <w:p w:rsidR="00065839" w:rsidRPr="00A21238" w:rsidRDefault="00065839" w:rsidP="00EB03FC">
            <w:pPr>
              <w:jc w:val="center"/>
              <w:rPr>
                <w:rFonts w:ascii="Calibri" w:hAnsi="Calibri" w:cs="Calibri"/>
                <w:b/>
                <w:bCs/>
                <w:sz w:val="20"/>
                <w:szCs w:val="20"/>
              </w:rPr>
            </w:pPr>
          </w:p>
        </w:tc>
        <w:tc>
          <w:tcPr>
            <w:tcW w:w="1350" w:type="dxa"/>
            <w:vMerge/>
            <w:tcBorders>
              <w:top w:val="nil"/>
              <w:left w:val="single" w:sz="4" w:space="0" w:color="auto"/>
              <w:bottom w:val="single" w:sz="4" w:space="0" w:color="auto"/>
              <w:right w:val="single" w:sz="4" w:space="0" w:color="auto"/>
            </w:tcBorders>
            <w:vAlign w:val="bottom"/>
            <w:hideMark/>
          </w:tcPr>
          <w:p w:rsidR="00065839" w:rsidRPr="00A21238" w:rsidRDefault="00065839" w:rsidP="00EB03FC">
            <w:pPr>
              <w:jc w:val="center"/>
              <w:rPr>
                <w:rFonts w:ascii="Calibri" w:hAnsi="Calibri" w:cs="Calibri"/>
                <w:b/>
                <w:bCs/>
                <w:sz w:val="20"/>
                <w:szCs w:val="20"/>
              </w:rPr>
            </w:pPr>
          </w:p>
        </w:tc>
        <w:tc>
          <w:tcPr>
            <w:tcW w:w="1800" w:type="dxa"/>
            <w:vMerge/>
            <w:tcBorders>
              <w:top w:val="nil"/>
              <w:left w:val="single" w:sz="4" w:space="0" w:color="auto"/>
              <w:bottom w:val="single" w:sz="4" w:space="0" w:color="auto"/>
              <w:right w:val="single" w:sz="4" w:space="0" w:color="auto"/>
            </w:tcBorders>
            <w:vAlign w:val="bottom"/>
            <w:hideMark/>
          </w:tcPr>
          <w:p w:rsidR="00065839" w:rsidRPr="00A21238" w:rsidRDefault="00065839" w:rsidP="00EB03FC">
            <w:pPr>
              <w:jc w:val="center"/>
              <w:rPr>
                <w:rFonts w:ascii="Calibri" w:hAnsi="Calibri" w:cs="Calibri"/>
                <w:b/>
                <w:bCs/>
                <w:sz w:val="20"/>
                <w:szCs w:val="20"/>
              </w:rPr>
            </w:pPr>
          </w:p>
        </w:tc>
      </w:tr>
      <w:tr w:rsidR="00065839" w:rsidRPr="00A21238" w:rsidTr="00EB03FC">
        <w:trPr>
          <w:trHeight w:val="270"/>
        </w:trPr>
        <w:tc>
          <w:tcPr>
            <w:tcW w:w="21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39" w:rsidRPr="00A21238" w:rsidRDefault="00065839" w:rsidP="0002496E">
            <w:pPr>
              <w:rPr>
                <w:rFonts w:ascii="Calibri" w:hAnsi="Calibri" w:cs="Calibri"/>
                <w:sz w:val="20"/>
                <w:szCs w:val="20"/>
              </w:rPr>
            </w:pPr>
            <w:r w:rsidRPr="00A21238">
              <w:rPr>
                <w:rFonts w:ascii="Calibri" w:hAnsi="Calibri" w:cs="Calibri"/>
                <w:sz w:val="20"/>
                <w:szCs w:val="20"/>
              </w:rPr>
              <w:t>IHC - CD246</w:t>
            </w:r>
            <w:r w:rsidR="0002496E" w:rsidRPr="0002496E">
              <w:rPr>
                <w:rFonts w:ascii="Calibri" w:hAnsi="Calibri" w:cs="Calibri"/>
                <w:noProof/>
                <w:sz w:val="20"/>
                <w:szCs w:val="20"/>
                <w:vertAlign w:val="superscript"/>
              </w:rPr>
              <w:t>57, 58, 132, 133</w:t>
            </w:r>
            <w:r w:rsidRPr="00A21238">
              <w:rPr>
                <w:rFonts w:ascii="Calibri" w:hAnsi="Calibri" w:cs="Calibri"/>
                <w:sz w:val="20"/>
                <w:szCs w:val="20"/>
              </w:rPr>
              <w:t xml:space="preserve"> </w:t>
            </w:r>
          </w:p>
        </w:tc>
        <w:tc>
          <w:tcPr>
            <w:tcW w:w="1255" w:type="dxa"/>
            <w:tcBorders>
              <w:top w:val="nil"/>
              <w:left w:val="nil"/>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Calibri" w:hAnsi="Calibri" w:cs="Calibri"/>
                <w:sz w:val="20"/>
                <w:szCs w:val="20"/>
              </w:rPr>
            </w:pPr>
            <w:r w:rsidRPr="00A21238">
              <w:rPr>
                <w:rFonts w:ascii="Calibri" w:hAnsi="Calibri" w:cs="Calibri"/>
                <w:sz w:val="20"/>
                <w:szCs w:val="20"/>
              </w:rPr>
              <w:t>4(391)</w:t>
            </w:r>
          </w:p>
        </w:tc>
        <w:tc>
          <w:tcPr>
            <w:tcW w:w="1350" w:type="dxa"/>
            <w:tcBorders>
              <w:top w:val="nil"/>
              <w:left w:val="nil"/>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Calibri" w:hAnsi="Calibri" w:cs="Calibri"/>
                <w:sz w:val="20"/>
                <w:szCs w:val="20"/>
              </w:rPr>
            </w:pPr>
            <w:r w:rsidRPr="00A21238">
              <w:rPr>
                <w:rFonts w:ascii="Calibri" w:hAnsi="Calibri" w:cs="Calibri"/>
                <w:sz w:val="20"/>
                <w:szCs w:val="20"/>
              </w:rPr>
              <w:t>25</w:t>
            </w:r>
          </w:p>
        </w:tc>
        <w:tc>
          <w:tcPr>
            <w:tcW w:w="1530" w:type="dxa"/>
            <w:tcBorders>
              <w:top w:val="nil"/>
              <w:left w:val="nil"/>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Calibri" w:hAnsi="Calibri" w:cs="Calibri"/>
                <w:sz w:val="20"/>
                <w:szCs w:val="20"/>
              </w:rPr>
            </w:pPr>
            <w:r w:rsidRPr="00A21238">
              <w:rPr>
                <w:rFonts w:ascii="Calibri" w:hAnsi="Calibri" w:cs="Calibri"/>
                <w:sz w:val="20"/>
                <w:szCs w:val="20"/>
              </w:rPr>
              <w:t>344</w:t>
            </w:r>
          </w:p>
        </w:tc>
        <w:tc>
          <w:tcPr>
            <w:tcW w:w="1350" w:type="dxa"/>
            <w:tcBorders>
              <w:top w:val="nil"/>
              <w:left w:val="nil"/>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Calibri" w:hAnsi="Calibri" w:cs="Calibri"/>
                <w:sz w:val="20"/>
                <w:szCs w:val="20"/>
              </w:rPr>
            </w:pPr>
            <w:r w:rsidRPr="00A21238">
              <w:rPr>
                <w:rFonts w:ascii="Calibri" w:hAnsi="Calibri" w:cs="Calibri"/>
                <w:sz w:val="20"/>
                <w:szCs w:val="20"/>
              </w:rPr>
              <w:t>20</w:t>
            </w:r>
          </w:p>
        </w:tc>
        <w:tc>
          <w:tcPr>
            <w:tcW w:w="1800" w:type="dxa"/>
            <w:tcBorders>
              <w:top w:val="nil"/>
              <w:left w:val="nil"/>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Calibri" w:hAnsi="Calibri" w:cs="Calibri"/>
                <w:sz w:val="20"/>
                <w:szCs w:val="20"/>
              </w:rPr>
            </w:pPr>
            <w:r w:rsidRPr="00A21238">
              <w:rPr>
                <w:rFonts w:ascii="Calibri" w:hAnsi="Calibri" w:cs="Calibri"/>
                <w:sz w:val="20"/>
                <w:szCs w:val="20"/>
              </w:rPr>
              <w:t>2</w:t>
            </w:r>
          </w:p>
        </w:tc>
      </w:tr>
      <w:tr w:rsidR="00065839" w:rsidRPr="00A21238" w:rsidTr="00EB03FC">
        <w:trPr>
          <w:trHeight w:val="270"/>
        </w:trPr>
        <w:tc>
          <w:tcPr>
            <w:tcW w:w="21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39" w:rsidRPr="00A21238" w:rsidRDefault="00065839" w:rsidP="0002496E">
            <w:pPr>
              <w:rPr>
                <w:rFonts w:ascii="Calibri" w:hAnsi="Calibri" w:cs="Calibri"/>
                <w:sz w:val="20"/>
                <w:szCs w:val="20"/>
              </w:rPr>
            </w:pPr>
            <w:r w:rsidRPr="00A21238">
              <w:rPr>
                <w:rFonts w:ascii="Calibri" w:hAnsi="Calibri" w:cs="Calibri"/>
                <w:sz w:val="20"/>
                <w:szCs w:val="20"/>
              </w:rPr>
              <w:t xml:space="preserve">IHC - D5F3/D9E4 </w:t>
            </w:r>
            <w:r w:rsidR="0002496E" w:rsidRPr="0002496E">
              <w:rPr>
                <w:rFonts w:ascii="Calibri" w:hAnsi="Calibri" w:cs="Calibri"/>
                <w:noProof/>
                <w:sz w:val="20"/>
                <w:szCs w:val="20"/>
                <w:vertAlign w:val="superscript"/>
              </w:rPr>
              <w:t>60, 64, 132</w:t>
            </w:r>
          </w:p>
        </w:tc>
        <w:tc>
          <w:tcPr>
            <w:tcW w:w="1255" w:type="dxa"/>
            <w:tcBorders>
              <w:top w:val="nil"/>
              <w:left w:val="nil"/>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Calibri" w:hAnsi="Calibri" w:cs="Calibri"/>
                <w:sz w:val="20"/>
                <w:szCs w:val="20"/>
              </w:rPr>
            </w:pPr>
            <w:r w:rsidRPr="00A21238">
              <w:rPr>
                <w:rFonts w:ascii="Calibri" w:hAnsi="Calibri" w:cs="Calibri"/>
                <w:sz w:val="20"/>
                <w:szCs w:val="20"/>
              </w:rPr>
              <w:t>3(148)</w:t>
            </w:r>
          </w:p>
        </w:tc>
        <w:tc>
          <w:tcPr>
            <w:tcW w:w="1350" w:type="dxa"/>
            <w:tcBorders>
              <w:top w:val="nil"/>
              <w:left w:val="nil"/>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Calibri" w:hAnsi="Calibri" w:cs="Calibri"/>
                <w:sz w:val="20"/>
                <w:szCs w:val="20"/>
              </w:rPr>
            </w:pPr>
            <w:r w:rsidRPr="00A21238">
              <w:rPr>
                <w:rFonts w:ascii="Calibri" w:hAnsi="Calibri" w:cs="Calibri"/>
                <w:sz w:val="20"/>
                <w:szCs w:val="20"/>
              </w:rPr>
              <w:t>46</w:t>
            </w:r>
          </w:p>
        </w:tc>
        <w:tc>
          <w:tcPr>
            <w:tcW w:w="1530" w:type="dxa"/>
            <w:tcBorders>
              <w:top w:val="nil"/>
              <w:left w:val="nil"/>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Calibri" w:hAnsi="Calibri" w:cs="Calibri"/>
                <w:sz w:val="20"/>
                <w:szCs w:val="20"/>
              </w:rPr>
            </w:pPr>
            <w:r w:rsidRPr="00A21238">
              <w:rPr>
                <w:rFonts w:ascii="Calibri" w:hAnsi="Calibri" w:cs="Calibri"/>
                <w:sz w:val="20"/>
                <w:szCs w:val="20"/>
              </w:rPr>
              <w:t>101</w:t>
            </w:r>
          </w:p>
        </w:tc>
        <w:tc>
          <w:tcPr>
            <w:tcW w:w="1350" w:type="dxa"/>
            <w:tcBorders>
              <w:top w:val="nil"/>
              <w:left w:val="nil"/>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Calibri" w:hAnsi="Calibri" w:cs="Calibri"/>
                <w:sz w:val="20"/>
                <w:szCs w:val="20"/>
              </w:rPr>
            </w:pPr>
            <w:r w:rsidRPr="00A21238">
              <w:rPr>
                <w:rFonts w:ascii="Calibri" w:hAnsi="Calibri" w:cs="Calibri"/>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Calibri" w:hAnsi="Calibri" w:cs="Calibri"/>
                <w:sz w:val="20"/>
                <w:szCs w:val="20"/>
              </w:rPr>
            </w:pPr>
            <w:r w:rsidRPr="00A21238">
              <w:rPr>
                <w:rFonts w:ascii="Calibri" w:hAnsi="Calibri" w:cs="Calibri"/>
                <w:sz w:val="20"/>
                <w:szCs w:val="20"/>
              </w:rPr>
              <w:t>0</w:t>
            </w:r>
          </w:p>
        </w:tc>
      </w:tr>
      <w:tr w:rsidR="00065839" w:rsidRPr="00A21238" w:rsidTr="00EB03FC">
        <w:trPr>
          <w:trHeight w:val="270"/>
        </w:trPr>
        <w:tc>
          <w:tcPr>
            <w:tcW w:w="21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39" w:rsidRPr="00A21238" w:rsidRDefault="00065839" w:rsidP="0002496E">
            <w:pPr>
              <w:rPr>
                <w:rFonts w:ascii="Calibri" w:hAnsi="Calibri" w:cs="Calibri"/>
                <w:sz w:val="20"/>
                <w:szCs w:val="20"/>
              </w:rPr>
            </w:pPr>
            <w:r w:rsidRPr="00A21238">
              <w:rPr>
                <w:rFonts w:ascii="Calibri" w:hAnsi="Calibri" w:cs="Calibri"/>
                <w:sz w:val="20"/>
                <w:szCs w:val="20"/>
              </w:rPr>
              <w:t>IHC - 5A4</w:t>
            </w:r>
            <w:r w:rsidR="0002496E" w:rsidRPr="0002496E">
              <w:rPr>
                <w:rFonts w:ascii="Calibri" w:hAnsi="Calibri" w:cs="Calibri"/>
                <w:noProof/>
                <w:sz w:val="20"/>
                <w:szCs w:val="20"/>
                <w:vertAlign w:val="superscript"/>
              </w:rPr>
              <w:t>63</w:t>
            </w:r>
            <w:r w:rsidRPr="00A21238">
              <w:rPr>
                <w:rFonts w:ascii="Calibri" w:hAnsi="Calibri" w:cs="Calibri"/>
                <w:sz w:val="20"/>
                <w:szCs w:val="20"/>
              </w:rPr>
              <w:t xml:space="preserve"> </w:t>
            </w:r>
          </w:p>
        </w:tc>
        <w:tc>
          <w:tcPr>
            <w:tcW w:w="1255" w:type="dxa"/>
            <w:tcBorders>
              <w:top w:val="nil"/>
              <w:left w:val="nil"/>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Calibri" w:hAnsi="Calibri" w:cs="Calibri"/>
                <w:sz w:val="20"/>
                <w:szCs w:val="20"/>
              </w:rPr>
            </w:pPr>
            <w:r w:rsidRPr="00A21238">
              <w:rPr>
                <w:rFonts w:ascii="Calibri" w:hAnsi="Calibri" w:cs="Calibri"/>
                <w:sz w:val="20"/>
                <w:szCs w:val="20"/>
              </w:rPr>
              <w:t>1(640)</w:t>
            </w:r>
          </w:p>
        </w:tc>
        <w:tc>
          <w:tcPr>
            <w:tcW w:w="1350" w:type="dxa"/>
            <w:tcBorders>
              <w:top w:val="nil"/>
              <w:left w:val="nil"/>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Calibri" w:hAnsi="Calibri" w:cs="Calibri"/>
                <w:sz w:val="20"/>
                <w:szCs w:val="20"/>
              </w:rPr>
            </w:pPr>
            <w:r w:rsidRPr="00A21238">
              <w:rPr>
                <w:rFonts w:ascii="Calibri" w:hAnsi="Calibri" w:cs="Calibri"/>
                <w:sz w:val="20"/>
                <w:szCs w:val="20"/>
              </w:rPr>
              <w:t>28</w:t>
            </w:r>
          </w:p>
        </w:tc>
        <w:tc>
          <w:tcPr>
            <w:tcW w:w="1530" w:type="dxa"/>
            <w:tcBorders>
              <w:top w:val="nil"/>
              <w:left w:val="nil"/>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Calibri" w:hAnsi="Calibri" w:cs="Calibri"/>
                <w:sz w:val="20"/>
                <w:szCs w:val="20"/>
              </w:rPr>
            </w:pPr>
            <w:r w:rsidRPr="00A21238">
              <w:rPr>
                <w:rFonts w:ascii="Calibri" w:hAnsi="Calibri" w:cs="Calibri"/>
                <w:sz w:val="20"/>
                <w:szCs w:val="20"/>
              </w:rPr>
              <w:t>602</w:t>
            </w:r>
          </w:p>
        </w:tc>
        <w:tc>
          <w:tcPr>
            <w:tcW w:w="1350" w:type="dxa"/>
            <w:tcBorders>
              <w:top w:val="nil"/>
              <w:left w:val="nil"/>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Calibri" w:hAnsi="Calibri" w:cs="Calibri"/>
                <w:sz w:val="20"/>
                <w:szCs w:val="20"/>
              </w:rPr>
            </w:pPr>
            <w:r w:rsidRPr="00A21238">
              <w:rPr>
                <w:rFonts w:ascii="Calibri" w:hAnsi="Calibri" w:cs="Calibri"/>
                <w:sz w:val="20"/>
                <w:szCs w:val="20"/>
              </w:rPr>
              <w:t>0</w:t>
            </w:r>
          </w:p>
        </w:tc>
        <w:tc>
          <w:tcPr>
            <w:tcW w:w="1800" w:type="dxa"/>
            <w:tcBorders>
              <w:top w:val="nil"/>
              <w:left w:val="nil"/>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Calibri" w:hAnsi="Calibri" w:cs="Calibri"/>
                <w:sz w:val="20"/>
                <w:szCs w:val="20"/>
              </w:rPr>
            </w:pPr>
            <w:r w:rsidRPr="00A21238">
              <w:rPr>
                <w:rFonts w:ascii="Calibri" w:hAnsi="Calibri" w:cs="Calibri"/>
                <w:sz w:val="20"/>
                <w:szCs w:val="20"/>
              </w:rPr>
              <w:t>10</w:t>
            </w:r>
          </w:p>
        </w:tc>
      </w:tr>
    </w:tbl>
    <w:p w:rsidR="00FB0E05" w:rsidRPr="00A21238" w:rsidRDefault="00437895" w:rsidP="00971A5D">
      <w:pPr>
        <w:spacing w:after="200" w:line="276" w:lineRule="auto"/>
        <w:rPr>
          <w:rFonts w:ascii="Century Gothic" w:hAnsi="Century Gothic"/>
          <w:sz w:val="20"/>
          <w:szCs w:val="20"/>
        </w:rPr>
      </w:pPr>
      <w:r>
        <w:rPr>
          <w:rFonts w:asciiTheme="minorHAnsi" w:hAnsiTheme="minorHAnsi"/>
          <w:sz w:val="18"/>
          <w:szCs w:val="18"/>
        </w:rPr>
        <w:t xml:space="preserve">Abbreviations: </w:t>
      </w:r>
      <w:r w:rsidR="00565546" w:rsidRPr="00A21238">
        <w:rPr>
          <w:rFonts w:asciiTheme="minorHAnsi" w:hAnsiTheme="minorHAnsi"/>
          <w:sz w:val="18"/>
          <w:szCs w:val="18"/>
        </w:rPr>
        <w:t>n</w:t>
      </w:r>
      <w:r w:rsidR="00470CE4">
        <w:rPr>
          <w:rFonts w:asciiTheme="minorHAnsi" w:hAnsiTheme="minorHAnsi"/>
          <w:sz w:val="18"/>
          <w:szCs w:val="18"/>
        </w:rPr>
        <w:t>,</w:t>
      </w:r>
      <w:r w:rsidR="00565546" w:rsidRPr="00A21238">
        <w:rPr>
          <w:rFonts w:asciiTheme="minorHAnsi" w:hAnsiTheme="minorHAnsi"/>
          <w:sz w:val="18"/>
          <w:szCs w:val="18"/>
        </w:rPr>
        <w:t xml:space="preserve"> Number of studies; N</w:t>
      </w:r>
      <w:r w:rsidR="00470CE4">
        <w:rPr>
          <w:rFonts w:asciiTheme="minorHAnsi" w:hAnsiTheme="minorHAnsi"/>
          <w:sz w:val="18"/>
          <w:szCs w:val="18"/>
        </w:rPr>
        <w:t>,</w:t>
      </w:r>
      <w:r w:rsidR="00565546" w:rsidRPr="00A21238">
        <w:rPr>
          <w:rFonts w:asciiTheme="minorHAnsi" w:hAnsiTheme="minorHAnsi"/>
          <w:sz w:val="18"/>
          <w:szCs w:val="18"/>
        </w:rPr>
        <w:t xml:space="preserve"> Number of patients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678C3" w:rsidRPr="00A52683" w:rsidTr="00576DE9">
        <w:tc>
          <w:tcPr>
            <w:tcW w:w="5000" w:type="pct"/>
          </w:tcPr>
          <w:p w:rsidR="004A0542" w:rsidRPr="00A52683" w:rsidRDefault="00971A5D" w:rsidP="00576DE9">
            <w:pPr>
              <w:keepNext/>
              <w:keepLines/>
              <w:spacing w:before="200"/>
              <w:outlineLvl w:val="3"/>
              <w:rPr>
                <w:b/>
                <w:sz w:val="22"/>
                <w:szCs w:val="22"/>
              </w:rPr>
            </w:pPr>
            <w:r w:rsidRPr="00A52683">
              <w:rPr>
                <w:sz w:val="22"/>
                <w:szCs w:val="22"/>
              </w:rPr>
              <w:br w:type="page"/>
            </w:r>
            <w:r w:rsidR="00F22C31" w:rsidRPr="00A52683">
              <w:rPr>
                <w:b/>
                <w:sz w:val="22"/>
                <w:szCs w:val="22"/>
              </w:rPr>
              <w:t xml:space="preserve">9.2: Recommendation: RT-PCR is not recommended as an alternative to FISH for selecting patients for </w:t>
            </w:r>
            <w:r w:rsidR="00F22C31" w:rsidRPr="00B8122E">
              <w:rPr>
                <w:b/>
                <w:sz w:val="22"/>
                <w:szCs w:val="22"/>
              </w:rPr>
              <w:t>ALK</w:t>
            </w:r>
            <w:r w:rsidR="00F22C31" w:rsidRPr="00A52683">
              <w:rPr>
                <w:b/>
                <w:sz w:val="22"/>
                <w:szCs w:val="22"/>
              </w:rPr>
              <w:t xml:space="preserve"> inhibitor therapy </w:t>
            </w:r>
          </w:p>
        </w:tc>
      </w:tr>
      <w:tr w:rsidR="008678C3" w:rsidRPr="00A52683" w:rsidTr="004952B0">
        <w:tc>
          <w:tcPr>
            <w:tcW w:w="5000" w:type="pct"/>
            <w:vAlign w:val="center"/>
          </w:tcPr>
          <w:p w:rsidR="008678C3" w:rsidRPr="00A52683" w:rsidRDefault="008678C3" w:rsidP="00331B19">
            <w:pPr>
              <w:rPr>
                <w:sz w:val="22"/>
                <w:szCs w:val="22"/>
              </w:rPr>
            </w:pPr>
            <w:r w:rsidRPr="00A52683">
              <w:rPr>
                <w:b/>
                <w:bCs/>
                <w:sz w:val="22"/>
                <w:szCs w:val="22"/>
              </w:rPr>
              <w:t xml:space="preserve">Evidence base: </w:t>
            </w:r>
            <w:r w:rsidR="00331B19" w:rsidRPr="00A52683">
              <w:rPr>
                <w:b/>
                <w:bCs/>
                <w:sz w:val="22"/>
                <w:szCs w:val="22"/>
              </w:rPr>
              <w:t>B</w:t>
            </w:r>
          </w:p>
        </w:tc>
      </w:tr>
      <w:tr w:rsidR="008678C3" w:rsidRPr="00A52683" w:rsidTr="004952B0">
        <w:tc>
          <w:tcPr>
            <w:tcW w:w="5000" w:type="pct"/>
            <w:vAlign w:val="center"/>
          </w:tcPr>
          <w:p w:rsidR="008678C3" w:rsidRPr="00A52683" w:rsidRDefault="008678C3" w:rsidP="00331B19">
            <w:pPr>
              <w:rPr>
                <w:sz w:val="22"/>
                <w:szCs w:val="22"/>
              </w:rPr>
            </w:pPr>
            <w:r w:rsidRPr="00A52683">
              <w:rPr>
                <w:b/>
                <w:bCs/>
                <w:sz w:val="22"/>
                <w:szCs w:val="22"/>
              </w:rPr>
              <w:t xml:space="preserve">Consistency: </w:t>
            </w:r>
            <w:r w:rsidR="00331B19" w:rsidRPr="00A52683">
              <w:rPr>
                <w:b/>
                <w:bCs/>
                <w:sz w:val="22"/>
                <w:szCs w:val="22"/>
              </w:rPr>
              <w:t>B</w:t>
            </w:r>
          </w:p>
        </w:tc>
      </w:tr>
      <w:tr w:rsidR="008678C3" w:rsidRPr="00A52683" w:rsidTr="004952B0">
        <w:tc>
          <w:tcPr>
            <w:tcW w:w="5000" w:type="pct"/>
            <w:vAlign w:val="center"/>
          </w:tcPr>
          <w:p w:rsidR="008678C3" w:rsidRPr="00A52683" w:rsidRDefault="008678C3" w:rsidP="00196F87">
            <w:pPr>
              <w:rPr>
                <w:b/>
                <w:bCs/>
                <w:sz w:val="22"/>
                <w:szCs w:val="22"/>
              </w:rPr>
            </w:pPr>
            <w:r w:rsidRPr="00A52683">
              <w:rPr>
                <w:b/>
                <w:bCs/>
                <w:sz w:val="22"/>
                <w:szCs w:val="22"/>
              </w:rPr>
              <w:t xml:space="preserve">Clinical impact: </w:t>
            </w:r>
            <w:r w:rsidR="00922775" w:rsidRPr="00A52683">
              <w:rPr>
                <w:b/>
                <w:bCs/>
                <w:sz w:val="22"/>
                <w:szCs w:val="22"/>
              </w:rPr>
              <w:t>B</w:t>
            </w:r>
          </w:p>
        </w:tc>
      </w:tr>
      <w:tr w:rsidR="008678C3" w:rsidRPr="00A52683" w:rsidTr="004952B0">
        <w:tc>
          <w:tcPr>
            <w:tcW w:w="5000" w:type="pct"/>
            <w:vAlign w:val="center"/>
          </w:tcPr>
          <w:p w:rsidR="008678C3" w:rsidRPr="00A52683" w:rsidRDefault="008678C3" w:rsidP="00196F87">
            <w:pPr>
              <w:rPr>
                <w:b/>
                <w:bCs/>
                <w:sz w:val="22"/>
                <w:szCs w:val="22"/>
              </w:rPr>
            </w:pPr>
            <w:proofErr w:type="spellStart"/>
            <w:r w:rsidRPr="00A52683">
              <w:rPr>
                <w:b/>
                <w:bCs/>
                <w:sz w:val="22"/>
                <w:szCs w:val="22"/>
              </w:rPr>
              <w:t>Generalizability</w:t>
            </w:r>
            <w:proofErr w:type="spellEnd"/>
            <w:r w:rsidRPr="00A52683">
              <w:rPr>
                <w:b/>
                <w:bCs/>
                <w:sz w:val="22"/>
                <w:szCs w:val="22"/>
              </w:rPr>
              <w:t xml:space="preserve">: </w:t>
            </w:r>
            <w:r w:rsidR="00922775" w:rsidRPr="00A52683">
              <w:rPr>
                <w:b/>
                <w:bCs/>
                <w:sz w:val="22"/>
                <w:szCs w:val="22"/>
              </w:rPr>
              <w:t>B</w:t>
            </w:r>
          </w:p>
        </w:tc>
      </w:tr>
      <w:tr w:rsidR="008678C3" w:rsidRPr="00A52683" w:rsidTr="004952B0">
        <w:tc>
          <w:tcPr>
            <w:tcW w:w="5000" w:type="pct"/>
            <w:vAlign w:val="center"/>
          </w:tcPr>
          <w:p w:rsidR="008678C3" w:rsidRPr="00A52683" w:rsidRDefault="008678C3" w:rsidP="00196F87">
            <w:pPr>
              <w:rPr>
                <w:b/>
                <w:bCs/>
                <w:sz w:val="22"/>
                <w:szCs w:val="22"/>
              </w:rPr>
            </w:pPr>
            <w:r w:rsidRPr="00A52683">
              <w:rPr>
                <w:b/>
                <w:bCs/>
                <w:sz w:val="22"/>
                <w:szCs w:val="22"/>
              </w:rPr>
              <w:t xml:space="preserve">Applicability: </w:t>
            </w:r>
            <w:r w:rsidR="00922775" w:rsidRPr="00A52683">
              <w:rPr>
                <w:b/>
                <w:bCs/>
                <w:sz w:val="22"/>
                <w:szCs w:val="22"/>
              </w:rPr>
              <w:t>B</w:t>
            </w:r>
          </w:p>
        </w:tc>
      </w:tr>
      <w:tr w:rsidR="008678C3" w:rsidRPr="00A52683" w:rsidTr="004952B0">
        <w:tc>
          <w:tcPr>
            <w:tcW w:w="5000" w:type="pct"/>
            <w:vAlign w:val="center"/>
          </w:tcPr>
          <w:p w:rsidR="008678C3" w:rsidRPr="00A52683" w:rsidRDefault="008678C3" w:rsidP="00331B19">
            <w:pPr>
              <w:rPr>
                <w:b/>
                <w:bCs/>
                <w:sz w:val="22"/>
                <w:szCs w:val="22"/>
              </w:rPr>
            </w:pPr>
            <w:r w:rsidRPr="00A52683">
              <w:rPr>
                <w:b/>
                <w:sz w:val="22"/>
                <w:szCs w:val="22"/>
              </w:rPr>
              <w:t xml:space="preserve">Overall Grade: </w:t>
            </w:r>
            <w:r w:rsidR="00331B19" w:rsidRPr="00A52683">
              <w:rPr>
                <w:b/>
                <w:sz w:val="22"/>
                <w:szCs w:val="22"/>
              </w:rPr>
              <w:t>B</w:t>
            </w:r>
          </w:p>
        </w:tc>
      </w:tr>
    </w:tbl>
    <w:p w:rsidR="008678C3" w:rsidRPr="00A52683" w:rsidRDefault="008678C3" w:rsidP="00E35579">
      <w:pPr>
        <w:rPr>
          <w:sz w:val="22"/>
          <w:szCs w:val="22"/>
        </w:rPr>
      </w:pPr>
    </w:p>
    <w:p w:rsidR="00AC4732" w:rsidRPr="00A52683" w:rsidRDefault="00AC4732">
      <w:pPr>
        <w:rPr>
          <w:b/>
          <w:sz w:val="22"/>
          <w:szCs w:val="22"/>
        </w:rPr>
      </w:pPr>
    </w:p>
    <w:p w:rsidR="008678C3" w:rsidRPr="00A52683" w:rsidRDefault="00245238" w:rsidP="00065839">
      <w:pPr>
        <w:spacing w:before="60" w:after="60"/>
        <w:rPr>
          <w:b/>
          <w:sz w:val="22"/>
          <w:szCs w:val="22"/>
        </w:rPr>
      </w:pPr>
      <w:r w:rsidRPr="00A52683">
        <w:rPr>
          <w:b/>
          <w:sz w:val="22"/>
          <w:szCs w:val="22"/>
        </w:rPr>
        <w:t>Table 2</w:t>
      </w:r>
      <w:r w:rsidR="00A566D8" w:rsidRPr="00A52683">
        <w:rPr>
          <w:b/>
          <w:sz w:val="22"/>
          <w:szCs w:val="22"/>
        </w:rPr>
        <w:t>6</w:t>
      </w:r>
      <w:r w:rsidR="008678C3" w:rsidRPr="00A52683">
        <w:rPr>
          <w:b/>
          <w:sz w:val="22"/>
          <w:szCs w:val="22"/>
        </w:rPr>
        <w:t xml:space="preserve">: Comparing </w:t>
      </w:r>
      <w:r w:rsidR="00F63AED" w:rsidRPr="00A52683">
        <w:rPr>
          <w:b/>
          <w:i/>
          <w:sz w:val="22"/>
          <w:szCs w:val="22"/>
        </w:rPr>
        <w:t>ALK</w:t>
      </w:r>
      <w:r w:rsidR="00F63AED" w:rsidRPr="00A52683">
        <w:rPr>
          <w:b/>
          <w:sz w:val="22"/>
          <w:szCs w:val="22"/>
        </w:rPr>
        <w:t xml:space="preserve"> </w:t>
      </w:r>
      <w:r w:rsidR="008678C3" w:rsidRPr="00A52683">
        <w:rPr>
          <w:b/>
          <w:sz w:val="22"/>
          <w:szCs w:val="22"/>
        </w:rPr>
        <w:t>RT-PCR</w:t>
      </w:r>
      <w:r w:rsidR="00BB773A" w:rsidRPr="00A52683">
        <w:rPr>
          <w:b/>
          <w:sz w:val="22"/>
          <w:szCs w:val="22"/>
        </w:rPr>
        <w:t xml:space="preserve"> with other methods</w:t>
      </w:r>
    </w:p>
    <w:tbl>
      <w:tblPr>
        <w:tblW w:w="10723" w:type="dxa"/>
        <w:tblLook w:val="04A0"/>
      </w:tblPr>
      <w:tblGrid>
        <w:gridCol w:w="91"/>
        <w:gridCol w:w="2987"/>
        <w:gridCol w:w="91"/>
        <w:gridCol w:w="454"/>
        <w:gridCol w:w="236"/>
        <w:gridCol w:w="210"/>
        <w:gridCol w:w="26"/>
        <w:gridCol w:w="906"/>
        <w:gridCol w:w="508"/>
        <w:gridCol w:w="1103"/>
        <w:gridCol w:w="91"/>
        <w:gridCol w:w="246"/>
        <w:gridCol w:w="1094"/>
        <w:gridCol w:w="256"/>
        <w:gridCol w:w="993"/>
        <w:gridCol w:w="91"/>
        <w:gridCol w:w="266"/>
        <w:gridCol w:w="983"/>
        <w:gridCol w:w="91"/>
      </w:tblGrid>
      <w:tr w:rsidR="00065839" w:rsidRPr="00A21238" w:rsidTr="00A26FF8">
        <w:trPr>
          <w:gridBefore w:val="1"/>
          <w:gridAfter w:val="2"/>
          <w:wBefore w:w="91" w:type="dxa"/>
          <w:wAfter w:w="1074" w:type="dxa"/>
          <w:trHeight w:val="270"/>
        </w:trPr>
        <w:tc>
          <w:tcPr>
            <w:tcW w:w="3532" w:type="dxa"/>
            <w:gridSpan w:val="3"/>
            <w:tcBorders>
              <w:top w:val="nil"/>
              <w:left w:val="nil"/>
              <w:bottom w:val="nil"/>
              <w:right w:val="nil"/>
            </w:tcBorders>
            <w:shd w:val="clear" w:color="auto" w:fill="auto"/>
            <w:noWrap/>
            <w:vAlign w:val="bottom"/>
            <w:hideMark/>
          </w:tcPr>
          <w:p w:rsidR="00065839" w:rsidRPr="00A21238" w:rsidRDefault="00065839" w:rsidP="00065839">
            <w:pPr>
              <w:rPr>
                <w:rFonts w:ascii="Century Gothic" w:hAnsi="Century Gothic"/>
                <w:sz w:val="20"/>
                <w:szCs w:val="20"/>
              </w:rPr>
            </w:pPr>
          </w:p>
        </w:tc>
        <w:tc>
          <w:tcPr>
            <w:tcW w:w="236" w:type="dxa"/>
            <w:tcBorders>
              <w:top w:val="nil"/>
              <w:left w:val="nil"/>
              <w:bottom w:val="nil"/>
              <w:right w:val="nil"/>
            </w:tcBorders>
            <w:shd w:val="clear" w:color="auto" w:fill="auto"/>
            <w:noWrap/>
            <w:vAlign w:val="bottom"/>
            <w:hideMark/>
          </w:tcPr>
          <w:p w:rsidR="00065839" w:rsidRPr="00A21238" w:rsidRDefault="00065839" w:rsidP="00065839">
            <w:pPr>
              <w:rPr>
                <w:rFonts w:ascii="Century Gothic" w:hAnsi="Century Gothic"/>
                <w:sz w:val="20"/>
                <w:szCs w:val="20"/>
              </w:rPr>
            </w:pPr>
          </w:p>
        </w:tc>
        <w:tc>
          <w:tcPr>
            <w:tcW w:w="236" w:type="dxa"/>
            <w:gridSpan w:val="2"/>
            <w:tcBorders>
              <w:top w:val="nil"/>
              <w:left w:val="nil"/>
              <w:bottom w:val="nil"/>
              <w:right w:val="nil"/>
            </w:tcBorders>
            <w:shd w:val="clear" w:color="auto" w:fill="auto"/>
            <w:noWrap/>
            <w:vAlign w:val="bottom"/>
            <w:hideMark/>
          </w:tcPr>
          <w:p w:rsidR="00065839" w:rsidRPr="00A21238" w:rsidRDefault="00065839" w:rsidP="00065839">
            <w:pPr>
              <w:rPr>
                <w:rFonts w:ascii="Century Gothic" w:hAnsi="Century Gothic"/>
                <w:sz w:val="20"/>
                <w:szCs w:val="20"/>
              </w:rPr>
            </w:pPr>
          </w:p>
        </w:tc>
        <w:tc>
          <w:tcPr>
            <w:tcW w:w="28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Theme="minorHAnsi" w:hAnsiTheme="minorHAnsi" w:cstheme="minorHAnsi"/>
                <w:b/>
                <w:bCs/>
                <w:sz w:val="20"/>
                <w:szCs w:val="20"/>
              </w:rPr>
            </w:pPr>
            <w:r w:rsidRPr="00A21238">
              <w:rPr>
                <w:rFonts w:asciiTheme="minorHAnsi" w:hAnsiTheme="minorHAnsi" w:cstheme="minorHAnsi"/>
                <w:b/>
                <w:bCs/>
                <w:sz w:val="20"/>
                <w:szCs w:val="20"/>
              </w:rPr>
              <w:t>Concordance</w:t>
            </w:r>
          </w:p>
        </w:tc>
        <w:tc>
          <w:tcPr>
            <w:tcW w:w="2700" w:type="dxa"/>
            <w:gridSpan w:val="5"/>
            <w:tcBorders>
              <w:top w:val="single" w:sz="4" w:space="0" w:color="auto"/>
              <w:left w:val="nil"/>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Theme="minorHAnsi" w:hAnsiTheme="minorHAnsi" w:cstheme="minorHAnsi"/>
                <w:b/>
                <w:bCs/>
                <w:sz w:val="20"/>
                <w:szCs w:val="20"/>
              </w:rPr>
            </w:pPr>
            <w:r w:rsidRPr="00A21238">
              <w:rPr>
                <w:rFonts w:asciiTheme="minorHAnsi" w:hAnsiTheme="minorHAnsi" w:cstheme="minorHAnsi"/>
                <w:b/>
                <w:bCs/>
                <w:sz w:val="20"/>
                <w:szCs w:val="20"/>
              </w:rPr>
              <w:t>Discordance</w:t>
            </w:r>
          </w:p>
        </w:tc>
      </w:tr>
      <w:tr w:rsidR="00065839" w:rsidRPr="00A21238" w:rsidTr="00A26FF8">
        <w:trPr>
          <w:gridBefore w:val="1"/>
          <w:gridAfter w:val="2"/>
          <w:wBefore w:w="91" w:type="dxa"/>
          <w:wAfter w:w="1074" w:type="dxa"/>
          <w:trHeight w:val="270"/>
        </w:trPr>
        <w:tc>
          <w:tcPr>
            <w:tcW w:w="298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65839" w:rsidRPr="00A21238" w:rsidRDefault="00065839" w:rsidP="00065839">
            <w:pPr>
              <w:rPr>
                <w:rFonts w:asciiTheme="minorHAnsi" w:hAnsiTheme="minorHAnsi" w:cstheme="minorHAnsi"/>
                <w:b/>
                <w:bCs/>
                <w:sz w:val="20"/>
                <w:szCs w:val="20"/>
              </w:rPr>
            </w:pPr>
            <w:r w:rsidRPr="00B8122E">
              <w:rPr>
                <w:rFonts w:asciiTheme="minorHAnsi" w:hAnsiTheme="minorHAnsi" w:cstheme="minorHAnsi"/>
                <w:b/>
                <w:bCs/>
                <w:i/>
                <w:sz w:val="20"/>
                <w:szCs w:val="20"/>
              </w:rPr>
              <w:t>ALK</w:t>
            </w:r>
            <w:r w:rsidRPr="00A21238">
              <w:rPr>
                <w:rFonts w:asciiTheme="minorHAnsi" w:hAnsiTheme="minorHAnsi" w:cstheme="minorHAnsi"/>
                <w:b/>
                <w:bCs/>
                <w:sz w:val="20"/>
                <w:szCs w:val="20"/>
              </w:rPr>
              <w:t xml:space="preserve"> RT-PCR vs. Other Methods</w:t>
            </w:r>
          </w:p>
        </w:tc>
        <w:tc>
          <w:tcPr>
            <w:tcW w:w="991"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65839" w:rsidRPr="00A21238" w:rsidRDefault="00065839" w:rsidP="00EB03FC">
            <w:pPr>
              <w:jc w:val="center"/>
              <w:rPr>
                <w:rFonts w:asciiTheme="minorHAnsi" w:hAnsiTheme="minorHAnsi" w:cstheme="minorHAnsi"/>
                <w:b/>
                <w:bCs/>
                <w:sz w:val="20"/>
                <w:szCs w:val="20"/>
              </w:rPr>
            </w:pPr>
            <w:r w:rsidRPr="00A21238">
              <w:rPr>
                <w:rFonts w:asciiTheme="minorHAnsi" w:hAnsiTheme="minorHAnsi" w:cstheme="minorHAnsi"/>
                <w:b/>
                <w:bCs/>
                <w:sz w:val="20"/>
                <w:szCs w:val="20"/>
              </w:rPr>
              <w:t>n(N)</w:t>
            </w:r>
          </w:p>
        </w:tc>
        <w:tc>
          <w:tcPr>
            <w:tcW w:w="1440"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065839" w:rsidRPr="00A21238" w:rsidRDefault="00065839" w:rsidP="00EB03FC">
            <w:pPr>
              <w:jc w:val="center"/>
              <w:rPr>
                <w:rFonts w:asciiTheme="minorHAnsi" w:hAnsiTheme="minorHAnsi" w:cstheme="minorHAnsi"/>
                <w:b/>
                <w:bCs/>
                <w:sz w:val="20"/>
                <w:szCs w:val="20"/>
              </w:rPr>
            </w:pPr>
            <w:r w:rsidRPr="00A21238">
              <w:rPr>
                <w:rFonts w:asciiTheme="minorHAnsi" w:hAnsiTheme="minorHAnsi" w:cstheme="minorHAnsi"/>
                <w:b/>
                <w:bCs/>
                <w:sz w:val="20"/>
                <w:szCs w:val="20"/>
              </w:rPr>
              <w:t>RT-PCR+/ Other+</w:t>
            </w:r>
          </w:p>
        </w:tc>
        <w:tc>
          <w:tcPr>
            <w:tcW w:w="1440"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065839" w:rsidRPr="00A21238" w:rsidRDefault="00065839" w:rsidP="00EB03FC">
            <w:pPr>
              <w:jc w:val="center"/>
              <w:rPr>
                <w:rFonts w:asciiTheme="minorHAnsi" w:hAnsiTheme="minorHAnsi" w:cstheme="minorHAnsi"/>
                <w:b/>
                <w:bCs/>
                <w:sz w:val="20"/>
                <w:szCs w:val="20"/>
              </w:rPr>
            </w:pPr>
            <w:r w:rsidRPr="00A21238">
              <w:rPr>
                <w:rFonts w:asciiTheme="minorHAnsi" w:hAnsiTheme="minorHAnsi" w:cstheme="minorHAnsi"/>
                <w:b/>
                <w:bCs/>
                <w:sz w:val="20"/>
                <w:szCs w:val="20"/>
              </w:rPr>
              <w:t>RT-PCR-/ Other-</w:t>
            </w:r>
          </w:p>
        </w:tc>
        <w:tc>
          <w:tcPr>
            <w:tcW w:w="1350"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065839" w:rsidRPr="00A21238" w:rsidRDefault="00065839" w:rsidP="00EB03FC">
            <w:pPr>
              <w:jc w:val="center"/>
              <w:rPr>
                <w:rFonts w:asciiTheme="minorHAnsi" w:hAnsiTheme="minorHAnsi" w:cstheme="minorHAnsi"/>
                <w:b/>
                <w:bCs/>
                <w:sz w:val="20"/>
                <w:szCs w:val="20"/>
              </w:rPr>
            </w:pPr>
            <w:r w:rsidRPr="00A21238">
              <w:rPr>
                <w:rFonts w:asciiTheme="minorHAnsi" w:hAnsiTheme="minorHAnsi" w:cstheme="minorHAnsi"/>
                <w:b/>
                <w:bCs/>
                <w:sz w:val="20"/>
                <w:szCs w:val="20"/>
              </w:rPr>
              <w:t>RT-PCR-/ Other+</w:t>
            </w:r>
          </w:p>
        </w:tc>
        <w:tc>
          <w:tcPr>
            <w:tcW w:w="1350"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065839" w:rsidRPr="00A21238" w:rsidRDefault="00065839" w:rsidP="00EB03FC">
            <w:pPr>
              <w:jc w:val="center"/>
              <w:rPr>
                <w:rFonts w:asciiTheme="minorHAnsi" w:hAnsiTheme="minorHAnsi" w:cstheme="minorHAnsi"/>
                <w:b/>
                <w:bCs/>
                <w:sz w:val="20"/>
                <w:szCs w:val="20"/>
              </w:rPr>
            </w:pPr>
            <w:r w:rsidRPr="00A21238">
              <w:rPr>
                <w:rFonts w:asciiTheme="minorHAnsi" w:hAnsiTheme="minorHAnsi" w:cstheme="minorHAnsi"/>
                <w:b/>
                <w:bCs/>
                <w:sz w:val="20"/>
                <w:szCs w:val="20"/>
              </w:rPr>
              <w:t>RT-PCR+/Other-</w:t>
            </w:r>
          </w:p>
        </w:tc>
      </w:tr>
      <w:tr w:rsidR="00065839" w:rsidRPr="00A21238" w:rsidTr="00A26FF8">
        <w:trPr>
          <w:gridBefore w:val="1"/>
          <w:gridAfter w:val="2"/>
          <w:wBefore w:w="91" w:type="dxa"/>
          <w:wAfter w:w="1074" w:type="dxa"/>
          <w:trHeight w:val="270"/>
        </w:trPr>
        <w:tc>
          <w:tcPr>
            <w:tcW w:w="2987" w:type="dxa"/>
            <w:vMerge/>
            <w:tcBorders>
              <w:top w:val="single" w:sz="4" w:space="0" w:color="auto"/>
              <w:left w:val="single" w:sz="4" w:space="0" w:color="auto"/>
              <w:bottom w:val="single" w:sz="4" w:space="0" w:color="000000"/>
              <w:right w:val="single" w:sz="4" w:space="0" w:color="000000"/>
            </w:tcBorders>
            <w:vAlign w:val="center"/>
            <w:hideMark/>
          </w:tcPr>
          <w:p w:rsidR="00065839" w:rsidRPr="00A21238" w:rsidRDefault="00065839" w:rsidP="00065839">
            <w:pPr>
              <w:rPr>
                <w:rFonts w:asciiTheme="minorHAnsi" w:hAnsiTheme="minorHAnsi" w:cstheme="minorHAnsi"/>
                <w:b/>
                <w:bCs/>
                <w:sz w:val="20"/>
                <w:szCs w:val="20"/>
              </w:rPr>
            </w:pPr>
          </w:p>
        </w:tc>
        <w:tc>
          <w:tcPr>
            <w:tcW w:w="991" w:type="dxa"/>
            <w:gridSpan w:val="4"/>
            <w:vMerge/>
            <w:tcBorders>
              <w:top w:val="single" w:sz="4" w:space="0" w:color="auto"/>
              <w:left w:val="single" w:sz="4" w:space="0" w:color="auto"/>
              <w:bottom w:val="single" w:sz="4" w:space="0" w:color="000000"/>
              <w:right w:val="single" w:sz="4" w:space="0" w:color="auto"/>
            </w:tcBorders>
            <w:vAlign w:val="bottom"/>
            <w:hideMark/>
          </w:tcPr>
          <w:p w:rsidR="00065839" w:rsidRPr="00A21238" w:rsidRDefault="00065839" w:rsidP="00EB03FC">
            <w:pPr>
              <w:jc w:val="center"/>
              <w:rPr>
                <w:rFonts w:asciiTheme="minorHAnsi" w:hAnsiTheme="minorHAnsi" w:cstheme="minorHAnsi"/>
                <w:b/>
                <w:bCs/>
                <w:sz w:val="20"/>
                <w:szCs w:val="20"/>
              </w:rPr>
            </w:pPr>
          </w:p>
        </w:tc>
        <w:tc>
          <w:tcPr>
            <w:tcW w:w="1440" w:type="dxa"/>
            <w:gridSpan w:val="3"/>
            <w:vMerge/>
            <w:tcBorders>
              <w:top w:val="nil"/>
              <w:left w:val="single" w:sz="4" w:space="0" w:color="auto"/>
              <w:bottom w:val="single" w:sz="4" w:space="0" w:color="000000"/>
              <w:right w:val="single" w:sz="4" w:space="0" w:color="auto"/>
            </w:tcBorders>
            <w:vAlign w:val="bottom"/>
            <w:hideMark/>
          </w:tcPr>
          <w:p w:rsidR="00065839" w:rsidRPr="00A21238" w:rsidRDefault="00065839" w:rsidP="00EB03FC">
            <w:pPr>
              <w:jc w:val="center"/>
              <w:rPr>
                <w:rFonts w:asciiTheme="minorHAnsi" w:hAnsiTheme="minorHAnsi" w:cstheme="minorHAnsi"/>
                <w:b/>
                <w:bCs/>
                <w:sz w:val="20"/>
                <w:szCs w:val="20"/>
              </w:rPr>
            </w:pPr>
          </w:p>
        </w:tc>
        <w:tc>
          <w:tcPr>
            <w:tcW w:w="1440" w:type="dxa"/>
            <w:gridSpan w:val="3"/>
            <w:vMerge/>
            <w:tcBorders>
              <w:top w:val="nil"/>
              <w:left w:val="single" w:sz="4" w:space="0" w:color="auto"/>
              <w:bottom w:val="single" w:sz="4" w:space="0" w:color="000000"/>
              <w:right w:val="single" w:sz="4" w:space="0" w:color="auto"/>
            </w:tcBorders>
            <w:vAlign w:val="bottom"/>
            <w:hideMark/>
          </w:tcPr>
          <w:p w:rsidR="00065839" w:rsidRPr="00A21238" w:rsidRDefault="00065839" w:rsidP="00EB03FC">
            <w:pPr>
              <w:jc w:val="center"/>
              <w:rPr>
                <w:rFonts w:asciiTheme="minorHAnsi" w:hAnsiTheme="minorHAnsi" w:cstheme="minorHAnsi"/>
                <w:b/>
                <w:bCs/>
                <w:sz w:val="20"/>
                <w:szCs w:val="20"/>
              </w:rPr>
            </w:pPr>
          </w:p>
        </w:tc>
        <w:tc>
          <w:tcPr>
            <w:tcW w:w="1350" w:type="dxa"/>
            <w:gridSpan w:val="2"/>
            <w:vMerge/>
            <w:tcBorders>
              <w:top w:val="nil"/>
              <w:left w:val="single" w:sz="4" w:space="0" w:color="auto"/>
              <w:bottom w:val="single" w:sz="4" w:space="0" w:color="auto"/>
              <w:right w:val="single" w:sz="4" w:space="0" w:color="auto"/>
            </w:tcBorders>
            <w:vAlign w:val="bottom"/>
            <w:hideMark/>
          </w:tcPr>
          <w:p w:rsidR="00065839" w:rsidRPr="00A21238" w:rsidRDefault="00065839" w:rsidP="00EB03FC">
            <w:pPr>
              <w:jc w:val="center"/>
              <w:rPr>
                <w:rFonts w:asciiTheme="minorHAnsi" w:hAnsiTheme="minorHAnsi" w:cstheme="minorHAnsi"/>
                <w:b/>
                <w:bCs/>
                <w:sz w:val="20"/>
                <w:szCs w:val="20"/>
              </w:rPr>
            </w:pPr>
          </w:p>
        </w:tc>
        <w:tc>
          <w:tcPr>
            <w:tcW w:w="1350" w:type="dxa"/>
            <w:gridSpan w:val="3"/>
            <w:vMerge/>
            <w:tcBorders>
              <w:top w:val="nil"/>
              <w:left w:val="single" w:sz="4" w:space="0" w:color="auto"/>
              <w:bottom w:val="single" w:sz="4" w:space="0" w:color="auto"/>
              <w:right w:val="single" w:sz="4" w:space="0" w:color="auto"/>
            </w:tcBorders>
            <w:vAlign w:val="bottom"/>
            <w:hideMark/>
          </w:tcPr>
          <w:p w:rsidR="00065839" w:rsidRPr="00A21238" w:rsidRDefault="00065839" w:rsidP="00EB03FC">
            <w:pPr>
              <w:jc w:val="center"/>
              <w:rPr>
                <w:rFonts w:asciiTheme="minorHAnsi" w:hAnsiTheme="minorHAnsi" w:cstheme="minorHAnsi"/>
                <w:b/>
                <w:bCs/>
                <w:sz w:val="20"/>
                <w:szCs w:val="20"/>
              </w:rPr>
            </w:pPr>
          </w:p>
        </w:tc>
      </w:tr>
      <w:tr w:rsidR="00065839" w:rsidRPr="00A21238" w:rsidTr="00A26FF8">
        <w:trPr>
          <w:gridBefore w:val="1"/>
          <w:gridAfter w:val="2"/>
          <w:wBefore w:w="91" w:type="dxa"/>
          <w:wAfter w:w="1074" w:type="dxa"/>
          <w:trHeight w:val="270"/>
        </w:trPr>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39" w:rsidRPr="00A21238" w:rsidRDefault="00065839" w:rsidP="0002496E">
            <w:pPr>
              <w:rPr>
                <w:rFonts w:asciiTheme="minorHAnsi" w:hAnsiTheme="minorHAnsi" w:cstheme="minorHAnsi"/>
                <w:sz w:val="20"/>
                <w:szCs w:val="20"/>
              </w:rPr>
            </w:pPr>
            <w:r w:rsidRPr="00A21238">
              <w:rPr>
                <w:rFonts w:asciiTheme="minorHAnsi" w:hAnsiTheme="minorHAnsi" w:cstheme="minorHAnsi"/>
                <w:sz w:val="20"/>
                <w:szCs w:val="20"/>
              </w:rPr>
              <w:t>IHC - CD246</w:t>
            </w:r>
            <w:r w:rsidR="0002496E" w:rsidRPr="0002496E">
              <w:rPr>
                <w:rFonts w:asciiTheme="minorHAnsi" w:hAnsiTheme="minorHAnsi" w:cstheme="minorHAnsi"/>
                <w:noProof/>
                <w:sz w:val="20"/>
                <w:szCs w:val="20"/>
                <w:vertAlign w:val="superscript"/>
              </w:rPr>
              <w:t>134</w:t>
            </w:r>
            <w:r w:rsidRPr="00A21238">
              <w:rPr>
                <w:rFonts w:asciiTheme="minorHAnsi" w:hAnsiTheme="minorHAnsi" w:cstheme="minorHAnsi"/>
                <w:sz w:val="20"/>
                <w:szCs w:val="20"/>
              </w:rPr>
              <w:t xml:space="preserve"> </w:t>
            </w:r>
          </w:p>
        </w:tc>
        <w:tc>
          <w:tcPr>
            <w:tcW w:w="991" w:type="dxa"/>
            <w:gridSpan w:val="4"/>
            <w:tcBorders>
              <w:top w:val="nil"/>
              <w:left w:val="nil"/>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Theme="minorHAnsi" w:hAnsiTheme="minorHAnsi" w:cstheme="minorHAnsi"/>
                <w:sz w:val="20"/>
                <w:szCs w:val="20"/>
              </w:rPr>
            </w:pPr>
            <w:r w:rsidRPr="00A21238">
              <w:rPr>
                <w:rFonts w:asciiTheme="minorHAnsi" w:hAnsiTheme="minorHAnsi" w:cstheme="minorHAnsi"/>
                <w:sz w:val="20"/>
                <w:szCs w:val="20"/>
              </w:rPr>
              <w:t>1(5)</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Theme="minorHAnsi" w:hAnsiTheme="minorHAnsi" w:cstheme="minorHAnsi"/>
                <w:sz w:val="20"/>
                <w:szCs w:val="20"/>
              </w:rPr>
            </w:pPr>
            <w:r w:rsidRPr="00A21238">
              <w:rPr>
                <w:rFonts w:asciiTheme="minorHAnsi" w:hAnsiTheme="minorHAnsi" w:cstheme="minorHAnsi"/>
                <w:sz w:val="20"/>
                <w:szCs w:val="20"/>
              </w:rPr>
              <w:t>5</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Theme="minorHAnsi" w:hAnsiTheme="minorHAnsi" w:cstheme="minorHAnsi"/>
                <w:sz w:val="20"/>
                <w:szCs w:val="20"/>
              </w:rPr>
            </w:pPr>
            <w:r w:rsidRPr="00A21238">
              <w:rPr>
                <w:rFonts w:asciiTheme="minorHAnsi" w:hAnsiTheme="minorHAnsi" w:cstheme="minorHAnsi"/>
                <w:sz w:val="20"/>
                <w:szCs w:val="20"/>
              </w:rPr>
              <w:t>0</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Theme="minorHAnsi" w:hAnsiTheme="minorHAnsi" w:cstheme="minorHAnsi"/>
                <w:sz w:val="20"/>
                <w:szCs w:val="20"/>
              </w:rPr>
            </w:pPr>
            <w:r w:rsidRPr="00A21238">
              <w:rPr>
                <w:rFonts w:asciiTheme="minorHAnsi" w:hAnsiTheme="minorHAnsi" w:cstheme="minorHAnsi"/>
                <w:sz w:val="20"/>
                <w:szCs w:val="20"/>
              </w:rPr>
              <w:t>0</w:t>
            </w:r>
          </w:p>
        </w:tc>
        <w:tc>
          <w:tcPr>
            <w:tcW w:w="1350" w:type="dxa"/>
            <w:gridSpan w:val="3"/>
            <w:tcBorders>
              <w:top w:val="nil"/>
              <w:left w:val="nil"/>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Theme="minorHAnsi" w:hAnsiTheme="minorHAnsi" w:cstheme="minorHAnsi"/>
                <w:sz w:val="20"/>
                <w:szCs w:val="20"/>
              </w:rPr>
            </w:pPr>
            <w:r w:rsidRPr="00A21238">
              <w:rPr>
                <w:rFonts w:asciiTheme="minorHAnsi" w:hAnsiTheme="minorHAnsi" w:cstheme="minorHAnsi"/>
                <w:sz w:val="20"/>
                <w:szCs w:val="20"/>
              </w:rPr>
              <w:t>0</w:t>
            </w:r>
          </w:p>
        </w:tc>
      </w:tr>
      <w:tr w:rsidR="00065839" w:rsidRPr="00A21238" w:rsidTr="00A26FF8">
        <w:trPr>
          <w:gridBefore w:val="1"/>
          <w:gridAfter w:val="2"/>
          <w:wBefore w:w="91" w:type="dxa"/>
          <w:wAfter w:w="1074" w:type="dxa"/>
          <w:trHeight w:val="270"/>
        </w:trPr>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39" w:rsidRPr="00A21238" w:rsidRDefault="00065839" w:rsidP="0002496E">
            <w:pPr>
              <w:rPr>
                <w:rFonts w:asciiTheme="minorHAnsi" w:hAnsiTheme="minorHAnsi" w:cstheme="minorHAnsi"/>
                <w:sz w:val="20"/>
                <w:szCs w:val="20"/>
              </w:rPr>
            </w:pPr>
            <w:r w:rsidRPr="00A21238">
              <w:rPr>
                <w:rFonts w:asciiTheme="minorHAnsi" w:hAnsiTheme="minorHAnsi" w:cstheme="minorHAnsi"/>
                <w:sz w:val="20"/>
                <w:szCs w:val="20"/>
              </w:rPr>
              <w:t>IHC - D5F3</w:t>
            </w:r>
            <w:r w:rsidR="0002496E" w:rsidRPr="0002496E">
              <w:rPr>
                <w:rFonts w:asciiTheme="minorHAnsi" w:hAnsiTheme="minorHAnsi" w:cstheme="minorHAnsi"/>
                <w:noProof/>
                <w:sz w:val="20"/>
                <w:szCs w:val="20"/>
                <w:vertAlign w:val="superscript"/>
              </w:rPr>
              <w:t>132</w:t>
            </w:r>
          </w:p>
        </w:tc>
        <w:tc>
          <w:tcPr>
            <w:tcW w:w="991" w:type="dxa"/>
            <w:gridSpan w:val="4"/>
            <w:tcBorders>
              <w:top w:val="nil"/>
              <w:left w:val="nil"/>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Theme="minorHAnsi" w:hAnsiTheme="minorHAnsi" w:cstheme="minorHAnsi"/>
                <w:sz w:val="20"/>
                <w:szCs w:val="20"/>
              </w:rPr>
            </w:pPr>
            <w:r w:rsidRPr="00A21238">
              <w:rPr>
                <w:rFonts w:asciiTheme="minorHAnsi" w:hAnsiTheme="minorHAnsi" w:cstheme="minorHAnsi"/>
                <w:sz w:val="20"/>
                <w:szCs w:val="20"/>
              </w:rPr>
              <w:t>1(10)</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Theme="minorHAnsi" w:hAnsiTheme="minorHAnsi" w:cstheme="minorHAnsi"/>
                <w:sz w:val="20"/>
                <w:szCs w:val="20"/>
              </w:rPr>
            </w:pPr>
            <w:r w:rsidRPr="00A21238">
              <w:rPr>
                <w:rFonts w:asciiTheme="minorHAnsi" w:hAnsiTheme="minorHAnsi" w:cstheme="minorHAnsi"/>
                <w:sz w:val="20"/>
                <w:szCs w:val="20"/>
              </w:rPr>
              <w:t>9</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Theme="minorHAnsi" w:hAnsiTheme="minorHAnsi" w:cstheme="minorHAnsi"/>
                <w:sz w:val="20"/>
                <w:szCs w:val="20"/>
              </w:rPr>
            </w:pPr>
            <w:r w:rsidRPr="00A21238">
              <w:rPr>
                <w:rFonts w:asciiTheme="minorHAnsi" w:hAnsiTheme="minorHAnsi" w:cstheme="minorHAnsi"/>
                <w:sz w:val="20"/>
                <w:szCs w:val="20"/>
              </w:rPr>
              <w:t>0</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Theme="minorHAnsi" w:hAnsiTheme="minorHAnsi" w:cstheme="minorHAnsi"/>
                <w:sz w:val="20"/>
                <w:szCs w:val="20"/>
              </w:rPr>
            </w:pPr>
            <w:r w:rsidRPr="00A21238">
              <w:rPr>
                <w:rFonts w:asciiTheme="minorHAnsi" w:hAnsiTheme="minorHAnsi" w:cstheme="minorHAnsi"/>
                <w:sz w:val="20"/>
                <w:szCs w:val="20"/>
              </w:rPr>
              <w:t>1</w:t>
            </w:r>
          </w:p>
        </w:tc>
        <w:tc>
          <w:tcPr>
            <w:tcW w:w="1350" w:type="dxa"/>
            <w:gridSpan w:val="3"/>
            <w:tcBorders>
              <w:top w:val="nil"/>
              <w:left w:val="nil"/>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Theme="minorHAnsi" w:hAnsiTheme="minorHAnsi" w:cstheme="minorHAnsi"/>
                <w:sz w:val="20"/>
                <w:szCs w:val="20"/>
              </w:rPr>
            </w:pPr>
            <w:r w:rsidRPr="00A21238">
              <w:rPr>
                <w:rFonts w:asciiTheme="minorHAnsi" w:hAnsiTheme="minorHAnsi" w:cstheme="minorHAnsi"/>
                <w:sz w:val="20"/>
                <w:szCs w:val="20"/>
              </w:rPr>
              <w:t>0</w:t>
            </w:r>
          </w:p>
        </w:tc>
      </w:tr>
      <w:tr w:rsidR="00065839" w:rsidRPr="00A21238" w:rsidTr="00A26FF8">
        <w:trPr>
          <w:gridBefore w:val="1"/>
          <w:gridAfter w:val="2"/>
          <w:wBefore w:w="91" w:type="dxa"/>
          <w:wAfter w:w="1074" w:type="dxa"/>
          <w:trHeight w:val="270"/>
        </w:trPr>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839" w:rsidRPr="00A21238" w:rsidRDefault="00065839" w:rsidP="0002496E">
            <w:pPr>
              <w:rPr>
                <w:rFonts w:asciiTheme="minorHAnsi" w:hAnsiTheme="minorHAnsi" w:cstheme="minorHAnsi"/>
                <w:sz w:val="20"/>
                <w:szCs w:val="20"/>
              </w:rPr>
            </w:pPr>
            <w:r w:rsidRPr="00A21238">
              <w:rPr>
                <w:rFonts w:asciiTheme="minorHAnsi" w:hAnsiTheme="minorHAnsi" w:cstheme="minorHAnsi"/>
                <w:sz w:val="20"/>
                <w:szCs w:val="20"/>
              </w:rPr>
              <w:t>FISH</w:t>
            </w:r>
            <w:r w:rsidR="0002496E" w:rsidRPr="0002496E">
              <w:rPr>
                <w:rFonts w:asciiTheme="minorHAnsi" w:hAnsiTheme="minorHAnsi" w:cstheme="minorHAnsi"/>
                <w:noProof/>
                <w:sz w:val="20"/>
                <w:szCs w:val="20"/>
                <w:vertAlign w:val="superscript"/>
              </w:rPr>
              <w:t>58, 60, 132, 135</w:t>
            </w:r>
          </w:p>
        </w:tc>
        <w:tc>
          <w:tcPr>
            <w:tcW w:w="991" w:type="dxa"/>
            <w:gridSpan w:val="4"/>
            <w:tcBorders>
              <w:top w:val="nil"/>
              <w:left w:val="nil"/>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Theme="minorHAnsi" w:hAnsiTheme="minorHAnsi" w:cstheme="minorHAnsi"/>
                <w:sz w:val="20"/>
                <w:szCs w:val="20"/>
              </w:rPr>
            </w:pPr>
            <w:r w:rsidRPr="00A21238">
              <w:rPr>
                <w:rFonts w:asciiTheme="minorHAnsi" w:hAnsiTheme="minorHAnsi" w:cstheme="minorHAnsi"/>
                <w:sz w:val="20"/>
                <w:szCs w:val="20"/>
              </w:rPr>
              <w:t>4(66)</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Theme="minorHAnsi" w:hAnsiTheme="minorHAnsi" w:cstheme="minorHAnsi"/>
                <w:sz w:val="20"/>
                <w:szCs w:val="20"/>
              </w:rPr>
            </w:pPr>
            <w:r w:rsidRPr="00A21238">
              <w:rPr>
                <w:rFonts w:asciiTheme="minorHAnsi" w:hAnsiTheme="minorHAnsi" w:cstheme="minorHAnsi"/>
                <w:sz w:val="20"/>
                <w:szCs w:val="20"/>
              </w:rPr>
              <w:t>34</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Theme="minorHAnsi" w:hAnsiTheme="minorHAnsi" w:cstheme="minorHAnsi"/>
                <w:sz w:val="20"/>
                <w:szCs w:val="20"/>
              </w:rPr>
            </w:pPr>
            <w:r w:rsidRPr="00A21238">
              <w:rPr>
                <w:rFonts w:asciiTheme="minorHAnsi" w:hAnsiTheme="minorHAnsi" w:cstheme="minorHAnsi"/>
                <w:sz w:val="20"/>
                <w:szCs w:val="20"/>
              </w:rPr>
              <w:t>19</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Theme="minorHAnsi" w:hAnsiTheme="minorHAnsi" w:cstheme="minorHAnsi"/>
                <w:sz w:val="20"/>
                <w:szCs w:val="20"/>
              </w:rPr>
            </w:pPr>
            <w:r w:rsidRPr="00A21238">
              <w:rPr>
                <w:rFonts w:asciiTheme="minorHAnsi" w:hAnsiTheme="minorHAnsi" w:cstheme="minorHAnsi"/>
                <w:sz w:val="20"/>
                <w:szCs w:val="20"/>
              </w:rPr>
              <w:t>12</w:t>
            </w:r>
          </w:p>
        </w:tc>
        <w:tc>
          <w:tcPr>
            <w:tcW w:w="1350" w:type="dxa"/>
            <w:gridSpan w:val="3"/>
            <w:tcBorders>
              <w:top w:val="nil"/>
              <w:left w:val="nil"/>
              <w:bottom w:val="single" w:sz="4" w:space="0" w:color="auto"/>
              <w:right w:val="single" w:sz="4" w:space="0" w:color="auto"/>
            </w:tcBorders>
            <w:shd w:val="clear" w:color="auto" w:fill="auto"/>
            <w:noWrap/>
            <w:vAlign w:val="bottom"/>
            <w:hideMark/>
          </w:tcPr>
          <w:p w:rsidR="00065839" w:rsidRPr="00A21238" w:rsidRDefault="00065839" w:rsidP="00EB03FC">
            <w:pPr>
              <w:jc w:val="center"/>
              <w:rPr>
                <w:rFonts w:asciiTheme="minorHAnsi" w:hAnsiTheme="minorHAnsi" w:cstheme="minorHAnsi"/>
                <w:sz w:val="20"/>
                <w:szCs w:val="20"/>
              </w:rPr>
            </w:pPr>
            <w:r w:rsidRPr="00A21238">
              <w:rPr>
                <w:rFonts w:asciiTheme="minorHAnsi" w:hAnsiTheme="minorHAnsi" w:cstheme="minorHAnsi"/>
                <w:sz w:val="20"/>
                <w:szCs w:val="20"/>
              </w:rPr>
              <w:t>1</w:t>
            </w:r>
          </w:p>
        </w:tc>
      </w:tr>
      <w:tr w:rsidR="00065839" w:rsidRPr="00A21238" w:rsidTr="00A26FF8">
        <w:trPr>
          <w:gridAfter w:val="1"/>
          <w:wAfter w:w="91" w:type="dxa"/>
          <w:trHeight w:val="270"/>
        </w:trPr>
        <w:tc>
          <w:tcPr>
            <w:tcW w:w="3078" w:type="dxa"/>
            <w:gridSpan w:val="2"/>
            <w:tcBorders>
              <w:top w:val="nil"/>
              <w:left w:val="nil"/>
              <w:bottom w:val="nil"/>
              <w:right w:val="nil"/>
            </w:tcBorders>
            <w:shd w:val="clear" w:color="auto" w:fill="auto"/>
            <w:noWrap/>
            <w:vAlign w:val="bottom"/>
            <w:hideMark/>
          </w:tcPr>
          <w:p w:rsidR="00065839" w:rsidRPr="00A52683" w:rsidRDefault="00437895" w:rsidP="00A26FF8">
            <w:pPr>
              <w:ind w:right="72"/>
              <w:rPr>
                <w:rFonts w:asciiTheme="minorHAnsi" w:hAnsiTheme="minorHAnsi" w:cstheme="minorHAnsi"/>
                <w:sz w:val="18"/>
                <w:szCs w:val="18"/>
              </w:rPr>
            </w:pPr>
            <w:r>
              <w:rPr>
                <w:rFonts w:asciiTheme="minorHAnsi" w:hAnsiTheme="minorHAnsi" w:cstheme="minorHAnsi"/>
                <w:sz w:val="18"/>
                <w:szCs w:val="18"/>
              </w:rPr>
              <w:t xml:space="preserve">Abbreviations: </w:t>
            </w:r>
            <w:r w:rsidR="00470CE4">
              <w:rPr>
                <w:rFonts w:asciiTheme="minorHAnsi" w:hAnsiTheme="minorHAnsi" w:cstheme="minorHAnsi"/>
                <w:sz w:val="18"/>
                <w:szCs w:val="18"/>
              </w:rPr>
              <w:t xml:space="preserve">n, </w:t>
            </w:r>
            <w:r w:rsidR="00470CE4" w:rsidRPr="00A52683">
              <w:rPr>
                <w:rFonts w:asciiTheme="minorHAnsi" w:hAnsiTheme="minorHAnsi" w:cstheme="minorHAnsi"/>
                <w:sz w:val="18"/>
                <w:szCs w:val="18"/>
              </w:rPr>
              <w:t>number of studies</w:t>
            </w:r>
            <w:r w:rsidR="00470CE4">
              <w:rPr>
                <w:rFonts w:asciiTheme="minorHAnsi" w:hAnsiTheme="minorHAnsi" w:cstheme="minorHAnsi"/>
                <w:sz w:val="18"/>
                <w:szCs w:val="18"/>
              </w:rPr>
              <w:t xml:space="preserve">; </w:t>
            </w:r>
            <w:r w:rsidR="00665CB4">
              <w:rPr>
                <w:rFonts w:asciiTheme="minorHAnsi" w:hAnsiTheme="minorHAnsi" w:cstheme="minorHAnsi"/>
                <w:sz w:val="18"/>
                <w:szCs w:val="18"/>
              </w:rPr>
              <w:t>N, pairs</w:t>
            </w:r>
            <w:r w:rsidR="00A52683">
              <w:rPr>
                <w:rFonts w:asciiTheme="minorHAnsi" w:hAnsiTheme="minorHAnsi" w:cstheme="minorHAnsi"/>
                <w:sz w:val="18"/>
                <w:szCs w:val="18"/>
              </w:rPr>
              <w:t xml:space="preserve"> of specimens tested; </w:t>
            </w:r>
          </w:p>
        </w:tc>
        <w:tc>
          <w:tcPr>
            <w:tcW w:w="1923" w:type="dxa"/>
            <w:gridSpan w:val="6"/>
            <w:tcBorders>
              <w:top w:val="nil"/>
              <w:left w:val="nil"/>
              <w:bottom w:val="nil"/>
              <w:right w:val="nil"/>
            </w:tcBorders>
            <w:shd w:val="clear" w:color="auto" w:fill="auto"/>
            <w:noWrap/>
            <w:vAlign w:val="bottom"/>
            <w:hideMark/>
          </w:tcPr>
          <w:p w:rsidR="00065839" w:rsidRPr="00A21238" w:rsidRDefault="00065839" w:rsidP="00065839">
            <w:pPr>
              <w:jc w:val="center"/>
              <w:rPr>
                <w:rFonts w:asciiTheme="minorHAnsi" w:hAnsiTheme="minorHAnsi" w:cstheme="minorHAnsi"/>
                <w:sz w:val="20"/>
                <w:szCs w:val="20"/>
              </w:rPr>
            </w:pPr>
          </w:p>
        </w:tc>
        <w:tc>
          <w:tcPr>
            <w:tcW w:w="1611" w:type="dxa"/>
            <w:gridSpan w:val="2"/>
            <w:tcBorders>
              <w:top w:val="nil"/>
              <w:left w:val="nil"/>
              <w:bottom w:val="nil"/>
              <w:right w:val="nil"/>
            </w:tcBorders>
            <w:shd w:val="clear" w:color="auto" w:fill="auto"/>
            <w:noWrap/>
            <w:vAlign w:val="bottom"/>
            <w:hideMark/>
          </w:tcPr>
          <w:p w:rsidR="00065839" w:rsidRPr="00A21238" w:rsidRDefault="00065839" w:rsidP="00065839">
            <w:pPr>
              <w:jc w:val="center"/>
              <w:rPr>
                <w:rFonts w:ascii="Century Gothic" w:hAnsi="Century Gothic"/>
                <w:sz w:val="20"/>
                <w:szCs w:val="20"/>
              </w:rPr>
            </w:pPr>
          </w:p>
        </w:tc>
        <w:tc>
          <w:tcPr>
            <w:tcW w:w="1687" w:type="dxa"/>
            <w:gridSpan w:val="4"/>
            <w:tcBorders>
              <w:top w:val="nil"/>
              <w:left w:val="nil"/>
              <w:bottom w:val="nil"/>
              <w:right w:val="nil"/>
            </w:tcBorders>
            <w:shd w:val="clear" w:color="auto" w:fill="auto"/>
            <w:noWrap/>
            <w:vAlign w:val="bottom"/>
            <w:hideMark/>
          </w:tcPr>
          <w:p w:rsidR="00065839" w:rsidRPr="00A21238" w:rsidRDefault="00065839" w:rsidP="00065839">
            <w:pPr>
              <w:rPr>
                <w:rFonts w:ascii="Century Gothic" w:hAnsi="Century Gothic"/>
                <w:sz w:val="20"/>
                <w:szCs w:val="20"/>
              </w:rPr>
            </w:pPr>
          </w:p>
        </w:tc>
        <w:tc>
          <w:tcPr>
            <w:tcW w:w="993" w:type="dxa"/>
            <w:tcBorders>
              <w:top w:val="nil"/>
              <w:left w:val="nil"/>
              <w:bottom w:val="nil"/>
              <w:right w:val="nil"/>
            </w:tcBorders>
            <w:shd w:val="clear" w:color="auto" w:fill="auto"/>
            <w:noWrap/>
            <w:vAlign w:val="bottom"/>
            <w:hideMark/>
          </w:tcPr>
          <w:p w:rsidR="00065839" w:rsidRPr="00A21238" w:rsidRDefault="00065839" w:rsidP="00065839">
            <w:pPr>
              <w:rPr>
                <w:rFonts w:ascii="Century Gothic" w:hAnsi="Century Gothic"/>
                <w:sz w:val="20"/>
                <w:szCs w:val="20"/>
              </w:rPr>
            </w:pPr>
          </w:p>
        </w:tc>
        <w:tc>
          <w:tcPr>
            <w:tcW w:w="1340" w:type="dxa"/>
            <w:gridSpan w:val="3"/>
            <w:tcBorders>
              <w:top w:val="nil"/>
              <w:left w:val="nil"/>
              <w:bottom w:val="nil"/>
              <w:right w:val="nil"/>
            </w:tcBorders>
            <w:shd w:val="clear" w:color="auto" w:fill="auto"/>
            <w:noWrap/>
            <w:vAlign w:val="bottom"/>
            <w:hideMark/>
          </w:tcPr>
          <w:p w:rsidR="00065839" w:rsidRPr="00A21238" w:rsidRDefault="00065839" w:rsidP="00065839">
            <w:pPr>
              <w:jc w:val="center"/>
              <w:rPr>
                <w:rFonts w:ascii="Century Gothic" w:hAnsi="Century Gothic"/>
                <w:sz w:val="20"/>
                <w:szCs w:val="20"/>
              </w:rPr>
            </w:pPr>
          </w:p>
        </w:tc>
      </w:tr>
      <w:tr w:rsidR="00065839" w:rsidRPr="00A21238" w:rsidTr="00A26FF8">
        <w:trPr>
          <w:gridBefore w:val="1"/>
          <w:wBefore w:w="91" w:type="dxa"/>
          <w:trHeight w:val="270"/>
        </w:trPr>
        <w:tc>
          <w:tcPr>
            <w:tcW w:w="3078" w:type="dxa"/>
            <w:gridSpan w:val="2"/>
            <w:tcBorders>
              <w:top w:val="nil"/>
              <w:left w:val="nil"/>
              <w:bottom w:val="nil"/>
              <w:right w:val="nil"/>
            </w:tcBorders>
            <w:shd w:val="clear" w:color="auto" w:fill="auto"/>
            <w:noWrap/>
            <w:vAlign w:val="bottom"/>
            <w:hideMark/>
          </w:tcPr>
          <w:p w:rsidR="00065839" w:rsidRPr="00A21238" w:rsidRDefault="00065839" w:rsidP="00065839">
            <w:pPr>
              <w:rPr>
                <w:rFonts w:ascii="Century Gothic" w:hAnsi="Century Gothic"/>
                <w:sz w:val="20"/>
                <w:szCs w:val="20"/>
              </w:rPr>
            </w:pPr>
          </w:p>
        </w:tc>
        <w:tc>
          <w:tcPr>
            <w:tcW w:w="3534" w:type="dxa"/>
            <w:gridSpan w:val="8"/>
            <w:tcBorders>
              <w:top w:val="nil"/>
              <w:left w:val="nil"/>
              <w:bottom w:val="nil"/>
              <w:right w:val="nil"/>
            </w:tcBorders>
            <w:shd w:val="clear" w:color="auto" w:fill="auto"/>
            <w:noWrap/>
            <w:vAlign w:val="bottom"/>
            <w:hideMark/>
          </w:tcPr>
          <w:p w:rsidR="00065839" w:rsidRPr="00A21238" w:rsidRDefault="00065839" w:rsidP="00065839">
            <w:pPr>
              <w:jc w:val="center"/>
              <w:rPr>
                <w:rFonts w:ascii="Century Gothic" w:hAnsi="Century Gothic"/>
                <w:sz w:val="20"/>
                <w:szCs w:val="20"/>
              </w:rPr>
            </w:pPr>
          </w:p>
        </w:tc>
        <w:tc>
          <w:tcPr>
            <w:tcW w:w="1340" w:type="dxa"/>
            <w:gridSpan w:val="2"/>
            <w:tcBorders>
              <w:top w:val="nil"/>
              <w:left w:val="nil"/>
              <w:bottom w:val="nil"/>
              <w:right w:val="nil"/>
            </w:tcBorders>
            <w:shd w:val="clear" w:color="auto" w:fill="auto"/>
            <w:noWrap/>
            <w:vAlign w:val="bottom"/>
            <w:hideMark/>
          </w:tcPr>
          <w:p w:rsidR="00065839" w:rsidRPr="00A21238" w:rsidRDefault="00065839" w:rsidP="00065839">
            <w:pPr>
              <w:jc w:val="center"/>
              <w:rPr>
                <w:rFonts w:ascii="Century Gothic" w:hAnsi="Century Gothic"/>
                <w:sz w:val="20"/>
                <w:szCs w:val="20"/>
              </w:rPr>
            </w:pPr>
          </w:p>
        </w:tc>
        <w:tc>
          <w:tcPr>
            <w:tcW w:w="1340" w:type="dxa"/>
            <w:gridSpan w:val="3"/>
            <w:tcBorders>
              <w:top w:val="nil"/>
              <w:left w:val="nil"/>
              <w:bottom w:val="nil"/>
              <w:right w:val="nil"/>
            </w:tcBorders>
            <w:shd w:val="clear" w:color="auto" w:fill="auto"/>
            <w:noWrap/>
            <w:vAlign w:val="bottom"/>
            <w:hideMark/>
          </w:tcPr>
          <w:p w:rsidR="00065839" w:rsidRPr="00A21238" w:rsidRDefault="00065839" w:rsidP="00065839">
            <w:pPr>
              <w:jc w:val="center"/>
              <w:rPr>
                <w:rFonts w:ascii="Century Gothic" w:hAnsi="Century Gothic"/>
                <w:sz w:val="20"/>
                <w:szCs w:val="20"/>
              </w:rPr>
            </w:pPr>
          </w:p>
        </w:tc>
        <w:tc>
          <w:tcPr>
            <w:tcW w:w="1340" w:type="dxa"/>
            <w:gridSpan w:val="3"/>
            <w:tcBorders>
              <w:top w:val="nil"/>
              <w:left w:val="nil"/>
              <w:bottom w:val="nil"/>
              <w:right w:val="nil"/>
            </w:tcBorders>
            <w:shd w:val="clear" w:color="auto" w:fill="auto"/>
            <w:noWrap/>
            <w:vAlign w:val="bottom"/>
            <w:hideMark/>
          </w:tcPr>
          <w:p w:rsidR="00065839" w:rsidRPr="00A21238" w:rsidRDefault="00065839" w:rsidP="00065839">
            <w:pPr>
              <w:jc w:val="center"/>
              <w:rPr>
                <w:rFonts w:ascii="Century Gothic" w:hAnsi="Century Gothic"/>
                <w:sz w:val="20"/>
                <w:szCs w:val="20"/>
              </w:rPr>
            </w:pPr>
          </w:p>
        </w:tc>
      </w:tr>
      <w:tr w:rsidR="00065839" w:rsidRPr="00A21238" w:rsidTr="00A26FF8">
        <w:trPr>
          <w:gridBefore w:val="1"/>
          <w:wBefore w:w="91" w:type="dxa"/>
          <w:trHeight w:val="270"/>
        </w:trPr>
        <w:tc>
          <w:tcPr>
            <w:tcW w:w="3532" w:type="dxa"/>
            <w:gridSpan w:val="3"/>
            <w:tcBorders>
              <w:top w:val="nil"/>
              <w:left w:val="nil"/>
              <w:bottom w:val="nil"/>
              <w:right w:val="nil"/>
            </w:tcBorders>
            <w:shd w:val="clear" w:color="auto" w:fill="auto"/>
            <w:noWrap/>
            <w:vAlign w:val="bottom"/>
            <w:hideMark/>
          </w:tcPr>
          <w:p w:rsidR="00065839" w:rsidRPr="00A21238" w:rsidRDefault="00065839" w:rsidP="00065839">
            <w:pPr>
              <w:rPr>
                <w:rFonts w:ascii="Century Gothic" w:hAnsi="Century Gothic"/>
                <w:sz w:val="20"/>
                <w:szCs w:val="20"/>
              </w:rPr>
            </w:pPr>
          </w:p>
        </w:tc>
        <w:tc>
          <w:tcPr>
            <w:tcW w:w="3080" w:type="dxa"/>
            <w:gridSpan w:val="7"/>
            <w:tcBorders>
              <w:top w:val="nil"/>
              <w:left w:val="nil"/>
              <w:bottom w:val="nil"/>
              <w:right w:val="nil"/>
            </w:tcBorders>
            <w:shd w:val="clear" w:color="auto" w:fill="auto"/>
            <w:noWrap/>
            <w:vAlign w:val="bottom"/>
            <w:hideMark/>
          </w:tcPr>
          <w:p w:rsidR="00065839" w:rsidRPr="00A21238" w:rsidRDefault="00065839" w:rsidP="00065839">
            <w:pPr>
              <w:rPr>
                <w:rFonts w:ascii="Century Gothic" w:hAnsi="Century Gothic"/>
                <w:sz w:val="20"/>
                <w:szCs w:val="20"/>
              </w:rPr>
            </w:pPr>
          </w:p>
        </w:tc>
        <w:tc>
          <w:tcPr>
            <w:tcW w:w="1340" w:type="dxa"/>
            <w:gridSpan w:val="2"/>
            <w:tcBorders>
              <w:top w:val="nil"/>
              <w:left w:val="nil"/>
              <w:bottom w:val="nil"/>
              <w:right w:val="nil"/>
            </w:tcBorders>
            <w:shd w:val="clear" w:color="auto" w:fill="auto"/>
            <w:noWrap/>
            <w:vAlign w:val="bottom"/>
            <w:hideMark/>
          </w:tcPr>
          <w:p w:rsidR="00065839" w:rsidRPr="00A21238" w:rsidRDefault="00065839" w:rsidP="00065839">
            <w:pPr>
              <w:rPr>
                <w:rFonts w:ascii="Century Gothic" w:hAnsi="Century Gothic"/>
                <w:sz w:val="20"/>
                <w:szCs w:val="20"/>
              </w:rPr>
            </w:pPr>
          </w:p>
        </w:tc>
        <w:tc>
          <w:tcPr>
            <w:tcW w:w="1340" w:type="dxa"/>
            <w:gridSpan w:val="3"/>
            <w:tcBorders>
              <w:top w:val="nil"/>
              <w:left w:val="nil"/>
              <w:bottom w:val="nil"/>
              <w:right w:val="nil"/>
            </w:tcBorders>
            <w:shd w:val="clear" w:color="auto" w:fill="auto"/>
            <w:noWrap/>
            <w:vAlign w:val="bottom"/>
            <w:hideMark/>
          </w:tcPr>
          <w:p w:rsidR="00065839" w:rsidRPr="00A21238" w:rsidRDefault="00065839" w:rsidP="00065839">
            <w:pPr>
              <w:rPr>
                <w:rFonts w:ascii="Century Gothic" w:hAnsi="Century Gothic"/>
                <w:sz w:val="20"/>
                <w:szCs w:val="20"/>
              </w:rPr>
            </w:pPr>
          </w:p>
        </w:tc>
        <w:tc>
          <w:tcPr>
            <w:tcW w:w="1340" w:type="dxa"/>
            <w:gridSpan w:val="3"/>
            <w:tcBorders>
              <w:top w:val="nil"/>
              <w:left w:val="nil"/>
              <w:bottom w:val="nil"/>
              <w:right w:val="nil"/>
            </w:tcBorders>
            <w:shd w:val="clear" w:color="auto" w:fill="auto"/>
            <w:noWrap/>
            <w:vAlign w:val="bottom"/>
            <w:hideMark/>
          </w:tcPr>
          <w:p w:rsidR="00065839" w:rsidRPr="00A21238" w:rsidRDefault="00065839" w:rsidP="00065839">
            <w:pPr>
              <w:rPr>
                <w:rFonts w:ascii="Century Gothic" w:hAnsi="Century Gothic"/>
                <w:sz w:val="20"/>
                <w:szCs w:val="20"/>
              </w:rPr>
            </w:pPr>
          </w:p>
        </w:tc>
      </w:tr>
    </w:tbl>
    <w:p w:rsidR="00065839" w:rsidRPr="00A21238" w:rsidRDefault="00065839" w:rsidP="00065839">
      <w:pPr>
        <w:spacing w:before="60" w:after="60"/>
        <w:rPr>
          <w:rFonts w:ascii="Century Gothic" w:hAnsi="Century Gothic" w:cs="Arial"/>
          <w:b/>
          <w:bCs/>
          <w:sz w:val="20"/>
          <w:szCs w:val="20"/>
        </w:rPr>
      </w:pPr>
    </w:p>
    <w:p w:rsidR="00065839" w:rsidRPr="00A21238" w:rsidRDefault="00065839">
      <w:pPr>
        <w:rPr>
          <w:rFonts w:ascii="Century Gothic" w:hAnsi="Century Gothic" w:cs="Arial"/>
          <w:b/>
          <w:bCs/>
          <w:sz w:val="20"/>
          <w:szCs w:val="20"/>
        </w:rPr>
      </w:pPr>
      <w:r w:rsidRPr="00A21238">
        <w:rPr>
          <w:rFonts w:ascii="Century Gothic" w:hAnsi="Century Gothic" w:cs="Arial"/>
          <w:b/>
          <w:bCs/>
          <w:sz w:val="20"/>
          <w:szCs w:val="20"/>
        </w:rPr>
        <w:br w:type="page"/>
      </w:r>
    </w:p>
    <w:p w:rsidR="00971A5D" w:rsidRPr="00A21238" w:rsidRDefault="00971A5D" w:rsidP="00065839">
      <w:pPr>
        <w:spacing w:before="60" w:after="60"/>
        <w:rPr>
          <w:rFonts w:ascii="Century Gothic" w:hAnsi="Century Gothic" w:cs="Arial"/>
          <w:b/>
          <w:bCs/>
          <w:sz w:val="20"/>
          <w:szCs w:val="20"/>
        </w:rPr>
      </w:pPr>
    </w:p>
    <w:p w:rsidR="008678C3" w:rsidRPr="00A21238" w:rsidRDefault="008678C3" w:rsidP="006E23CA">
      <w:pPr>
        <w:spacing w:before="60" w:after="60"/>
        <w:ind w:left="360"/>
        <w:rPr>
          <w:rFonts w:ascii="Century Gothic" w:hAnsi="Century Gothic" w:cs="Arial"/>
          <w:b/>
          <w:bCs/>
          <w:sz w:val="20"/>
          <w:szCs w:val="20"/>
        </w:rPr>
      </w:pPr>
    </w:p>
    <w:p w:rsidR="00AC4732" w:rsidRPr="00A21238" w:rsidRDefault="00AC4732">
      <w:pPr>
        <w:rPr>
          <w:rFonts w:ascii="Century Gothic" w:hAnsi="Century Gothic"/>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142FDC" w:rsidRPr="00A52683" w:rsidTr="00D0450D">
        <w:tc>
          <w:tcPr>
            <w:tcW w:w="5000" w:type="pct"/>
            <w:vAlign w:val="center"/>
          </w:tcPr>
          <w:p w:rsidR="00F22C31" w:rsidRPr="00A52683" w:rsidRDefault="00142FDC" w:rsidP="004A0542">
            <w:pPr>
              <w:spacing w:after="200" w:line="276" w:lineRule="auto"/>
              <w:rPr>
                <w:b/>
                <w:sz w:val="22"/>
                <w:szCs w:val="22"/>
              </w:rPr>
            </w:pPr>
            <w:r w:rsidRPr="00A52683">
              <w:rPr>
                <w:b/>
                <w:sz w:val="22"/>
                <w:szCs w:val="22"/>
              </w:rPr>
              <w:br w:type="page"/>
            </w:r>
            <w:r w:rsidRPr="00A52683">
              <w:rPr>
                <w:i/>
                <w:sz w:val="22"/>
                <w:szCs w:val="22"/>
              </w:rPr>
              <w:br w:type="page"/>
            </w:r>
            <w:r w:rsidRPr="00A52683">
              <w:rPr>
                <w:b/>
                <w:sz w:val="22"/>
                <w:szCs w:val="22"/>
              </w:rPr>
              <w:t xml:space="preserve"> </w:t>
            </w:r>
            <w:r w:rsidR="00F22C31" w:rsidRPr="00A52683">
              <w:rPr>
                <w:b/>
                <w:sz w:val="22"/>
                <w:szCs w:val="22"/>
              </w:rPr>
              <w:t xml:space="preserve">9.3 Expert </w:t>
            </w:r>
            <w:r w:rsidR="00031CF5">
              <w:rPr>
                <w:b/>
                <w:sz w:val="22"/>
                <w:szCs w:val="22"/>
              </w:rPr>
              <w:t>C</w:t>
            </w:r>
            <w:r w:rsidR="00F22C31" w:rsidRPr="00A52683">
              <w:rPr>
                <w:b/>
                <w:sz w:val="22"/>
                <w:szCs w:val="22"/>
              </w:rPr>
              <w:t xml:space="preserve">onsensus </w:t>
            </w:r>
            <w:r w:rsidR="00031CF5">
              <w:rPr>
                <w:b/>
                <w:sz w:val="22"/>
                <w:szCs w:val="22"/>
              </w:rPr>
              <w:t>O</w:t>
            </w:r>
            <w:r w:rsidR="00F22C31" w:rsidRPr="00A52683">
              <w:rPr>
                <w:b/>
                <w:sz w:val="22"/>
                <w:szCs w:val="22"/>
              </w:rPr>
              <w:t xml:space="preserve">pinion: </w:t>
            </w:r>
            <w:r w:rsidR="00A070F6" w:rsidRPr="00A52683">
              <w:rPr>
                <w:b/>
                <w:sz w:val="22"/>
                <w:szCs w:val="22"/>
              </w:rPr>
              <w:t>A</w:t>
            </w:r>
            <w:r w:rsidR="00F22C31" w:rsidRPr="00A52683">
              <w:rPr>
                <w:b/>
                <w:sz w:val="22"/>
                <w:szCs w:val="22"/>
              </w:rPr>
              <w:t xml:space="preserve"> pathologist should be involved in the selection of sections for </w:t>
            </w:r>
            <w:r w:rsidR="00AC081E" w:rsidRPr="00AC081E">
              <w:rPr>
                <w:b/>
                <w:i/>
                <w:sz w:val="22"/>
                <w:szCs w:val="22"/>
              </w:rPr>
              <w:t>ALK</w:t>
            </w:r>
            <w:r w:rsidR="00144329">
              <w:rPr>
                <w:b/>
                <w:sz w:val="22"/>
                <w:szCs w:val="22"/>
              </w:rPr>
              <w:t xml:space="preserve"> </w:t>
            </w:r>
            <w:r w:rsidR="00F22C31" w:rsidRPr="00A52683">
              <w:rPr>
                <w:b/>
                <w:sz w:val="22"/>
                <w:szCs w:val="22"/>
              </w:rPr>
              <w:t>FISH testing, by assessing tumor architecture, cytology, and specimen quality.</w:t>
            </w:r>
          </w:p>
        </w:tc>
      </w:tr>
    </w:tbl>
    <w:p w:rsidR="00142FDC" w:rsidRPr="00A52683" w:rsidRDefault="00142FDC" w:rsidP="00142FDC">
      <w:pPr>
        <w:rPr>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142FDC" w:rsidRPr="00A52683" w:rsidTr="00D0450D">
        <w:tc>
          <w:tcPr>
            <w:tcW w:w="5000" w:type="pct"/>
            <w:vAlign w:val="center"/>
          </w:tcPr>
          <w:p w:rsidR="00F22C31" w:rsidRPr="00A52683" w:rsidRDefault="00F22C31" w:rsidP="00576DE9">
            <w:pPr>
              <w:rPr>
                <w:b/>
                <w:sz w:val="22"/>
                <w:szCs w:val="22"/>
              </w:rPr>
            </w:pPr>
            <w:r w:rsidRPr="00A52683">
              <w:rPr>
                <w:b/>
                <w:sz w:val="22"/>
                <w:szCs w:val="22"/>
              </w:rPr>
              <w:t xml:space="preserve">9.4: Expert </w:t>
            </w:r>
            <w:r w:rsidR="00031CF5">
              <w:rPr>
                <w:b/>
                <w:sz w:val="22"/>
                <w:szCs w:val="22"/>
              </w:rPr>
              <w:t>C</w:t>
            </w:r>
            <w:r w:rsidRPr="00A52683">
              <w:rPr>
                <w:b/>
                <w:sz w:val="22"/>
                <w:szCs w:val="22"/>
              </w:rPr>
              <w:t xml:space="preserve">onsensus </w:t>
            </w:r>
            <w:r w:rsidR="00031CF5">
              <w:rPr>
                <w:b/>
                <w:sz w:val="22"/>
                <w:szCs w:val="22"/>
              </w:rPr>
              <w:t>O</w:t>
            </w:r>
            <w:r w:rsidRPr="00A52683">
              <w:rPr>
                <w:b/>
                <w:sz w:val="22"/>
                <w:szCs w:val="22"/>
              </w:rPr>
              <w:t xml:space="preserve">pinion: </w:t>
            </w:r>
            <w:r w:rsidR="00A070F6" w:rsidRPr="00A52683">
              <w:rPr>
                <w:b/>
                <w:sz w:val="22"/>
                <w:szCs w:val="22"/>
              </w:rPr>
              <w:t>A</w:t>
            </w:r>
            <w:r w:rsidRPr="00A52683">
              <w:rPr>
                <w:b/>
                <w:sz w:val="22"/>
                <w:szCs w:val="22"/>
              </w:rPr>
              <w:t xml:space="preserve"> pathologist should participate in the interpretation of </w:t>
            </w:r>
            <w:r w:rsidRPr="00A52683">
              <w:rPr>
                <w:b/>
                <w:i/>
                <w:sz w:val="22"/>
                <w:szCs w:val="22"/>
              </w:rPr>
              <w:t>ALK</w:t>
            </w:r>
            <w:r w:rsidRPr="00A52683">
              <w:rPr>
                <w:b/>
                <w:sz w:val="22"/>
                <w:szCs w:val="22"/>
              </w:rPr>
              <w:t xml:space="preserve"> FISH slides, either by performing the analysis directly or by reviewing the interpretations of </w:t>
            </w:r>
            <w:proofErr w:type="spellStart"/>
            <w:r w:rsidRPr="00A52683">
              <w:rPr>
                <w:b/>
                <w:sz w:val="22"/>
                <w:szCs w:val="22"/>
              </w:rPr>
              <w:t>cytogeneticists</w:t>
            </w:r>
            <w:proofErr w:type="spellEnd"/>
            <w:r w:rsidRPr="00A52683">
              <w:rPr>
                <w:b/>
                <w:sz w:val="22"/>
                <w:szCs w:val="22"/>
              </w:rPr>
              <w:t xml:space="preserve"> or technologists with specialized training in solid tumor FISH analysis.</w:t>
            </w:r>
          </w:p>
        </w:tc>
      </w:tr>
    </w:tbl>
    <w:p w:rsidR="00142FDC" w:rsidRPr="00A52683" w:rsidRDefault="00142FDC" w:rsidP="009C09ED">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B5B3E" w:rsidRPr="00A52683" w:rsidTr="00CB5B3E">
        <w:tc>
          <w:tcPr>
            <w:tcW w:w="5000" w:type="pct"/>
            <w:vAlign w:val="center"/>
          </w:tcPr>
          <w:p w:rsidR="00CB5B3E" w:rsidRPr="00A52683" w:rsidRDefault="00F22C31" w:rsidP="00F22C31">
            <w:pPr>
              <w:rPr>
                <w:b/>
                <w:sz w:val="22"/>
                <w:szCs w:val="22"/>
              </w:rPr>
            </w:pPr>
            <w:r w:rsidRPr="00A52683">
              <w:rPr>
                <w:b/>
                <w:sz w:val="22"/>
                <w:szCs w:val="22"/>
              </w:rPr>
              <w:t xml:space="preserve">9.5:  Expert </w:t>
            </w:r>
            <w:r w:rsidR="00031CF5">
              <w:rPr>
                <w:b/>
                <w:sz w:val="22"/>
                <w:szCs w:val="22"/>
              </w:rPr>
              <w:t>C</w:t>
            </w:r>
            <w:r w:rsidRPr="00A52683">
              <w:rPr>
                <w:b/>
                <w:sz w:val="22"/>
                <w:szCs w:val="22"/>
              </w:rPr>
              <w:t xml:space="preserve">onsensus </w:t>
            </w:r>
            <w:r w:rsidR="00031CF5">
              <w:rPr>
                <w:b/>
                <w:sz w:val="22"/>
                <w:szCs w:val="22"/>
              </w:rPr>
              <w:t>O</w:t>
            </w:r>
            <w:r w:rsidRPr="00A52683">
              <w:rPr>
                <w:b/>
                <w:sz w:val="22"/>
                <w:szCs w:val="22"/>
              </w:rPr>
              <w:t xml:space="preserve">pinion: </w:t>
            </w:r>
            <w:r w:rsidR="00A070F6" w:rsidRPr="00A52683">
              <w:rPr>
                <w:b/>
                <w:sz w:val="22"/>
                <w:szCs w:val="22"/>
              </w:rPr>
              <w:t>T</w:t>
            </w:r>
            <w:r w:rsidRPr="00A52683">
              <w:rPr>
                <w:b/>
                <w:sz w:val="22"/>
                <w:szCs w:val="22"/>
              </w:rPr>
              <w:t xml:space="preserve">esting for secondary mutations in </w:t>
            </w:r>
            <w:r w:rsidRPr="00A52683">
              <w:rPr>
                <w:b/>
                <w:i/>
                <w:sz w:val="22"/>
                <w:szCs w:val="22"/>
              </w:rPr>
              <w:t>ALK</w:t>
            </w:r>
            <w:r w:rsidRPr="00A52683">
              <w:rPr>
                <w:b/>
                <w:sz w:val="22"/>
                <w:szCs w:val="22"/>
              </w:rPr>
              <w:t xml:space="preserve"> associated with acquired resistance to </w:t>
            </w:r>
            <w:r w:rsidRPr="00B8122E">
              <w:rPr>
                <w:b/>
                <w:sz w:val="22"/>
                <w:szCs w:val="22"/>
              </w:rPr>
              <w:t>ALK</w:t>
            </w:r>
            <w:r w:rsidRPr="00A52683">
              <w:rPr>
                <w:b/>
                <w:sz w:val="22"/>
                <w:szCs w:val="22"/>
              </w:rPr>
              <w:t xml:space="preserve"> inhibitors is not currently required for clinical management</w:t>
            </w:r>
            <w:r w:rsidR="008712C9">
              <w:rPr>
                <w:b/>
                <w:sz w:val="22"/>
                <w:szCs w:val="22"/>
              </w:rPr>
              <w:t>.</w:t>
            </w:r>
          </w:p>
        </w:tc>
      </w:tr>
    </w:tbl>
    <w:p w:rsidR="00142FDC" w:rsidRPr="00A52683" w:rsidRDefault="00142FDC" w:rsidP="009C09ED">
      <w:pPr>
        <w:rPr>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C09ED" w:rsidRPr="00A52683" w:rsidTr="004952B0">
        <w:tc>
          <w:tcPr>
            <w:tcW w:w="5000" w:type="pct"/>
            <w:vAlign w:val="center"/>
          </w:tcPr>
          <w:p w:rsidR="00F22C31" w:rsidRPr="00A52683" w:rsidRDefault="00F22C31" w:rsidP="00F22C31">
            <w:pPr>
              <w:rPr>
                <w:b/>
                <w:sz w:val="22"/>
                <w:szCs w:val="22"/>
              </w:rPr>
            </w:pPr>
            <w:r w:rsidRPr="00A52683">
              <w:rPr>
                <w:b/>
                <w:sz w:val="22"/>
                <w:szCs w:val="22"/>
              </w:rPr>
              <w:t xml:space="preserve">10.1a Recommendation: Testing for </w:t>
            </w:r>
            <w:r w:rsidRPr="00A52683">
              <w:rPr>
                <w:b/>
                <w:i/>
                <w:sz w:val="22"/>
                <w:szCs w:val="22"/>
              </w:rPr>
              <w:t>EGFR</w:t>
            </w:r>
            <w:r w:rsidRPr="00A52683">
              <w:rPr>
                <w:b/>
                <w:sz w:val="22"/>
                <w:szCs w:val="22"/>
              </w:rPr>
              <w:t xml:space="preserve"> </w:t>
            </w:r>
            <w:proofErr w:type="gramStart"/>
            <w:r w:rsidRPr="00A52683">
              <w:rPr>
                <w:b/>
                <w:sz w:val="22"/>
                <w:szCs w:val="22"/>
              </w:rPr>
              <w:t>should be prioritized</w:t>
            </w:r>
            <w:proofErr w:type="gramEnd"/>
            <w:r w:rsidR="00F67DC6" w:rsidRPr="00A52683">
              <w:rPr>
                <w:b/>
                <w:sz w:val="22"/>
                <w:szCs w:val="22"/>
              </w:rPr>
              <w:t xml:space="preserve"> over other </w:t>
            </w:r>
            <w:r w:rsidRPr="00A52683">
              <w:rPr>
                <w:b/>
                <w:sz w:val="22"/>
                <w:szCs w:val="22"/>
              </w:rPr>
              <w:t xml:space="preserve">molecular markers in lung </w:t>
            </w:r>
            <w:r w:rsidR="00F67DC6" w:rsidRPr="00A52683">
              <w:rPr>
                <w:b/>
                <w:sz w:val="22"/>
                <w:szCs w:val="22"/>
              </w:rPr>
              <w:t>adenocarcinoma</w:t>
            </w:r>
            <w:r w:rsidRPr="00A52683">
              <w:rPr>
                <w:b/>
                <w:sz w:val="22"/>
                <w:szCs w:val="22"/>
              </w:rPr>
              <w:t>.</w:t>
            </w:r>
          </w:p>
          <w:p w:rsidR="00F22C31" w:rsidRPr="00A52683" w:rsidRDefault="00F22C31" w:rsidP="00F22C31">
            <w:pPr>
              <w:rPr>
                <w:b/>
                <w:sz w:val="22"/>
                <w:szCs w:val="22"/>
              </w:rPr>
            </w:pPr>
          </w:p>
          <w:p w:rsidR="00F22C31" w:rsidRPr="00A52683" w:rsidRDefault="00F22C31" w:rsidP="008F1C62">
            <w:pPr>
              <w:rPr>
                <w:b/>
                <w:sz w:val="22"/>
                <w:szCs w:val="22"/>
              </w:rPr>
            </w:pPr>
            <w:r w:rsidRPr="00A52683">
              <w:rPr>
                <w:b/>
                <w:sz w:val="22"/>
                <w:szCs w:val="22"/>
              </w:rPr>
              <w:t xml:space="preserve">10.1b Suggestion: </w:t>
            </w:r>
            <w:r w:rsidR="00F67DC6" w:rsidRPr="00A52683">
              <w:rPr>
                <w:b/>
                <w:sz w:val="22"/>
                <w:szCs w:val="22"/>
              </w:rPr>
              <w:t xml:space="preserve">After </w:t>
            </w:r>
            <w:r w:rsidR="00F67DC6" w:rsidRPr="00A52683">
              <w:rPr>
                <w:b/>
                <w:i/>
                <w:sz w:val="22"/>
                <w:szCs w:val="22"/>
              </w:rPr>
              <w:t>EGFR</w:t>
            </w:r>
            <w:r w:rsidR="00F67DC6" w:rsidRPr="00A52683">
              <w:rPr>
                <w:b/>
                <w:sz w:val="22"/>
                <w:szCs w:val="22"/>
              </w:rPr>
              <w:t xml:space="preserve"> testing, t</w:t>
            </w:r>
            <w:r w:rsidRPr="00A52683">
              <w:rPr>
                <w:b/>
                <w:sz w:val="22"/>
                <w:szCs w:val="22"/>
              </w:rPr>
              <w:t xml:space="preserve">esting for </w:t>
            </w:r>
            <w:r w:rsidRPr="00A52683">
              <w:rPr>
                <w:b/>
                <w:i/>
                <w:sz w:val="22"/>
                <w:szCs w:val="22"/>
              </w:rPr>
              <w:t>ALK</w:t>
            </w:r>
            <w:r w:rsidRPr="00A52683">
              <w:rPr>
                <w:b/>
                <w:sz w:val="22"/>
                <w:szCs w:val="22"/>
              </w:rPr>
              <w:t xml:space="preserve"> should be prioritized over other proposed molecular markers in lung adenocarcinoma, for which published evidence is insufficient to support </w:t>
            </w:r>
            <w:r w:rsidR="008F1C62">
              <w:rPr>
                <w:b/>
                <w:sz w:val="22"/>
                <w:szCs w:val="22"/>
              </w:rPr>
              <w:t xml:space="preserve">testing guideline development </w:t>
            </w:r>
            <w:proofErr w:type="gramStart"/>
            <w:r w:rsidR="008F1C62">
              <w:rPr>
                <w:b/>
                <w:sz w:val="22"/>
                <w:szCs w:val="22"/>
              </w:rPr>
              <w:t>at the present time</w:t>
            </w:r>
            <w:proofErr w:type="gramEnd"/>
            <w:r w:rsidR="008F1C62">
              <w:rPr>
                <w:b/>
                <w:sz w:val="22"/>
                <w:szCs w:val="22"/>
              </w:rPr>
              <w:t>.</w:t>
            </w:r>
          </w:p>
        </w:tc>
      </w:tr>
      <w:tr w:rsidR="00D83570" w:rsidRPr="00A52683" w:rsidTr="004952B0">
        <w:tc>
          <w:tcPr>
            <w:tcW w:w="5000" w:type="pct"/>
            <w:vAlign w:val="center"/>
          </w:tcPr>
          <w:p w:rsidR="00D83570" w:rsidRPr="00A52683" w:rsidRDefault="00D83570" w:rsidP="004952B0">
            <w:pPr>
              <w:rPr>
                <w:sz w:val="22"/>
                <w:szCs w:val="22"/>
              </w:rPr>
            </w:pPr>
            <w:r w:rsidRPr="00A52683">
              <w:rPr>
                <w:sz w:val="22"/>
                <w:szCs w:val="22"/>
              </w:rPr>
              <w:t xml:space="preserve">See recommendation 2.1a and 2.1b for data tables and grading. </w:t>
            </w:r>
            <w:r w:rsidR="00A63CDC" w:rsidRPr="00A52683">
              <w:rPr>
                <w:sz w:val="22"/>
                <w:szCs w:val="22"/>
              </w:rPr>
              <w:t xml:space="preserve">Only a few studies reported data on biomarkers other than </w:t>
            </w:r>
            <w:r w:rsidR="00A63CDC" w:rsidRPr="00A52683">
              <w:rPr>
                <w:i/>
                <w:sz w:val="22"/>
                <w:szCs w:val="22"/>
              </w:rPr>
              <w:t>EGFR</w:t>
            </w:r>
            <w:r w:rsidR="00A63CDC" w:rsidRPr="00A52683">
              <w:rPr>
                <w:sz w:val="22"/>
                <w:szCs w:val="22"/>
              </w:rPr>
              <w:t xml:space="preserve"> and </w:t>
            </w:r>
            <w:r w:rsidR="00A63CDC" w:rsidRPr="00A52683">
              <w:rPr>
                <w:i/>
                <w:sz w:val="22"/>
                <w:szCs w:val="22"/>
              </w:rPr>
              <w:t>ALK</w:t>
            </w:r>
            <w:r w:rsidR="00A63CDC" w:rsidRPr="00A52683">
              <w:rPr>
                <w:sz w:val="22"/>
                <w:szCs w:val="22"/>
              </w:rPr>
              <w:t>.</w:t>
            </w:r>
          </w:p>
        </w:tc>
      </w:tr>
    </w:tbl>
    <w:p w:rsidR="00CB5B3E" w:rsidRPr="00A52683" w:rsidRDefault="00CB5B3E" w:rsidP="009C09ED">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56FAB" w:rsidRPr="00A52683" w:rsidTr="0072231F">
        <w:tc>
          <w:tcPr>
            <w:tcW w:w="5000" w:type="pct"/>
            <w:vAlign w:val="center"/>
          </w:tcPr>
          <w:p w:rsidR="00CB5B3E" w:rsidRPr="00A52683" w:rsidRDefault="00F22C31" w:rsidP="008F1C62">
            <w:pPr>
              <w:rPr>
                <w:b/>
                <w:sz w:val="22"/>
                <w:szCs w:val="22"/>
              </w:rPr>
            </w:pPr>
            <w:r w:rsidRPr="00A52683">
              <w:rPr>
                <w:b/>
                <w:sz w:val="22"/>
                <w:szCs w:val="22"/>
              </w:rPr>
              <w:t xml:space="preserve">11.1:  Expert </w:t>
            </w:r>
            <w:r w:rsidR="00031CF5">
              <w:rPr>
                <w:b/>
                <w:sz w:val="22"/>
                <w:szCs w:val="22"/>
              </w:rPr>
              <w:t>C</w:t>
            </w:r>
            <w:r w:rsidRPr="00A52683">
              <w:rPr>
                <w:b/>
                <w:sz w:val="22"/>
                <w:szCs w:val="22"/>
              </w:rPr>
              <w:t xml:space="preserve">onsensus </w:t>
            </w:r>
            <w:r w:rsidR="00031CF5">
              <w:rPr>
                <w:b/>
                <w:sz w:val="22"/>
                <w:szCs w:val="22"/>
              </w:rPr>
              <w:t>O</w:t>
            </w:r>
            <w:r w:rsidRPr="00A52683">
              <w:rPr>
                <w:b/>
                <w:sz w:val="22"/>
                <w:szCs w:val="22"/>
              </w:rPr>
              <w:t>pinio</w:t>
            </w:r>
            <w:r w:rsidR="002E6042" w:rsidRPr="00A52683">
              <w:rPr>
                <w:b/>
                <w:sz w:val="22"/>
                <w:szCs w:val="22"/>
              </w:rPr>
              <w:t xml:space="preserve">n: </w:t>
            </w:r>
            <w:r w:rsidR="00A070F6" w:rsidRPr="00A52683">
              <w:rPr>
                <w:b/>
                <w:sz w:val="22"/>
                <w:szCs w:val="22"/>
              </w:rPr>
              <w:t>L</w:t>
            </w:r>
            <w:r w:rsidR="002E6042" w:rsidRPr="00A52683">
              <w:rPr>
                <w:b/>
                <w:sz w:val="22"/>
                <w:szCs w:val="22"/>
              </w:rPr>
              <w:t xml:space="preserve">aboratories may implement </w:t>
            </w:r>
            <w:r w:rsidRPr="00A52683">
              <w:rPr>
                <w:b/>
                <w:sz w:val="22"/>
                <w:szCs w:val="22"/>
              </w:rPr>
              <w:t xml:space="preserve">testing </w:t>
            </w:r>
            <w:r w:rsidR="005E0D7C" w:rsidRPr="00A52683">
              <w:rPr>
                <w:b/>
                <w:sz w:val="22"/>
                <w:szCs w:val="22"/>
              </w:rPr>
              <w:t>algorithms to</w:t>
            </w:r>
            <w:r w:rsidRPr="00A52683">
              <w:rPr>
                <w:b/>
                <w:sz w:val="22"/>
                <w:szCs w:val="22"/>
              </w:rPr>
              <w:t xml:space="preserve"> enhance the efficiency of molecular testing of lung adenocarcinomas, provided the overall </w:t>
            </w:r>
            <w:r w:rsidR="008F1C62">
              <w:rPr>
                <w:b/>
                <w:sz w:val="22"/>
                <w:szCs w:val="22"/>
              </w:rPr>
              <w:t>TAT</w:t>
            </w:r>
            <w:r w:rsidR="00A26FF8">
              <w:rPr>
                <w:b/>
                <w:sz w:val="22"/>
                <w:szCs w:val="22"/>
              </w:rPr>
              <w:t xml:space="preserve"> </w:t>
            </w:r>
            <w:r w:rsidRPr="00A52683">
              <w:rPr>
                <w:b/>
                <w:sz w:val="22"/>
                <w:szCs w:val="22"/>
              </w:rPr>
              <w:t xml:space="preserve">requirements </w:t>
            </w:r>
            <w:proofErr w:type="gramStart"/>
            <w:r w:rsidRPr="00A52683">
              <w:rPr>
                <w:b/>
                <w:sz w:val="22"/>
                <w:szCs w:val="22"/>
              </w:rPr>
              <w:t>are met</w:t>
            </w:r>
            <w:proofErr w:type="gramEnd"/>
            <w:r w:rsidRPr="00A52683">
              <w:rPr>
                <w:b/>
                <w:sz w:val="22"/>
                <w:szCs w:val="22"/>
              </w:rPr>
              <w:t>.</w:t>
            </w:r>
          </w:p>
        </w:tc>
      </w:tr>
    </w:tbl>
    <w:p w:rsidR="00B56FAB" w:rsidRPr="00A52683" w:rsidRDefault="00B56FAB" w:rsidP="00B56FAB">
      <w:pPr>
        <w:spacing w:after="200" w:line="276"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56FAB" w:rsidRPr="00A52683" w:rsidTr="0072231F">
        <w:tc>
          <w:tcPr>
            <w:tcW w:w="5000" w:type="pct"/>
            <w:vAlign w:val="center"/>
          </w:tcPr>
          <w:p w:rsidR="004A0542" w:rsidRPr="00A52683" w:rsidRDefault="00F22C31" w:rsidP="00144329">
            <w:pPr>
              <w:rPr>
                <w:b/>
                <w:bCs/>
                <w:sz w:val="22"/>
                <w:szCs w:val="22"/>
              </w:rPr>
            </w:pPr>
            <w:r w:rsidRPr="00A52683">
              <w:rPr>
                <w:b/>
                <w:bCs/>
                <w:sz w:val="22"/>
                <w:szCs w:val="22"/>
              </w:rPr>
              <w:t xml:space="preserve">12.1: Expert </w:t>
            </w:r>
            <w:r w:rsidR="00031CF5">
              <w:rPr>
                <w:b/>
                <w:bCs/>
                <w:sz w:val="22"/>
                <w:szCs w:val="22"/>
              </w:rPr>
              <w:t>C</w:t>
            </w:r>
            <w:r w:rsidRPr="00A52683">
              <w:rPr>
                <w:b/>
                <w:bCs/>
                <w:sz w:val="22"/>
                <w:szCs w:val="22"/>
              </w:rPr>
              <w:t xml:space="preserve">onsensus </w:t>
            </w:r>
            <w:r w:rsidR="00031CF5">
              <w:rPr>
                <w:b/>
                <w:bCs/>
                <w:sz w:val="22"/>
                <w:szCs w:val="22"/>
              </w:rPr>
              <w:t>O</w:t>
            </w:r>
            <w:r w:rsidRPr="00A52683">
              <w:rPr>
                <w:b/>
                <w:bCs/>
                <w:sz w:val="22"/>
                <w:szCs w:val="22"/>
              </w:rPr>
              <w:t xml:space="preserve">pinion: </w:t>
            </w:r>
            <w:r w:rsidRPr="00A52683">
              <w:rPr>
                <w:b/>
                <w:bCs/>
                <w:i/>
                <w:sz w:val="22"/>
                <w:szCs w:val="22"/>
              </w:rPr>
              <w:t>EGFR</w:t>
            </w:r>
            <w:r w:rsidRPr="00A52683">
              <w:rPr>
                <w:b/>
                <w:bCs/>
                <w:sz w:val="22"/>
                <w:szCs w:val="22"/>
              </w:rPr>
              <w:t xml:space="preserve"> mutation testing reports and </w:t>
            </w:r>
            <w:r w:rsidRPr="00A52683">
              <w:rPr>
                <w:b/>
                <w:i/>
                <w:sz w:val="22"/>
                <w:szCs w:val="22"/>
              </w:rPr>
              <w:t>ALK</w:t>
            </w:r>
            <w:r w:rsidRPr="00A52683">
              <w:rPr>
                <w:b/>
                <w:sz w:val="22"/>
                <w:szCs w:val="22"/>
              </w:rPr>
              <w:t xml:space="preserve"> FISH reports</w:t>
            </w:r>
            <w:r w:rsidRPr="00A52683">
              <w:rPr>
                <w:b/>
                <w:bCs/>
                <w:sz w:val="22"/>
                <w:szCs w:val="22"/>
              </w:rPr>
              <w:t xml:space="preserve"> should include a results and interpretation section readily understandable by oncologists and by </w:t>
            </w:r>
            <w:proofErr w:type="spellStart"/>
            <w:r w:rsidRPr="00A52683">
              <w:rPr>
                <w:b/>
                <w:bCs/>
                <w:sz w:val="22"/>
                <w:szCs w:val="22"/>
              </w:rPr>
              <w:t>nonspecialist</w:t>
            </w:r>
            <w:proofErr w:type="spellEnd"/>
            <w:r w:rsidRPr="00A52683">
              <w:rPr>
                <w:b/>
                <w:bCs/>
                <w:sz w:val="22"/>
                <w:szCs w:val="22"/>
              </w:rPr>
              <w:t xml:space="preserve"> pathologists.</w:t>
            </w:r>
          </w:p>
        </w:tc>
      </w:tr>
    </w:tbl>
    <w:p w:rsidR="004A0542" w:rsidRPr="00A52683" w:rsidRDefault="004A0542" w:rsidP="00B56FAB">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56FAB" w:rsidRPr="00A52683" w:rsidTr="0072231F">
        <w:tc>
          <w:tcPr>
            <w:tcW w:w="5000" w:type="pct"/>
            <w:vAlign w:val="center"/>
          </w:tcPr>
          <w:p w:rsidR="00CB5B3E" w:rsidRPr="00A52683" w:rsidRDefault="00F22C31" w:rsidP="00F22C31">
            <w:pPr>
              <w:rPr>
                <w:b/>
                <w:sz w:val="22"/>
                <w:szCs w:val="22"/>
              </w:rPr>
            </w:pPr>
            <w:r w:rsidRPr="00A52683">
              <w:rPr>
                <w:b/>
                <w:sz w:val="22"/>
                <w:szCs w:val="22"/>
              </w:rPr>
              <w:t xml:space="preserve">13.1: Expert </w:t>
            </w:r>
            <w:r w:rsidR="00031CF5">
              <w:rPr>
                <w:b/>
                <w:sz w:val="22"/>
                <w:szCs w:val="22"/>
              </w:rPr>
              <w:t>C</w:t>
            </w:r>
            <w:r w:rsidRPr="00A52683">
              <w:rPr>
                <w:b/>
                <w:sz w:val="22"/>
                <w:szCs w:val="22"/>
              </w:rPr>
              <w:t xml:space="preserve">onsensus </w:t>
            </w:r>
            <w:r w:rsidR="00031CF5">
              <w:rPr>
                <w:b/>
                <w:sz w:val="22"/>
                <w:szCs w:val="22"/>
              </w:rPr>
              <w:t>O</w:t>
            </w:r>
            <w:r w:rsidRPr="00A52683">
              <w:rPr>
                <w:b/>
                <w:sz w:val="22"/>
                <w:szCs w:val="22"/>
              </w:rPr>
              <w:t xml:space="preserve">pinion: </w:t>
            </w:r>
            <w:r w:rsidRPr="00A52683">
              <w:rPr>
                <w:b/>
                <w:i/>
                <w:sz w:val="22"/>
                <w:szCs w:val="22"/>
              </w:rPr>
              <w:t>EGFR</w:t>
            </w:r>
            <w:r w:rsidRPr="00A52683">
              <w:rPr>
                <w:b/>
                <w:sz w:val="22"/>
                <w:szCs w:val="22"/>
              </w:rPr>
              <w:t xml:space="preserve"> and </w:t>
            </w:r>
            <w:r w:rsidRPr="00A52683">
              <w:rPr>
                <w:b/>
                <w:i/>
                <w:sz w:val="22"/>
                <w:szCs w:val="22"/>
              </w:rPr>
              <w:t>ALK</w:t>
            </w:r>
            <w:r w:rsidRPr="00A52683">
              <w:rPr>
                <w:b/>
                <w:sz w:val="22"/>
                <w:szCs w:val="22"/>
              </w:rPr>
              <w:t xml:space="preserve"> testing validation should follow the same guidelines as for other molecular diagnostics and FISH tests. </w:t>
            </w:r>
          </w:p>
        </w:tc>
      </w:tr>
    </w:tbl>
    <w:p w:rsidR="00B56FAB" w:rsidRPr="00A52683" w:rsidRDefault="00B56FAB" w:rsidP="00B56FAB">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56FAB" w:rsidRPr="00A52683" w:rsidTr="0072231F">
        <w:tc>
          <w:tcPr>
            <w:tcW w:w="5000" w:type="pct"/>
            <w:vAlign w:val="center"/>
          </w:tcPr>
          <w:p w:rsidR="00CB5B3E" w:rsidRPr="00A52683" w:rsidRDefault="00F22C31" w:rsidP="00F22C31">
            <w:pPr>
              <w:rPr>
                <w:b/>
                <w:sz w:val="22"/>
                <w:szCs w:val="22"/>
              </w:rPr>
            </w:pPr>
            <w:r w:rsidRPr="00A52683">
              <w:rPr>
                <w:b/>
                <w:sz w:val="22"/>
                <w:szCs w:val="22"/>
              </w:rPr>
              <w:t xml:space="preserve">14.1: Expert </w:t>
            </w:r>
            <w:r w:rsidR="00031CF5">
              <w:rPr>
                <w:b/>
                <w:sz w:val="22"/>
                <w:szCs w:val="22"/>
              </w:rPr>
              <w:t>C</w:t>
            </w:r>
            <w:r w:rsidRPr="00A52683">
              <w:rPr>
                <w:b/>
                <w:sz w:val="22"/>
                <w:szCs w:val="22"/>
              </w:rPr>
              <w:t xml:space="preserve">onsensus </w:t>
            </w:r>
            <w:r w:rsidR="00031CF5">
              <w:rPr>
                <w:b/>
                <w:sz w:val="22"/>
                <w:szCs w:val="22"/>
              </w:rPr>
              <w:t>O</w:t>
            </w:r>
            <w:r w:rsidRPr="00A52683">
              <w:rPr>
                <w:b/>
                <w:sz w:val="22"/>
                <w:szCs w:val="22"/>
              </w:rPr>
              <w:t xml:space="preserve">pinion: Laboratories should follow similar quality control and quality assurance policies and procedures for </w:t>
            </w:r>
            <w:r w:rsidRPr="00A52683">
              <w:rPr>
                <w:b/>
                <w:i/>
                <w:sz w:val="22"/>
                <w:szCs w:val="22"/>
              </w:rPr>
              <w:t>EGFR</w:t>
            </w:r>
            <w:r w:rsidRPr="00A52683">
              <w:rPr>
                <w:b/>
                <w:sz w:val="22"/>
                <w:szCs w:val="22"/>
              </w:rPr>
              <w:t xml:space="preserve"> and </w:t>
            </w:r>
            <w:r w:rsidRPr="00A52683">
              <w:rPr>
                <w:b/>
                <w:i/>
                <w:sz w:val="22"/>
                <w:szCs w:val="22"/>
              </w:rPr>
              <w:t>ALK</w:t>
            </w:r>
            <w:r w:rsidRPr="00A52683">
              <w:rPr>
                <w:b/>
                <w:sz w:val="22"/>
                <w:szCs w:val="22"/>
              </w:rPr>
              <w:t xml:space="preserve"> testing in lung cancers as for other clinical laboratory assays. In particular, </w:t>
            </w:r>
            <w:r w:rsidR="008F1C62">
              <w:rPr>
                <w:b/>
                <w:sz w:val="22"/>
                <w:szCs w:val="22"/>
              </w:rPr>
              <w:t>l</w:t>
            </w:r>
            <w:r w:rsidRPr="00A52683">
              <w:rPr>
                <w:b/>
                <w:sz w:val="22"/>
                <w:szCs w:val="22"/>
              </w:rPr>
              <w:t xml:space="preserve">aboratories performing </w:t>
            </w:r>
            <w:r w:rsidRPr="00A52683">
              <w:rPr>
                <w:b/>
                <w:i/>
                <w:sz w:val="22"/>
                <w:szCs w:val="22"/>
              </w:rPr>
              <w:t>EGFR</w:t>
            </w:r>
            <w:r w:rsidRPr="00A52683">
              <w:rPr>
                <w:b/>
                <w:sz w:val="22"/>
                <w:szCs w:val="22"/>
              </w:rPr>
              <w:t xml:space="preserve"> and </w:t>
            </w:r>
            <w:r w:rsidRPr="00A52683">
              <w:rPr>
                <w:b/>
                <w:i/>
                <w:sz w:val="22"/>
                <w:szCs w:val="22"/>
              </w:rPr>
              <w:t>ALK</w:t>
            </w:r>
            <w:r w:rsidRPr="00A52683">
              <w:rPr>
                <w:b/>
                <w:sz w:val="22"/>
                <w:szCs w:val="22"/>
              </w:rPr>
              <w:t xml:space="preserve"> testing for TKI therapy should enroll in proficiency testing, if available.</w:t>
            </w:r>
            <w:r w:rsidRPr="00A52683">
              <w:rPr>
                <w:rStyle w:val="CommentReference"/>
                <w:b/>
                <w:sz w:val="22"/>
                <w:szCs w:val="22"/>
              </w:rPr>
              <w:t xml:space="preserve"> </w:t>
            </w:r>
          </w:p>
        </w:tc>
      </w:tr>
    </w:tbl>
    <w:p w:rsidR="00B56FAB" w:rsidRPr="00A21238" w:rsidRDefault="00B56FAB" w:rsidP="009C09ED">
      <w:pPr>
        <w:rPr>
          <w:rFonts w:ascii="Century Gothic" w:hAnsi="Century Gothic" w:cs="Arial"/>
          <w:b/>
          <w:bCs/>
          <w:sz w:val="20"/>
          <w:szCs w:val="20"/>
        </w:rPr>
      </w:pPr>
    </w:p>
    <w:p w:rsidR="00B56FAB" w:rsidRPr="00A21238" w:rsidRDefault="00B56FAB" w:rsidP="009C09ED">
      <w:pPr>
        <w:rPr>
          <w:rFonts w:ascii="Century Gothic" w:hAnsi="Century Gothic" w:cs="Arial"/>
          <w:b/>
          <w:bCs/>
          <w:sz w:val="20"/>
          <w:szCs w:val="20"/>
        </w:rPr>
      </w:pPr>
    </w:p>
    <w:p w:rsidR="00634AB5" w:rsidRPr="00A21238" w:rsidRDefault="00634AB5">
      <w:pPr>
        <w:rPr>
          <w:rFonts w:ascii="Century Gothic" w:hAnsi="Century Gothic" w:cs="Arial"/>
          <w:b/>
          <w:bCs/>
          <w:sz w:val="20"/>
          <w:szCs w:val="20"/>
        </w:rPr>
      </w:pPr>
    </w:p>
    <w:p w:rsidR="008263B7" w:rsidRPr="00A21238" w:rsidRDefault="008263B7">
      <w:pPr>
        <w:rPr>
          <w:rFonts w:ascii="Century Gothic" w:hAnsi="Century Gothic" w:cs="Arial"/>
          <w:b/>
          <w:bCs/>
          <w:sz w:val="20"/>
          <w:szCs w:val="20"/>
        </w:rPr>
      </w:pPr>
    </w:p>
    <w:p w:rsidR="008263B7" w:rsidRPr="00A21238" w:rsidRDefault="008263B7">
      <w:pPr>
        <w:rPr>
          <w:rFonts w:ascii="Century Gothic" w:hAnsi="Century Gothic" w:cs="Arial"/>
          <w:b/>
          <w:bCs/>
          <w:sz w:val="20"/>
          <w:szCs w:val="20"/>
        </w:rPr>
      </w:pPr>
    </w:p>
    <w:p w:rsidR="008263B7" w:rsidRPr="00A21238" w:rsidRDefault="008263B7">
      <w:pPr>
        <w:rPr>
          <w:rFonts w:ascii="Century Gothic" w:hAnsi="Century Gothic" w:cs="Arial"/>
          <w:b/>
          <w:bCs/>
          <w:sz w:val="20"/>
          <w:szCs w:val="20"/>
        </w:rPr>
      </w:pPr>
    </w:p>
    <w:p w:rsidR="008263B7" w:rsidRPr="00A21238" w:rsidRDefault="008263B7">
      <w:pPr>
        <w:rPr>
          <w:rFonts w:ascii="Century Gothic" w:hAnsi="Century Gothic" w:cs="Arial"/>
          <w:b/>
          <w:bCs/>
          <w:sz w:val="20"/>
          <w:szCs w:val="20"/>
        </w:rPr>
      </w:pPr>
    </w:p>
    <w:p w:rsidR="008263B7" w:rsidRDefault="008263B7">
      <w:pPr>
        <w:rPr>
          <w:rFonts w:ascii="Century Gothic" w:hAnsi="Century Gothic" w:cs="Arial"/>
          <w:b/>
          <w:bCs/>
          <w:sz w:val="20"/>
          <w:szCs w:val="20"/>
        </w:rPr>
      </w:pPr>
    </w:p>
    <w:p w:rsidR="008263B7" w:rsidRDefault="008263B7">
      <w:pPr>
        <w:rPr>
          <w:rFonts w:ascii="Century Gothic" w:hAnsi="Century Gothic" w:cs="Arial"/>
          <w:b/>
          <w:bCs/>
          <w:sz w:val="20"/>
          <w:szCs w:val="20"/>
        </w:rPr>
      </w:pPr>
    </w:p>
    <w:p w:rsidR="008263B7" w:rsidRDefault="008263B7">
      <w:pPr>
        <w:rPr>
          <w:rFonts w:ascii="Century Gothic" w:hAnsi="Century Gothic" w:cs="Arial"/>
          <w:b/>
          <w:bCs/>
          <w:sz w:val="20"/>
          <w:szCs w:val="20"/>
        </w:rPr>
      </w:pPr>
    </w:p>
    <w:p w:rsidR="004F5518" w:rsidRPr="001E29E8" w:rsidRDefault="004F5518">
      <w:pPr>
        <w:rPr>
          <w:rFonts w:ascii="Century Gothic" w:hAnsi="Century Gothic"/>
          <w:sz w:val="20"/>
          <w:szCs w:val="20"/>
        </w:rPr>
      </w:pPr>
    </w:p>
    <w:p w:rsidR="00124ABD" w:rsidRDefault="00124ABD">
      <w:pPr>
        <w:rPr>
          <w:rFonts w:ascii="Century Gothic" w:hAnsi="Century Gothic"/>
          <w:sz w:val="20"/>
          <w:szCs w:val="20"/>
        </w:rPr>
      </w:pPr>
    </w:p>
    <w:p w:rsidR="00F35E5C" w:rsidRPr="008C300A" w:rsidRDefault="00F35E5C" w:rsidP="00F35E5C">
      <w:pPr>
        <w:rPr>
          <w:sz w:val="22"/>
          <w:szCs w:val="22"/>
        </w:rPr>
      </w:pPr>
      <w:r w:rsidRPr="008C300A">
        <w:rPr>
          <w:sz w:val="22"/>
          <w:szCs w:val="22"/>
        </w:rPr>
        <w:t>References:</w:t>
      </w:r>
    </w:p>
    <w:p w:rsidR="00F35E5C" w:rsidRPr="008C300A" w:rsidRDefault="00F35E5C" w:rsidP="005B1187">
      <w:pPr>
        <w:rPr>
          <w:sz w:val="22"/>
          <w:szCs w:val="22"/>
        </w:rPr>
      </w:pPr>
    </w:p>
    <w:p w:rsidR="0002496E" w:rsidRPr="008C300A" w:rsidRDefault="0002496E" w:rsidP="0002496E">
      <w:pPr>
        <w:rPr>
          <w:noProof/>
          <w:sz w:val="22"/>
          <w:szCs w:val="22"/>
        </w:rPr>
      </w:pPr>
      <w:bookmarkStart w:id="0" w:name="_ENREF_1"/>
      <w:r w:rsidRPr="008C300A">
        <w:rPr>
          <w:noProof/>
          <w:sz w:val="22"/>
          <w:szCs w:val="22"/>
        </w:rPr>
        <w:tab/>
        <w:t>1.</w:t>
      </w:r>
      <w:r w:rsidRPr="008C300A">
        <w:rPr>
          <w:noProof/>
          <w:sz w:val="22"/>
          <w:szCs w:val="22"/>
        </w:rPr>
        <w:tab/>
        <w:t xml:space="preserve">Merlin T, Weston A, Tooher R. Extending an evidence hierarchy to include topics other than treatment: revising the Australian 'levels of evidence'. </w:t>
      </w:r>
      <w:r w:rsidRPr="008C300A">
        <w:rPr>
          <w:i/>
          <w:noProof/>
          <w:sz w:val="22"/>
          <w:szCs w:val="22"/>
        </w:rPr>
        <w:t>BMC Med Res Methodol</w:t>
      </w:r>
      <w:r w:rsidRPr="008C300A">
        <w:rPr>
          <w:noProof/>
          <w:sz w:val="22"/>
          <w:szCs w:val="22"/>
        </w:rPr>
        <w:t>. 2009;9:34.</w:t>
      </w:r>
      <w:bookmarkEnd w:id="0"/>
    </w:p>
    <w:p w:rsidR="0002496E" w:rsidRPr="008C300A" w:rsidRDefault="0002496E" w:rsidP="0002496E">
      <w:pPr>
        <w:rPr>
          <w:noProof/>
          <w:sz w:val="22"/>
          <w:szCs w:val="22"/>
        </w:rPr>
      </w:pPr>
      <w:bookmarkStart w:id="1" w:name="_ENREF_2"/>
      <w:r w:rsidRPr="008C300A">
        <w:rPr>
          <w:noProof/>
          <w:sz w:val="22"/>
          <w:szCs w:val="22"/>
        </w:rPr>
        <w:tab/>
        <w:t>2.</w:t>
      </w:r>
      <w:r w:rsidRPr="008C300A">
        <w:rPr>
          <w:noProof/>
          <w:sz w:val="22"/>
          <w:szCs w:val="22"/>
        </w:rPr>
        <w:tab/>
        <w:t>Hillier S, Grimmer-Somers K, Merlin T</w:t>
      </w:r>
      <w:r w:rsidR="00AD1610" w:rsidRPr="008C300A">
        <w:rPr>
          <w:noProof/>
          <w:sz w:val="22"/>
          <w:szCs w:val="22"/>
        </w:rPr>
        <w:t>,</w:t>
      </w:r>
      <w:r w:rsidRPr="008C300A">
        <w:rPr>
          <w:noProof/>
          <w:sz w:val="22"/>
          <w:szCs w:val="22"/>
        </w:rPr>
        <w:t xml:space="preserve"> et al. FORM: an Australian method for formulating and grading recommendations in evidence-based clinical guidelines. </w:t>
      </w:r>
      <w:r w:rsidRPr="008C300A">
        <w:rPr>
          <w:i/>
          <w:noProof/>
          <w:sz w:val="22"/>
          <w:szCs w:val="22"/>
        </w:rPr>
        <w:t>BMC Med Res Methodol</w:t>
      </w:r>
      <w:r w:rsidRPr="008C300A">
        <w:rPr>
          <w:noProof/>
          <w:sz w:val="22"/>
          <w:szCs w:val="22"/>
        </w:rPr>
        <w:t>. 2011;11:23.</w:t>
      </w:r>
      <w:bookmarkEnd w:id="1"/>
    </w:p>
    <w:p w:rsidR="0002496E" w:rsidRPr="008C300A" w:rsidRDefault="0002496E" w:rsidP="0002496E">
      <w:pPr>
        <w:rPr>
          <w:noProof/>
          <w:sz w:val="22"/>
          <w:szCs w:val="22"/>
        </w:rPr>
      </w:pPr>
      <w:bookmarkStart w:id="2" w:name="_ENREF_3"/>
      <w:r w:rsidRPr="008C300A">
        <w:rPr>
          <w:noProof/>
          <w:sz w:val="22"/>
          <w:szCs w:val="22"/>
        </w:rPr>
        <w:tab/>
        <w:t>3.</w:t>
      </w:r>
      <w:r w:rsidRPr="008C300A">
        <w:rPr>
          <w:noProof/>
          <w:sz w:val="22"/>
          <w:szCs w:val="22"/>
        </w:rPr>
        <w:tab/>
      </w:r>
      <w:r w:rsidR="00AD1610" w:rsidRPr="008C300A">
        <w:rPr>
          <w:noProof/>
          <w:sz w:val="22"/>
          <w:szCs w:val="22"/>
        </w:rPr>
        <w:t>Scottish Intercollegiate Guidelines Network</w:t>
      </w:r>
      <w:r w:rsidRPr="008C300A">
        <w:rPr>
          <w:noProof/>
          <w:sz w:val="22"/>
          <w:szCs w:val="22"/>
        </w:rPr>
        <w:t xml:space="preserve">. SIGN 50. A guideline developers’ handbook. Methodology checklist 2: </w:t>
      </w:r>
      <w:r w:rsidR="00AD1610" w:rsidRPr="008C300A">
        <w:rPr>
          <w:noProof/>
          <w:sz w:val="22"/>
          <w:szCs w:val="22"/>
        </w:rPr>
        <w:t>r</w:t>
      </w:r>
      <w:r w:rsidRPr="008C300A">
        <w:rPr>
          <w:noProof/>
          <w:sz w:val="22"/>
          <w:szCs w:val="22"/>
        </w:rPr>
        <w:t>andomized controlled trials. Edinburgh: Scottish Intercollegiate Guidelines Network; 2008.</w:t>
      </w:r>
      <w:bookmarkEnd w:id="2"/>
    </w:p>
    <w:p w:rsidR="0002496E" w:rsidRPr="008C300A" w:rsidRDefault="0002496E" w:rsidP="0002496E">
      <w:pPr>
        <w:rPr>
          <w:noProof/>
          <w:sz w:val="22"/>
          <w:szCs w:val="22"/>
        </w:rPr>
      </w:pPr>
      <w:bookmarkStart w:id="3" w:name="_ENREF_4"/>
      <w:r w:rsidRPr="008C300A">
        <w:rPr>
          <w:noProof/>
          <w:sz w:val="22"/>
          <w:szCs w:val="22"/>
        </w:rPr>
        <w:tab/>
        <w:t>4.</w:t>
      </w:r>
      <w:r w:rsidRPr="008C300A">
        <w:rPr>
          <w:noProof/>
          <w:sz w:val="22"/>
          <w:szCs w:val="22"/>
        </w:rPr>
        <w:tab/>
        <w:t>Shea BJ, Grimshaw JM, Wells GA</w:t>
      </w:r>
      <w:r w:rsidR="00AD1610" w:rsidRPr="008C300A">
        <w:rPr>
          <w:noProof/>
          <w:sz w:val="22"/>
          <w:szCs w:val="22"/>
        </w:rPr>
        <w:t>,</w:t>
      </w:r>
      <w:r w:rsidRPr="008C300A">
        <w:rPr>
          <w:noProof/>
          <w:sz w:val="22"/>
          <w:szCs w:val="22"/>
        </w:rPr>
        <w:t xml:space="preserve"> et al. Development of AMSTAR: a measurement tool to assess the methodological quality of systematic reviews. </w:t>
      </w:r>
      <w:r w:rsidRPr="008C300A">
        <w:rPr>
          <w:i/>
          <w:noProof/>
          <w:sz w:val="22"/>
          <w:szCs w:val="22"/>
        </w:rPr>
        <w:t>BMC Med Res Methodol</w:t>
      </w:r>
      <w:r w:rsidRPr="008C300A">
        <w:rPr>
          <w:noProof/>
          <w:sz w:val="22"/>
          <w:szCs w:val="22"/>
        </w:rPr>
        <w:t>. 2007;7:10.</w:t>
      </w:r>
      <w:bookmarkEnd w:id="3"/>
    </w:p>
    <w:p w:rsidR="0002496E" w:rsidRPr="008C300A" w:rsidRDefault="0002496E" w:rsidP="0002496E">
      <w:pPr>
        <w:rPr>
          <w:noProof/>
          <w:sz w:val="22"/>
          <w:szCs w:val="22"/>
        </w:rPr>
      </w:pPr>
      <w:bookmarkStart w:id="4" w:name="_ENREF_5"/>
      <w:r w:rsidRPr="008C300A">
        <w:rPr>
          <w:noProof/>
          <w:sz w:val="22"/>
          <w:szCs w:val="22"/>
        </w:rPr>
        <w:tab/>
        <w:t>5.</w:t>
      </w:r>
      <w:r w:rsidRPr="008C300A">
        <w:rPr>
          <w:noProof/>
          <w:sz w:val="22"/>
          <w:szCs w:val="22"/>
        </w:rPr>
        <w:tab/>
        <w:t>Ebell MH, Siwek J, Weiss BD</w:t>
      </w:r>
      <w:r w:rsidR="00AD1610" w:rsidRPr="008C300A">
        <w:rPr>
          <w:noProof/>
          <w:sz w:val="22"/>
          <w:szCs w:val="22"/>
        </w:rPr>
        <w:t>,</w:t>
      </w:r>
      <w:r w:rsidRPr="008C300A">
        <w:rPr>
          <w:noProof/>
          <w:sz w:val="22"/>
          <w:szCs w:val="22"/>
        </w:rPr>
        <w:t xml:space="preserve"> et al. Strength of recommendation taxonomy (SORT): a patient-centered approach to grading evidence in the medical literature. </w:t>
      </w:r>
      <w:r w:rsidRPr="008C300A">
        <w:rPr>
          <w:i/>
          <w:noProof/>
          <w:sz w:val="22"/>
          <w:szCs w:val="22"/>
        </w:rPr>
        <w:t>Am Fam Physician</w:t>
      </w:r>
      <w:r w:rsidRPr="008C300A">
        <w:rPr>
          <w:noProof/>
          <w:sz w:val="22"/>
          <w:szCs w:val="22"/>
        </w:rPr>
        <w:t>. 2004;69(3):548-556.</w:t>
      </w:r>
      <w:bookmarkEnd w:id="4"/>
    </w:p>
    <w:p w:rsidR="0002496E" w:rsidRPr="008C300A" w:rsidRDefault="0002496E" w:rsidP="0002496E">
      <w:pPr>
        <w:rPr>
          <w:noProof/>
          <w:sz w:val="22"/>
          <w:szCs w:val="22"/>
        </w:rPr>
      </w:pPr>
      <w:bookmarkStart w:id="5" w:name="_ENREF_6"/>
      <w:r w:rsidRPr="008C300A">
        <w:rPr>
          <w:noProof/>
          <w:sz w:val="22"/>
          <w:szCs w:val="22"/>
        </w:rPr>
        <w:tab/>
      </w:r>
      <w:proofErr w:type="gramStart"/>
      <w:r w:rsidRPr="008C300A">
        <w:rPr>
          <w:noProof/>
          <w:sz w:val="22"/>
          <w:szCs w:val="22"/>
        </w:rPr>
        <w:t>6.</w:t>
      </w:r>
      <w:r w:rsidRPr="008C300A">
        <w:rPr>
          <w:noProof/>
          <w:sz w:val="22"/>
          <w:szCs w:val="22"/>
        </w:rPr>
        <w:tab/>
      </w:r>
      <w:r w:rsidR="00AD1610" w:rsidRPr="008C300A">
        <w:rPr>
          <w:rFonts w:eastAsia="Calibri"/>
          <w:sz w:val="22"/>
          <w:szCs w:val="22"/>
        </w:rPr>
        <w:t>The Nordic Cochrane Centre</w:t>
      </w:r>
      <w:r w:rsidRPr="008C300A">
        <w:rPr>
          <w:noProof/>
          <w:sz w:val="22"/>
          <w:szCs w:val="22"/>
        </w:rPr>
        <w:t>.</w:t>
      </w:r>
      <w:proofErr w:type="gramEnd"/>
      <w:r w:rsidRPr="008C300A">
        <w:rPr>
          <w:noProof/>
          <w:sz w:val="22"/>
          <w:szCs w:val="22"/>
        </w:rPr>
        <w:t xml:space="preserve"> Review Manager (RevMan). 5.1 ed. Copenhagen: The Cochrane Collaboration; 2011.</w:t>
      </w:r>
      <w:bookmarkEnd w:id="5"/>
    </w:p>
    <w:p w:rsidR="0002496E" w:rsidRPr="008C300A" w:rsidRDefault="0002496E" w:rsidP="0002496E">
      <w:pPr>
        <w:rPr>
          <w:noProof/>
          <w:sz w:val="22"/>
          <w:szCs w:val="22"/>
        </w:rPr>
      </w:pPr>
      <w:bookmarkStart w:id="6" w:name="_ENREF_7"/>
      <w:r w:rsidRPr="008C300A">
        <w:rPr>
          <w:noProof/>
          <w:sz w:val="22"/>
          <w:szCs w:val="22"/>
        </w:rPr>
        <w:tab/>
        <w:t>7.</w:t>
      </w:r>
      <w:r w:rsidRPr="008C300A">
        <w:rPr>
          <w:noProof/>
          <w:sz w:val="22"/>
          <w:szCs w:val="22"/>
        </w:rPr>
        <w:tab/>
        <w:t>Montori V, Hatala R, loannidis J, Meade MO, Wyer P, G</w:t>
      </w:r>
      <w:r w:rsidR="00AD1610" w:rsidRPr="008C300A">
        <w:rPr>
          <w:noProof/>
          <w:sz w:val="22"/>
          <w:szCs w:val="22"/>
        </w:rPr>
        <w:t>uyatt</w:t>
      </w:r>
      <w:r w:rsidRPr="008C300A">
        <w:rPr>
          <w:noProof/>
          <w:sz w:val="22"/>
          <w:szCs w:val="22"/>
        </w:rPr>
        <w:t xml:space="preserve"> G. Making </w:t>
      </w:r>
      <w:r w:rsidR="00AD1610" w:rsidRPr="008C300A">
        <w:rPr>
          <w:noProof/>
          <w:sz w:val="22"/>
          <w:szCs w:val="22"/>
        </w:rPr>
        <w:t>s</w:t>
      </w:r>
      <w:r w:rsidRPr="008C300A">
        <w:rPr>
          <w:noProof/>
          <w:sz w:val="22"/>
          <w:szCs w:val="22"/>
        </w:rPr>
        <w:t xml:space="preserve">ense of </w:t>
      </w:r>
      <w:r w:rsidR="00AD1610" w:rsidRPr="008C300A">
        <w:rPr>
          <w:noProof/>
          <w:sz w:val="22"/>
          <w:szCs w:val="22"/>
        </w:rPr>
        <w:t>v</w:t>
      </w:r>
      <w:r w:rsidRPr="008C300A">
        <w:rPr>
          <w:noProof/>
          <w:sz w:val="22"/>
          <w:szCs w:val="22"/>
        </w:rPr>
        <w:t xml:space="preserve">ariability in </w:t>
      </w:r>
      <w:r w:rsidR="00AD1610" w:rsidRPr="008C300A">
        <w:rPr>
          <w:noProof/>
          <w:sz w:val="22"/>
          <w:szCs w:val="22"/>
        </w:rPr>
        <w:t>study r</w:t>
      </w:r>
      <w:r w:rsidRPr="008C300A">
        <w:rPr>
          <w:noProof/>
          <w:sz w:val="22"/>
          <w:szCs w:val="22"/>
        </w:rPr>
        <w:t xml:space="preserve">esults. In: Guyatt G, Rennie D, Meade MO, Cook DJ, eds. </w:t>
      </w:r>
      <w:r w:rsidRPr="008C300A">
        <w:rPr>
          <w:i/>
          <w:noProof/>
          <w:sz w:val="22"/>
          <w:szCs w:val="22"/>
        </w:rPr>
        <w:t>Users' Guides to the Medical Literature: A Manual for Evidence-Based Clinical Practice</w:t>
      </w:r>
      <w:r w:rsidRPr="008C300A">
        <w:rPr>
          <w:noProof/>
          <w:sz w:val="22"/>
          <w:szCs w:val="22"/>
        </w:rPr>
        <w:t>. New York. NY: The McGraw-Hill Companies, Inc; 2008:568-569.</w:t>
      </w:r>
      <w:bookmarkEnd w:id="6"/>
    </w:p>
    <w:p w:rsidR="0002496E" w:rsidRPr="008C300A" w:rsidRDefault="0002496E" w:rsidP="0002496E">
      <w:pPr>
        <w:rPr>
          <w:noProof/>
          <w:sz w:val="22"/>
          <w:szCs w:val="22"/>
        </w:rPr>
      </w:pPr>
      <w:bookmarkStart w:id="7" w:name="_ENREF_8"/>
      <w:r w:rsidRPr="008C300A">
        <w:rPr>
          <w:noProof/>
          <w:sz w:val="22"/>
          <w:szCs w:val="22"/>
        </w:rPr>
        <w:tab/>
        <w:t>8.</w:t>
      </w:r>
      <w:r w:rsidRPr="008C300A">
        <w:rPr>
          <w:noProof/>
          <w:sz w:val="22"/>
          <w:szCs w:val="22"/>
        </w:rPr>
        <w:tab/>
        <w:t>Asahina H, Yamazaki K, Kinoshita I</w:t>
      </w:r>
      <w:r w:rsidR="00AD1610" w:rsidRPr="008C300A">
        <w:rPr>
          <w:noProof/>
          <w:sz w:val="22"/>
          <w:szCs w:val="22"/>
        </w:rPr>
        <w:t>,</w:t>
      </w:r>
      <w:r w:rsidRPr="008C300A">
        <w:rPr>
          <w:noProof/>
          <w:sz w:val="22"/>
          <w:szCs w:val="22"/>
        </w:rPr>
        <w:t xml:space="preserve"> et al. A phase II trial of gefitinib as first-line therapy for advanced non-small cell lung cancer with epidermal growth factor receptor mutations. </w:t>
      </w:r>
      <w:r w:rsidRPr="008C300A">
        <w:rPr>
          <w:i/>
          <w:noProof/>
          <w:sz w:val="22"/>
          <w:szCs w:val="22"/>
        </w:rPr>
        <w:t>Br J Cancer</w:t>
      </w:r>
      <w:r w:rsidRPr="008C300A">
        <w:rPr>
          <w:noProof/>
          <w:sz w:val="22"/>
          <w:szCs w:val="22"/>
        </w:rPr>
        <w:t>. 2006;95(8):998-1004.</w:t>
      </w:r>
      <w:bookmarkEnd w:id="7"/>
    </w:p>
    <w:p w:rsidR="0002496E" w:rsidRPr="008C300A" w:rsidRDefault="0002496E" w:rsidP="0002496E">
      <w:pPr>
        <w:rPr>
          <w:noProof/>
          <w:sz w:val="22"/>
          <w:szCs w:val="22"/>
        </w:rPr>
      </w:pPr>
      <w:bookmarkStart w:id="8" w:name="_ENREF_9"/>
      <w:r w:rsidRPr="008C300A">
        <w:rPr>
          <w:noProof/>
          <w:sz w:val="22"/>
          <w:szCs w:val="22"/>
        </w:rPr>
        <w:tab/>
        <w:t>9.</w:t>
      </w:r>
      <w:r w:rsidRPr="008C300A">
        <w:rPr>
          <w:noProof/>
          <w:sz w:val="22"/>
          <w:szCs w:val="22"/>
        </w:rPr>
        <w:tab/>
        <w:t>Bae NC, Chae MH, Lee MH</w:t>
      </w:r>
      <w:r w:rsidR="00AD1610" w:rsidRPr="008C300A">
        <w:rPr>
          <w:noProof/>
          <w:sz w:val="22"/>
          <w:szCs w:val="22"/>
        </w:rPr>
        <w:t>,</w:t>
      </w:r>
      <w:r w:rsidRPr="008C300A">
        <w:rPr>
          <w:noProof/>
          <w:sz w:val="22"/>
          <w:szCs w:val="22"/>
        </w:rPr>
        <w:t xml:space="preserve"> et al. EGFR, ERBB2, and KRAS mutations in Korean non-small cell lung cancer patients. </w:t>
      </w:r>
      <w:r w:rsidRPr="008C300A">
        <w:rPr>
          <w:i/>
          <w:noProof/>
          <w:sz w:val="22"/>
          <w:szCs w:val="22"/>
        </w:rPr>
        <w:t>Cancer Genet Cytogenet</w:t>
      </w:r>
      <w:r w:rsidRPr="008C300A">
        <w:rPr>
          <w:noProof/>
          <w:sz w:val="22"/>
          <w:szCs w:val="22"/>
        </w:rPr>
        <w:t>. 2007;173(2):107-113.</w:t>
      </w:r>
      <w:bookmarkEnd w:id="8"/>
    </w:p>
    <w:p w:rsidR="0002496E" w:rsidRPr="008C300A" w:rsidRDefault="0002496E" w:rsidP="0002496E">
      <w:pPr>
        <w:rPr>
          <w:noProof/>
          <w:sz w:val="22"/>
          <w:szCs w:val="22"/>
        </w:rPr>
      </w:pPr>
      <w:bookmarkStart w:id="9" w:name="_ENREF_10"/>
      <w:r w:rsidRPr="008C300A">
        <w:rPr>
          <w:noProof/>
          <w:sz w:val="22"/>
          <w:szCs w:val="22"/>
        </w:rPr>
        <w:tab/>
        <w:t>10.</w:t>
      </w:r>
      <w:r w:rsidRPr="008C300A">
        <w:rPr>
          <w:noProof/>
          <w:sz w:val="22"/>
          <w:szCs w:val="22"/>
        </w:rPr>
        <w:tab/>
        <w:t>Girard N, Sima CS, Jackman DM</w:t>
      </w:r>
      <w:r w:rsidR="00AD1610" w:rsidRPr="008C300A">
        <w:rPr>
          <w:noProof/>
          <w:sz w:val="22"/>
          <w:szCs w:val="22"/>
        </w:rPr>
        <w:t>,</w:t>
      </w:r>
      <w:r w:rsidRPr="008C300A">
        <w:rPr>
          <w:noProof/>
          <w:sz w:val="22"/>
          <w:szCs w:val="22"/>
        </w:rPr>
        <w:t xml:space="preserve"> et al. Nomogram to predict the presence of EGFR activating mutation in lung adenocarcinoma. </w:t>
      </w:r>
      <w:r w:rsidRPr="008C300A">
        <w:rPr>
          <w:i/>
          <w:noProof/>
          <w:sz w:val="22"/>
          <w:szCs w:val="22"/>
        </w:rPr>
        <w:t>Eur Respir J</w:t>
      </w:r>
      <w:r w:rsidRPr="008C300A">
        <w:rPr>
          <w:noProof/>
          <w:sz w:val="22"/>
          <w:szCs w:val="22"/>
        </w:rPr>
        <w:t>. 2012;39(2):366-372.</w:t>
      </w:r>
      <w:bookmarkEnd w:id="9"/>
    </w:p>
    <w:p w:rsidR="0002496E" w:rsidRPr="008C300A" w:rsidRDefault="0002496E" w:rsidP="0002496E">
      <w:pPr>
        <w:rPr>
          <w:noProof/>
          <w:sz w:val="22"/>
          <w:szCs w:val="22"/>
        </w:rPr>
      </w:pPr>
      <w:bookmarkStart w:id="10" w:name="_ENREF_11"/>
      <w:r w:rsidRPr="008C300A">
        <w:rPr>
          <w:noProof/>
          <w:sz w:val="22"/>
          <w:szCs w:val="22"/>
        </w:rPr>
        <w:tab/>
        <w:t>11.</w:t>
      </w:r>
      <w:r w:rsidRPr="008C300A">
        <w:rPr>
          <w:noProof/>
          <w:sz w:val="22"/>
          <w:szCs w:val="22"/>
        </w:rPr>
        <w:tab/>
        <w:t>Haneda H, Sasaki H, Lindeman N</w:t>
      </w:r>
      <w:r w:rsidR="00AD1610" w:rsidRPr="008C300A">
        <w:rPr>
          <w:noProof/>
          <w:sz w:val="22"/>
          <w:szCs w:val="22"/>
        </w:rPr>
        <w:t>,</w:t>
      </w:r>
      <w:r w:rsidRPr="008C300A">
        <w:rPr>
          <w:noProof/>
          <w:sz w:val="22"/>
          <w:szCs w:val="22"/>
        </w:rPr>
        <w:t xml:space="preserve"> et al. A correlation between EGFR gene mutation status and bronchioloalveolar carcinoma features in Japanese patients with adenocarcinoma. </w:t>
      </w:r>
      <w:r w:rsidRPr="008C300A">
        <w:rPr>
          <w:i/>
          <w:noProof/>
          <w:sz w:val="22"/>
          <w:szCs w:val="22"/>
        </w:rPr>
        <w:t>Jpn J Clin Oncol</w:t>
      </w:r>
      <w:r w:rsidRPr="008C300A">
        <w:rPr>
          <w:noProof/>
          <w:sz w:val="22"/>
          <w:szCs w:val="22"/>
        </w:rPr>
        <w:t>. 2006;36(2):69-75.</w:t>
      </w:r>
      <w:bookmarkEnd w:id="10"/>
    </w:p>
    <w:p w:rsidR="0002496E" w:rsidRPr="008C300A" w:rsidRDefault="0002496E" w:rsidP="0002496E">
      <w:pPr>
        <w:rPr>
          <w:noProof/>
          <w:sz w:val="22"/>
          <w:szCs w:val="22"/>
        </w:rPr>
      </w:pPr>
      <w:bookmarkStart w:id="11" w:name="_ENREF_12"/>
      <w:r w:rsidRPr="008C300A">
        <w:rPr>
          <w:noProof/>
          <w:sz w:val="22"/>
          <w:szCs w:val="22"/>
        </w:rPr>
        <w:tab/>
        <w:t>12.</w:t>
      </w:r>
      <w:r w:rsidRPr="008C300A">
        <w:rPr>
          <w:noProof/>
          <w:sz w:val="22"/>
          <w:szCs w:val="22"/>
        </w:rPr>
        <w:tab/>
        <w:t>Hotta K, Kiura K, Toyooka S</w:t>
      </w:r>
      <w:r w:rsidR="00DB7B08" w:rsidRPr="008C300A">
        <w:rPr>
          <w:noProof/>
          <w:sz w:val="22"/>
          <w:szCs w:val="22"/>
        </w:rPr>
        <w:t>,</w:t>
      </w:r>
      <w:r w:rsidRPr="008C300A">
        <w:rPr>
          <w:noProof/>
          <w:sz w:val="22"/>
          <w:szCs w:val="22"/>
        </w:rPr>
        <w:t xml:space="preserve"> et al. Clinical significance of epidermal growth factor receptor gene mutations on treatment outcome after first-line cytotoxic chemotherapy in Japanese patients with non-small cell lung cancer. </w:t>
      </w:r>
      <w:r w:rsidRPr="008C300A">
        <w:rPr>
          <w:i/>
          <w:noProof/>
          <w:sz w:val="22"/>
          <w:szCs w:val="22"/>
        </w:rPr>
        <w:t>J Thorac Oncol</w:t>
      </w:r>
      <w:r w:rsidRPr="008C300A">
        <w:rPr>
          <w:noProof/>
          <w:sz w:val="22"/>
          <w:szCs w:val="22"/>
        </w:rPr>
        <w:t>. 2007;2(7):632-637.</w:t>
      </w:r>
      <w:bookmarkEnd w:id="11"/>
    </w:p>
    <w:p w:rsidR="0002496E" w:rsidRPr="008C300A" w:rsidRDefault="0002496E" w:rsidP="0002496E">
      <w:pPr>
        <w:rPr>
          <w:noProof/>
          <w:sz w:val="22"/>
          <w:szCs w:val="22"/>
        </w:rPr>
      </w:pPr>
      <w:bookmarkStart w:id="12" w:name="_ENREF_13"/>
      <w:r w:rsidRPr="008C300A">
        <w:rPr>
          <w:noProof/>
          <w:sz w:val="22"/>
          <w:szCs w:val="22"/>
        </w:rPr>
        <w:tab/>
        <w:t>13.</w:t>
      </w:r>
      <w:r w:rsidRPr="008C300A">
        <w:rPr>
          <w:noProof/>
          <w:sz w:val="22"/>
          <w:szCs w:val="22"/>
        </w:rPr>
        <w:tab/>
        <w:t>Huang SF, Liu HP, Li LH</w:t>
      </w:r>
      <w:r w:rsidR="00DB7B08" w:rsidRPr="008C300A">
        <w:rPr>
          <w:noProof/>
          <w:sz w:val="22"/>
          <w:szCs w:val="22"/>
        </w:rPr>
        <w:t>,</w:t>
      </w:r>
      <w:r w:rsidRPr="008C300A">
        <w:rPr>
          <w:noProof/>
          <w:sz w:val="22"/>
          <w:szCs w:val="22"/>
        </w:rPr>
        <w:t xml:space="preserve"> et al. High frequency of epidermal growth factor receptor mutations with complex patterns in non-small cell lung cancers related to gefitinib responsiveness in Taiwan. </w:t>
      </w:r>
      <w:r w:rsidRPr="008C300A">
        <w:rPr>
          <w:i/>
          <w:noProof/>
          <w:sz w:val="22"/>
          <w:szCs w:val="22"/>
        </w:rPr>
        <w:t>Clin Cancer Res</w:t>
      </w:r>
      <w:r w:rsidRPr="008C300A">
        <w:rPr>
          <w:noProof/>
          <w:sz w:val="22"/>
          <w:szCs w:val="22"/>
        </w:rPr>
        <w:t>. 2004;10(24):8195-8203.</w:t>
      </w:r>
      <w:bookmarkEnd w:id="12"/>
    </w:p>
    <w:p w:rsidR="0002496E" w:rsidRPr="008C300A" w:rsidRDefault="0002496E" w:rsidP="0002496E">
      <w:pPr>
        <w:rPr>
          <w:noProof/>
          <w:sz w:val="22"/>
          <w:szCs w:val="22"/>
        </w:rPr>
      </w:pPr>
      <w:bookmarkStart w:id="13" w:name="_ENREF_14"/>
      <w:r w:rsidRPr="008C300A">
        <w:rPr>
          <w:noProof/>
          <w:sz w:val="22"/>
          <w:szCs w:val="22"/>
        </w:rPr>
        <w:tab/>
        <w:t>14.</w:t>
      </w:r>
      <w:r w:rsidRPr="008C300A">
        <w:rPr>
          <w:noProof/>
          <w:sz w:val="22"/>
          <w:szCs w:val="22"/>
        </w:rPr>
        <w:tab/>
        <w:t>Inoue A, Suzuki T, Fukuhara T</w:t>
      </w:r>
      <w:r w:rsidR="00DB7B08" w:rsidRPr="008C300A">
        <w:rPr>
          <w:noProof/>
          <w:sz w:val="22"/>
          <w:szCs w:val="22"/>
        </w:rPr>
        <w:t>,</w:t>
      </w:r>
      <w:r w:rsidRPr="008C300A">
        <w:rPr>
          <w:noProof/>
          <w:sz w:val="22"/>
          <w:szCs w:val="22"/>
        </w:rPr>
        <w:t xml:space="preserve"> et al. Prospective phase II study of gefitinib for chemotherapy-naive patients with advanced non-small-cell lung cancer with epidermal growth factor receptor gene mutations. </w:t>
      </w:r>
      <w:r w:rsidRPr="008C300A">
        <w:rPr>
          <w:i/>
          <w:noProof/>
          <w:sz w:val="22"/>
          <w:szCs w:val="22"/>
        </w:rPr>
        <w:t>J Clin Oncol</w:t>
      </w:r>
      <w:r w:rsidRPr="008C300A">
        <w:rPr>
          <w:noProof/>
          <w:sz w:val="22"/>
          <w:szCs w:val="22"/>
        </w:rPr>
        <w:t>. 2006;24(21):3340-3346.</w:t>
      </w:r>
      <w:bookmarkEnd w:id="13"/>
    </w:p>
    <w:p w:rsidR="0002496E" w:rsidRPr="008C300A" w:rsidRDefault="0002496E" w:rsidP="0002496E">
      <w:pPr>
        <w:rPr>
          <w:noProof/>
          <w:sz w:val="22"/>
          <w:szCs w:val="22"/>
        </w:rPr>
      </w:pPr>
      <w:bookmarkStart w:id="14" w:name="_ENREF_15"/>
      <w:r w:rsidRPr="008C300A">
        <w:rPr>
          <w:noProof/>
          <w:sz w:val="22"/>
          <w:szCs w:val="22"/>
        </w:rPr>
        <w:tab/>
        <w:t>15.</w:t>
      </w:r>
      <w:r w:rsidRPr="008C300A">
        <w:rPr>
          <w:noProof/>
          <w:sz w:val="22"/>
          <w:szCs w:val="22"/>
        </w:rPr>
        <w:tab/>
        <w:t>Kang SM, Kang HJ, Shin JH</w:t>
      </w:r>
      <w:r w:rsidR="00DB7B08" w:rsidRPr="008C300A">
        <w:rPr>
          <w:noProof/>
          <w:sz w:val="22"/>
          <w:szCs w:val="22"/>
        </w:rPr>
        <w:t>,</w:t>
      </w:r>
      <w:r w:rsidRPr="008C300A">
        <w:rPr>
          <w:noProof/>
          <w:sz w:val="22"/>
          <w:szCs w:val="22"/>
        </w:rPr>
        <w:t xml:space="preserve"> et al. Identical epidermal growth factor receptor mutations in adenocarcinomatous and squamous cell carcinomatous components of adenosquamous carcinoma of the lung. </w:t>
      </w:r>
      <w:r w:rsidRPr="008C300A">
        <w:rPr>
          <w:i/>
          <w:noProof/>
          <w:sz w:val="22"/>
          <w:szCs w:val="22"/>
        </w:rPr>
        <w:t>Cancer</w:t>
      </w:r>
      <w:r w:rsidRPr="008C300A">
        <w:rPr>
          <w:noProof/>
          <w:sz w:val="22"/>
          <w:szCs w:val="22"/>
        </w:rPr>
        <w:t>. 2007;109(3):581-587.</w:t>
      </w:r>
      <w:bookmarkEnd w:id="14"/>
    </w:p>
    <w:p w:rsidR="0002496E" w:rsidRPr="008C300A" w:rsidRDefault="0002496E" w:rsidP="0002496E">
      <w:pPr>
        <w:rPr>
          <w:noProof/>
          <w:sz w:val="22"/>
          <w:szCs w:val="22"/>
        </w:rPr>
      </w:pPr>
      <w:bookmarkStart w:id="15" w:name="_ENREF_16"/>
      <w:r w:rsidRPr="008C300A">
        <w:rPr>
          <w:noProof/>
          <w:sz w:val="22"/>
          <w:szCs w:val="22"/>
        </w:rPr>
        <w:tab/>
        <w:t>16.</w:t>
      </w:r>
      <w:r w:rsidRPr="008C300A">
        <w:rPr>
          <w:noProof/>
          <w:sz w:val="22"/>
          <w:szCs w:val="22"/>
        </w:rPr>
        <w:tab/>
        <w:t>Kawada I, Soejima K, Watanabe H</w:t>
      </w:r>
      <w:r w:rsidR="00DB7B08" w:rsidRPr="008C300A">
        <w:rPr>
          <w:noProof/>
          <w:sz w:val="22"/>
          <w:szCs w:val="22"/>
        </w:rPr>
        <w:t>,</w:t>
      </w:r>
      <w:r w:rsidRPr="008C300A">
        <w:rPr>
          <w:noProof/>
          <w:sz w:val="22"/>
          <w:szCs w:val="22"/>
        </w:rPr>
        <w:t xml:space="preserve"> et al. An alternative method for screening EGFR mutation using RFLP in non-small cell lung cancer patients. </w:t>
      </w:r>
      <w:r w:rsidRPr="008C300A">
        <w:rPr>
          <w:i/>
          <w:noProof/>
          <w:sz w:val="22"/>
          <w:szCs w:val="22"/>
        </w:rPr>
        <w:t>J Thorac Oncol</w:t>
      </w:r>
      <w:r w:rsidRPr="008C300A">
        <w:rPr>
          <w:noProof/>
          <w:sz w:val="22"/>
          <w:szCs w:val="22"/>
        </w:rPr>
        <w:t>. 2008;3(10):1096-1103.</w:t>
      </w:r>
      <w:bookmarkEnd w:id="15"/>
    </w:p>
    <w:p w:rsidR="0002496E" w:rsidRPr="008C300A" w:rsidRDefault="0002496E" w:rsidP="0002496E">
      <w:pPr>
        <w:rPr>
          <w:noProof/>
          <w:sz w:val="22"/>
          <w:szCs w:val="22"/>
        </w:rPr>
      </w:pPr>
      <w:bookmarkStart w:id="16" w:name="_ENREF_17"/>
      <w:r w:rsidRPr="008C300A">
        <w:rPr>
          <w:noProof/>
          <w:sz w:val="22"/>
          <w:szCs w:val="22"/>
        </w:rPr>
        <w:tab/>
        <w:t>17.</w:t>
      </w:r>
      <w:r w:rsidRPr="008C300A">
        <w:rPr>
          <w:noProof/>
          <w:sz w:val="22"/>
          <w:szCs w:val="22"/>
        </w:rPr>
        <w:tab/>
        <w:t>Kondo M, Yokoyama T, Fukui T</w:t>
      </w:r>
      <w:r w:rsidR="00DB7B08" w:rsidRPr="008C300A">
        <w:rPr>
          <w:noProof/>
          <w:sz w:val="22"/>
          <w:szCs w:val="22"/>
        </w:rPr>
        <w:t>,</w:t>
      </w:r>
      <w:r w:rsidRPr="008C300A">
        <w:rPr>
          <w:noProof/>
          <w:sz w:val="22"/>
          <w:szCs w:val="22"/>
        </w:rPr>
        <w:t xml:space="preserve"> et al. Mutations of epidermal growth factor receptor of non-small cell lung cancer were associated with sensitivity to gefitinib in recurrence after surgery. </w:t>
      </w:r>
      <w:r w:rsidRPr="008C300A">
        <w:rPr>
          <w:i/>
          <w:noProof/>
          <w:sz w:val="22"/>
          <w:szCs w:val="22"/>
        </w:rPr>
        <w:t>Lung Cancer</w:t>
      </w:r>
      <w:r w:rsidRPr="008C300A">
        <w:rPr>
          <w:noProof/>
          <w:sz w:val="22"/>
          <w:szCs w:val="22"/>
        </w:rPr>
        <w:t>. 2005;50(3):385-391.</w:t>
      </w:r>
      <w:bookmarkEnd w:id="16"/>
    </w:p>
    <w:p w:rsidR="0002496E" w:rsidRPr="008C300A" w:rsidRDefault="0002496E" w:rsidP="0002496E">
      <w:pPr>
        <w:rPr>
          <w:noProof/>
          <w:sz w:val="22"/>
          <w:szCs w:val="22"/>
        </w:rPr>
      </w:pPr>
      <w:bookmarkStart w:id="17" w:name="_ENREF_18"/>
      <w:r w:rsidRPr="008C300A">
        <w:rPr>
          <w:noProof/>
          <w:sz w:val="22"/>
          <w:szCs w:val="22"/>
        </w:rPr>
        <w:lastRenderedPageBreak/>
        <w:tab/>
        <w:t>18.</w:t>
      </w:r>
      <w:r w:rsidRPr="008C300A">
        <w:rPr>
          <w:noProof/>
          <w:sz w:val="22"/>
          <w:szCs w:val="22"/>
        </w:rPr>
        <w:tab/>
        <w:t>Lee YJ, Park IK, Park MS</w:t>
      </w:r>
      <w:r w:rsidR="00DB7B08" w:rsidRPr="008C300A">
        <w:rPr>
          <w:noProof/>
          <w:sz w:val="22"/>
          <w:szCs w:val="22"/>
        </w:rPr>
        <w:t>,</w:t>
      </w:r>
      <w:r w:rsidRPr="008C300A">
        <w:rPr>
          <w:noProof/>
          <w:sz w:val="22"/>
          <w:szCs w:val="22"/>
        </w:rPr>
        <w:t xml:space="preserve"> et al. Activating mutations within the EGFR kinase domain: a molecular predictor of disease-free survival in resected pulmonary adenocarcinoma. </w:t>
      </w:r>
      <w:r w:rsidRPr="008C300A">
        <w:rPr>
          <w:i/>
          <w:noProof/>
          <w:sz w:val="22"/>
          <w:szCs w:val="22"/>
        </w:rPr>
        <w:t>J Cancer Res Clin Oncol</w:t>
      </w:r>
      <w:r w:rsidRPr="008C300A">
        <w:rPr>
          <w:noProof/>
          <w:sz w:val="22"/>
          <w:szCs w:val="22"/>
        </w:rPr>
        <w:t>. 2009;135(12):1647-1654.</w:t>
      </w:r>
      <w:bookmarkEnd w:id="17"/>
    </w:p>
    <w:p w:rsidR="0002496E" w:rsidRPr="008C300A" w:rsidRDefault="0002496E" w:rsidP="0002496E">
      <w:pPr>
        <w:rPr>
          <w:noProof/>
          <w:sz w:val="22"/>
          <w:szCs w:val="22"/>
        </w:rPr>
      </w:pPr>
      <w:bookmarkStart w:id="18" w:name="_ENREF_19"/>
      <w:r w:rsidRPr="008C300A">
        <w:rPr>
          <w:noProof/>
          <w:sz w:val="22"/>
          <w:szCs w:val="22"/>
        </w:rPr>
        <w:tab/>
        <w:t>19.</w:t>
      </w:r>
      <w:r w:rsidRPr="008C300A">
        <w:rPr>
          <w:noProof/>
          <w:sz w:val="22"/>
          <w:szCs w:val="22"/>
        </w:rPr>
        <w:tab/>
        <w:t xml:space="preserve">Liu Y, Xu ML, Zhong HH, Heng WJ, Wu BQ. EGFR mutations are more frequent in well-differentiated than in poor-differentiated lung adenocarcinomas. </w:t>
      </w:r>
      <w:r w:rsidRPr="008C300A">
        <w:rPr>
          <w:i/>
          <w:noProof/>
          <w:sz w:val="22"/>
          <w:szCs w:val="22"/>
        </w:rPr>
        <w:t>Pathol Oncol Res</w:t>
      </w:r>
      <w:r w:rsidRPr="008C300A">
        <w:rPr>
          <w:noProof/>
          <w:sz w:val="22"/>
          <w:szCs w:val="22"/>
        </w:rPr>
        <w:t>. 2008;14(4):373-379.</w:t>
      </w:r>
      <w:bookmarkEnd w:id="18"/>
    </w:p>
    <w:p w:rsidR="0002496E" w:rsidRPr="008C300A" w:rsidRDefault="0002496E" w:rsidP="0002496E">
      <w:pPr>
        <w:rPr>
          <w:noProof/>
          <w:sz w:val="22"/>
          <w:szCs w:val="22"/>
        </w:rPr>
      </w:pPr>
      <w:bookmarkStart w:id="19" w:name="_ENREF_20"/>
      <w:r w:rsidRPr="008C300A">
        <w:rPr>
          <w:noProof/>
          <w:sz w:val="22"/>
          <w:szCs w:val="22"/>
        </w:rPr>
        <w:tab/>
        <w:t>20.</w:t>
      </w:r>
      <w:r w:rsidRPr="008C300A">
        <w:rPr>
          <w:noProof/>
          <w:sz w:val="22"/>
          <w:szCs w:val="22"/>
        </w:rPr>
        <w:tab/>
        <w:t>Massarelli E, Varella-Garcia M, Tang X</w:t>
      </w:r>
      <w:r w:rsidR="00DB7B08" w:rsidRPr="008C300A">
        <w:rPr>
          <w:noProof/>
          <w:sz w:val="22"/>
          <w:szCs w:val="22"/>
        </w:rPr>
        <w:t>,</w:t>
      </w:r>
      <w:r w:rsidRPr="008C300A">
        <w:rPr>
          <w:noProof/>
          <w:sz w:val="22"/>
          <w:szCs w:val="22"/>
        </w:rPr>
        <w:t xml:space="preserve"> et al. KRAS mutation is an important predictor of resistance to therapy with epidermal growth factor receptor tyrosine kinase inhibitors in non-small-cell lung cancer. </w:t>
      </w:r>
      <w:r w:rsidRPr="008C300A">
        <w:rPr>
          <w:i/>
          <w:noProof/>
          <w:sz w:val="22"/>
          <w:szCs w:val="22"/>
        </w:rPr>
        <w:t>Clin Cancer Res</w:t>
      </w:r>
      <w:r w:rsidRPr="008C300A">
        <w:rPr>
          <w:noProof/>
          <w:sz w:val="22"/>
          <w:szCs w:val="22"/>
        </w:rPr>
        <w:t>. 2007;13(10):2890-2896.</w:t>
      </w:r>
      <w:bookmarkEnd w:id="19"/>
    </w:p>
    <w:p w:rsidR="0002496E" w:rsidRPr="008C300A" w:rsidRDefault="0002496E" w:rsidP="0002496E">
      <w:pPr>
        <w:rPr>
          <w:noProof/>
          <w:sz w:val="22"/>
          <w:szCs w:val="22"/>
        </w:rPr>
      </w:pPr>
      <w:bookmarkStart w:id="20" w:name="_ENREF_21"/>
      <w:r w:rsidRPr="008C300A">
        <w:rPr>
          <w:noProof/>
          <w:sz w:val="22"/>
          <w:szCs w:val="22"/>
        </w:rPr>
        <w:tab/>
        <w:t>21.</w:t>
      </w:r>
      <w:r w:rsidRPr="008C300A">
        <w:rPr>
          <w:noProof/>
          <w:sz w:val="22"/>
          <w:szCs w:val="22"/>
        </w:rPr>
        <w:tab/>
        <w:t>Mok TS, Wu YL, Thongprasert S</w:t>
      </w:r>
      <w:r w:rsidR="00DB7B08" w:rsidRPr="008C300A">
        <w:rPr>
          <w:noProof/>
          <w:sz w:val="22"/>
          <w:szCs w:val="22"/>
        </w:rPr>
        <w:t>,</w:t>
      </w:r>
      <w:r w:rsidRPr="008C300A">
        <w:rPr>
          <w:noProof/>
          <w:sz w:val="22"/>
          <w:szCs w:val="22"/>
        </w:rPr>
        <w:t xml:space="preserve"> et al. Gefitinib or carboplatin-paclitaxel in pulmonary adenocarcinoma. </w:t>
      </w:r>
      <w:r w:rsidRPr="008C300A">
        <w:rPr>
          <w:i/>
          <w:noProof/>
          <w:sz w:val="22"/>
          <w:szCs w:val="22"/>
        </w:rPr>
        <w:t>N Engl J Med</w:t>
      </w:r>
      <w:r w:rsidRPr="008C300A">
        <w:rPr>
          <w:noProof/>
          <w:sz w:val="22"/>
          <w:szCs w:val="22"/>
        </w:rPr>
        <w:t>. 2009;361(10):947-957.</w:t>
      </w:r>
      <w:bookmarkEnd w:id="20"/>
    </w:p>
    <w:p w:rsidR="0002496E" w:rsidRPr="008C300A" w:rsidRDefault="0002496E" w:rsidP="0002496E">
      <w:pPr>
        <w:rPr>
          <w:noProof/>
          <w:sz w:val="22"/>
          <w:szCs w:val="22"/>
        </w:rPr>
      </w:pPr>
      <w:bookmarkStart w:id="21" w:name="_ENREF_22"/>
      <w:r w:rsidRPr="008C300A">
        <w:rPr>
          <w:noProof/>
          <w:sz w:val="22"/>
          <w:szCs w:val="22"/>
        </w:rPr>
        <w:tab/>
        <w:t>22.</w:t>
      </w:r>
      <w:r w:rsidRPr="008C300A">
        <w:rPr>
          <w:noProof/>
          <w:sz w:val="22"/>
          <w:szCs w:val="22"/>
        </w:rPr>
        <w:tab/>
        <w:t>Riely GJ, Pao W, Pham D</w:t>
      </w:r>
      <w:r w:rsidR="00DB7B08" w:rsidRPr="008C300A">
        <w:rPr>
          <w:noProof/>
          <w:sz w:val="22"/>
          <w:szCs w:val="22"/>
        </w:rPr>
        <w:t>,</w:t>
      </w:r>
      <w:r w:rsidRPr="008C300A">
        <w:rPr>
          <w:noProof/>
          <w:sz w:val="22"/>
          <w:szCs w:val="22"/>
        </w:rPr>
        <w:t xml:space="preserve"> et al. Clinical course of patients with non-small cell lung cancer and epidermal growth factor receptor exon 19 and exon 21 mutations treated with gefitinib or erlotinib. </w:t>
      </w:r>
      <w:r w:rsidRPr="008C300A">
        <w:rPr>
          <w:i/>
          <w:noProof/>
          <w:sz w:val="22"/>
          <w:szCs w:val="22"/>
        </w:rPr>
        <w:t>Clin Cancer Res</w:t>
      </w:r>
      <w:r w:rsidRPr="008C300A">
        <w:rPr>
          <w:noProof/>
          <w:sz w:val="22"/>
          <w:szCs w:val="22"/>
        </w:rPr>
        <w:t>. 2006;12(3 Pt 1):839-844.</w:t>
      </w:r>
      <w:bookmarkEnd w:id="21"/>
    </w:p>
    <w:p w:rsidR="0002496E" w:rsidRPr="008C300A" w:rsidRDefault="0002496E" w:rsidP="0002496E">
      <w:pPr>
        <w:rPr>
          <w:noProof/>
          <w:sz w:val="22"/>
          <w:szCs w:val="22"/>
        </w:rPr>
      </w:pPr>
      <w:bookmarkStart w:id="22" w:name="_ENREF_23"/>
      <w:r w:rsidRPr="008C300A">
        <w:rPr>
          <w:noProof/>
          <w:sz w:val="22"/>
          <w:szCs w:val="22"/>
        </w:rPr>
        <w:tab/>
        <w:t>23.</w:t>
      </w:r>
      <w:r w:rsidRPr="008C300A">
        <w:rPr>
          <w:noProof/>
          <w:sz w:val="22"/>
          <w:szCs w:val="22"/>
        </w:rPr>
        <w:tab/>
        <w:t>Sasaki H, Endo K, Okuda K</w:t>
      </w:r>
      <w:r w:rsidR="00DB7B08" w:rsidRPr="008C300A">
        <w:rPr>
          <w:noProof/>
          <w:sz w:val="22"/>
          <w:szCs w:val="22"/>
        </w:rPr>
        <w:t>,</w:t>
      </w:r>
      <w:r w:rsidRPr="008C300A">
        <w:rPr>
          <w:noProof/>
          <w:sz w:val="22"/>
          <w:szCs w:val="22"/>
        </w:rPr>
        <w:t xml:space="preserve"> et al. Epidermal growth factor receptor gene amplification and gefitinib sensitivity in patients with recurrent lung cancer. </w:t>
      </w:r>
      <w:r w:rsidRPr="008C300A">
        <w:rPr>
          <w:i/>
          <w:noProof/>
          <w:sz w:val="22"/>
          <w:szCs w:val="22"/>
        </w:rPr>
        <w:t>J Cancer Res Clin Oncol</w:t>
      </w:r>
      <w:r w:rsidRPr="008C300A">
        <w:rPr>
          <w:noProof/>
          <w:sz w:val="22"/>
          <w:szCs w:val="22"/>
        </w:rPr>
        <w:t>. 2008;134(5):569-577.</w:t>
      </w:r>
      <w:bookmarkEnd w:id="22"/>
    </w:p>
    <w:p w:rsidR="0002496E" w:rsidRPr="008C300A" w:rsidRDefault="0002496E" w:rsidP="0002496E">
      <w:pPr>
        <w:rPr>
          <w:noProof/>
          <w:sz w:val="22"/>
          <w:szCs w:val="22"/>
        </w:rPr>
      </w:pPr>
      <w:bookmarkStart w:id="23" w:name="_ENREF_24"/>
      <w:r w:rsidRPr="008C300A">
        <w:rPr>
          <w:noProof/>
          <w:sz w:val="22"/>
          <w:szCs w:val="22"/>
        </w:rPr>
        <w:tab/>
        <w:t>24.</w:t>
      </w:r>
      <w:r w:rsidRPr="008C300A">
        <w:rPr>
          <w:noProof/>
          <w:sz w:val="22"/>
          <w:szCs w:val="22"/>
        </w:rPr>
        <w:tab/>
        <w:t>Satouchi M, Negoro S, Funada Y</w:t>
      </w:r>
      <w:r w:rsidR="00DB7B08" w:rsidRPr="008C300A">
        <w:rPr>
          <w:noProof/>
          <w:sz w:val="22"/>
          <w:szCs w:val="22"/>
        </w:rPr>
        <w:t>,</w:t>
      </w:r>
      <w:r w:rsidRPr="008C300A">
        <w:rPr>
          <w:noProof/>
          <w:sz w:val="22"/>
          <w:szCs w:val="22"/>
        </w:rPr>
        <w:t xml:space="preserve"> et al. Predictive factors associated with prolonged survival in patients with advanced non-small-cell lung cancer (NSCLC) treated with gefitinib. </w:t>
      </w:r>
      <w:r w:rsidRPr="008C300A">
        <w:rPr>
          <w:i/>
          <w:noProof/>
          <w:sz w:val="22"/>
          <w:szCs w:val="22"/>
        </w:rPr>
        <w:t>Br J Cancer</w:t>
      </w:r>
      <w:r w:rsidRPr="008C300A">
        <w:rPr>
          <w:noProof/>
          <w:sz w:val="22"/>
          <w:szCs w:val="22"/>
        </w:rPr>
        <w:t>. 2007;96(8):1191-1196.</w:t>
      </w:r>
      <w:bookmarkEnd w:id="23"/>
    </w:p>
    <w:p w:rsidR="0002496E" w:rsidRPr="008C300A" w:rsidRDefault="0002496E" w:rsidP="0002496E">
      <w:pPr>
        <w:rPr>
          <w:noProof/>
          <w:sz w:val="22"/>
          <w:szCs w:val="22"/>
        </w:rPr>
      </w:pPr>
      <w:bookmarkStart w:id="24" w:name="_ENREF_25"/>
      <w:r w:rsidRPr="008C300A">
        <w:rPr>
          <w:noProof/>
          <w:sz w:val="22"/>
          <w:szCs w:val="22"/>
        </w:rPr>
        <w:tab/>
        <w:t>25.</w:t>
      </w:r>
      <w:r w:rsidRPr="008C300A">
        <w:rPr>
          <w:noProof/>
          <w:sz w:val="22"/>
          <w:szCs w:val="22"/>
        </w:rPr>
        <w:tab/>
        <w:t>Shaw AT, Yeap BY, Mino-Kenudson M</w:t>
      </w:r>
      <w:r w:rsidR="00DB7B08" w:rsidRPr="008C300A">
        <w:rPr>
          <w:noProof/>
          <w:sz w:val="22"/>
          <w:szCs w:val="22"/>
        </w:rPr>
        <w:t>,</w:t>
      </w:r>
      <w:r w:rsidRPr="008C300A">
        <w:rPr>
          <w:noProof/>
          <w:sz w:val="22"/>
          <w:szCs w:val="22"/>
        </w:rPr>
        <w:t xml:space="preserve"> et al. Clinical features and outcome of patients with non-small-cell lung cancer who harbor EML4-ALK. </w:t>
      </w:r>
      <w:r w:rsidRPr="008C300A">
        <w:rPr>
          <w:i/>
          <w:noProof/>
          <w:sz w:val="22"/>
          <w:szCs w:val="22"/>
        </w:rPr>
        <w:t>J Clin Oncol</w:t>
      </w:r>
      <w:r w:rsidRPr="008C300A">
        <w:rPr>
          <w:noProof/>
          <w:sz w:val="22"/>
          <w:szCs w:val="22"/>
        </w:rPr>
        <w:t>. 2009;27(26):4247-4253.</w:t>
      </w:r>
      <w:bookmarkEnd w:id="24"/>
    </w:p>
    <w:p w:rsidR="0002496E" w:rsidRPr="008C300A" w:rsidRDefault="0002496E" w:rsidP="0002496E">
      <w:pPr>
        <w:rPr>
          <w:noProof/>
          <w:sz w:val="22"/>
          <w:szCs w:val="22"/>
        </w:rPr>
      </w:pPr>
      <w:bookmarkStart w:id="25" w:name="_ENREF_26"/>
      <w:r w:rsidRPr="008C300A">
        <w:rPr>
          <w:noProof/>
          <w:sz w:val="22"/>
          <w:szCs w:val="22"/>
        </w:rPr>
        <w:tab/>
        <w:t>26.</w:t>
      </w:r>
      <w:r w:rsidRPr="008C300A">
        <w:rPr>
          <w:noProof/>
          <w:sz w:val="22"/>
          <w:szCs w:val="22"/>
        </w:rPr>
        <w:tab/>
        <w:t>Soh J, Toyooka S, Ichihara S</w:t>
      </w:r>
      <w:r w:rsidR="00DB7B08" w:rsidRPr="008C300A">
        <w:rPr>
          <w:noProof/>
          <w:sz w:val="22"/>
          <w:szCs w:val="22"/>
        </w:rPr>
        <w:t>,</w:t>
      </w:r>
      <w:r w:rsidRPr="008C300A">
        <w:rPr>
          <w:noProof/>
          <w:sz w:val="22"/>
          <w:szCs w:val="22"/>
        </w:rPr>
        <w:t xml:space="preserve"> et al. Impact of HER2 and EGFR gene status on gefitinib-treated patients with nonsmall-cell lung cancer. </w:t>
      </w:r>
      <w:r w:rsidRPr="008C300A">
        <w:rPr>
          <w:i/>
          <w:noProof/>
          <w:sz w:val="22"/>
          <w:szCs w:val="22"/>
        </w:rPr>
        <w:t>Int J Cancer</w:t>
      </w:r>
      <w:r w:rsidRPr="008C300A">
        <w:rPr>
          <w:noProof/>
          <w:sz w:val="22"/>
          <w:szCs w:val="22"/>
        </w:rPr>
        <w:t>. 2007;121(5):1162-1167.</w:t>
      </w:r>
      <w:bookmarkEnd w:id="25"/>
    </w:p>
    <w:p w:rsidR="0002496E" w:rsidRPr="008C300A" w:rsidRDefault="0002496E" w:rsidP="0002496E">
      <w:pPr>
        <w:rPr>
          <w:noProof/>
          <w:sz w:val="22"/>
          <w:szCs w:val="22"/>
        </w:rPr>
      </w:pPr>
      <w:bookmarkStart w:id="26" w:name="_ENREF_27"/>
      <w:r w:rsidRPr="008C300A">
        <w:rPr>
          <w:noProof/>
          <w:sz w:val="22"/>
          <w:szCs w:val="22"/>
        </w:rPr>
        <w:tab/>
        <w:t>27.</w:t>
      </w:r>
      <w:r w:rsidRPr="008C300A">
        <w:rPr>
          <w:noProof/>
          <w:sz w:val="22"/>
          <w:szCs w:val="22"/>
        </w:rPr>
        <w:tab/>
        <w:t xml:space="preserve">Sonobe M, Manabe T, Wada H, Tanaka F. Mutations in the epidermal growth factor receptor gene are linked to smoking-independent, lung adenocarcinoma. </w:t>
      </w:r>
      <w:r w:rsidRPr="008C300A">
        <w:rPr>
          <w:i/>
          <w:noProof/>
          <w:sz w:val="22"/>
          <w:szCs w:val="22"/>
        </w:rPr>
        <w:t>Br J Cancer</w:t>
      </w:r>
      <w:r w:rsidRPr="008C300A">
        <w:rPr>
          <w:noProof/>
          <w:sz w:val="22"/>
          <w:szCs w:val="22"/>
        </w:rPr>
        <w:t>. 2005;93(3):355-363.</w:t>
      </w:r>
      <w:bookmarkEnd w:id="26"/>
    </w:p>
    <w:p w:rsidR="0002496E" w:rsidRPr="008C300A" w:rsidRDefault="0002496E" w:rsidP="0002496E">
      <w:pPr>
        <w:rPr>
          <w:noProof/>
          <w:sz w:val="22"/>
          <w:szCs w:val="22"/>
        </w:rPr>
      </w:pPr>
      <w:bookmarkStart w:id="27" w:name="_ENREF_28"/>
      <w:r w:rsidRPr="008C300A">
        <w:rPr>
          <w:noProof/>
          <w:sz w:val="22"/>
          <w:szCs w:val="22"/>
        </w:rPr>
        <w:tab/>
        <w:t>28.</w:t>
      </w:r>
      <w:r w:rsidRPr="008C300A">
        <w:rPr>
          <w:noProof/>
          <w:sz w:val="22"/>
          <w:szCs w:val="22"/>
        </w:rPr>
        <w:tab/>
        <w:t>Soung YH, Lee JW, Kim SY</w:t>
      </w:r>
      <w:r w:rsidR="00DB7B08" w:rsidRPr="008C300A">
        <w:rPr>
          <w:noProof/>
          <w:sz w:val="22"/>
          <w:szCs w:val="22"/>
        </w:rPr>
        <w:t>,</w:t>
      </w:r>
      <w:r w:rsidRPr="008C300A">
        <w:rPr>
          <w:noProof/>
          <w:sz w:val="22"/>
          <w:szCs w:val="22"/>
        </w:rPr>
        <w:t xml:space="preserve"> et al. Mutational analysis of EGFR and K-RAS genes in lung adenocarcinomas. </w:t>
      </w:r>
      <w:r w:rsidRPr="008C300A">
        <w:rPr>
          <w:i/>
          <w:noProof/>
          <w:sz w:val="22"/>
          <w:szCs w:val="22"/>
        </w:rPr>
        <w:t>Virchows Arch</w:t>
      </w:r>
      <w:r w:rsidRPr="008C300A">
        <w:rPr>
          <w:noProof/>
          <w:sz w:val="22"/>
          <w:szCs w:val="22"/>
        </w:rPr>
        <w:t>. 2005;446(5):483-488.</w:t>
      </w:r>
      <w:bookmarkEnd w:id="27"/>
    </w:p>
    <w:p w:rsidR="0002496E" w:rsidRPr="008C300A" w:rsidRDefault="0002496E" w:rsidP="0002496E">
      <w:pPr>
        <w:rPr>
          <w:noProof/>
          <w:sz w:val="22"/>
          <w:szCs w:val="22"/>
        </w:rPr>
      </w:pPr>
      <w:bookmarkStart w:id="28" w:name="_ENREF_29"/>
      <w:r w:rsidRPr="008C300A">
        <w:rPr>
          <w:noProof/>
          <w:sz w:val="22"/>
          <w:szCs w:val="22"/>
        </w:rPr>
        <w:tab/>
        <w:t>29.</w:t>
      </w:r>
      <w:r w:rsidRPr="008C300A">
        <w:rPr>
          <w:noProof/>
          <w:sz w:val="22"/>
          <w:szCs w:val="22"/>
        </w:rPr>
        <w:tab/>
        <w:t>Sugio K, Uramoto H, Onitsuka T</w:t>
      </w:r>
      <w:r w:rsidR="00DB7B08" w:rsidRPr="008C300A">
        <w:rPr>
          <w:noProof/>
          <w:sz w:val="22"/>
          <w:szCs w:val="22"/>
        </w:rPr>
        <w:t>,</w:t>
      </w:r>
      <w:r w:rsidRPr="008C300A">
        <w:rPr>
          <w:noProof/>
          <w:sz w:val="22"/>
          <w:szCs w:val="22"/>
        </w:rPr>
        <w:t xml:space="preserve"> et al. Prospective phase II study of gefitinib in non-small cell lung cancer with epidermal growth factor receptor gene mutations. </w:t>
      </w:r>
      <w:r w:rsidRPr="008C300A">
        <w:rPr>
          <w:i/>
          <w:noProof/>
          <w:sz w:val="22"/>
          <w:szCs w:val="22"/>
        </w:rPr>
        <w:t>Lung Cancer</w:t>
      </w:r>
      <w:r w:rsidRPr="008C300A">
        <w:rPr>
          <w:noProof/>
          <w:sz w:val="22"/>
          <w:szCs w:val="22"/>
        </w:rPr>
        <w:t>. 2009;64(3):314-318.</w:t>
      </w:r>
      <w:bookmarkEnd w:id="28"/>
    </w:p>
    <w:p w:rsidR="0002496E" w:rsidRPr="008C300A" w:rsidRDefault="0002496E" w:rsidP="0002496E">
      <w:pPr>
        <w:rPr>
          <w:noProof/>
          <w:sz w:val="22"/>
          <w:szCs w:val="22"/>
        </w:rPr>
      </w:pPr>
      <w:bookmarkStart w:id="29" w:name="_ENREF_30"/>
      <w:r w:rsidRPr="008C300A">
        <w:rPr>
          <w:noProof/>
          <w:sz w:val="22"/>
          <w:szCs w:val="22"/>
        </w:rPr>
        <w:tab/>
        <w:t>30.</w:t>
      </w:r>
      <w:r w:rsidRPr="008C300A">
        <w:rPr>
          <w:noProof/>
          <w:sz w:val="22"/>
          <w:szCs w:val="22"/>
        </w:rPr>
        <w:tab/>
        <w:t>Sunaga N, Tomizawa Y, Yanagitani N</w:t>
      </w:r>
      <w:r w:rsidR="00DB7B08" w:rsidRPr="008C300A">
        <w:rPr>
          <w:noProof/>
          <w:sz w:val="22"/>
          <w:szCs w:val="22"/>
        </w:rPr>
        <w:t>,</w:t>
      </w:r>
      <w:r w:rsidRPr="008C300A">
        <w:rPr>
          <w:noProof/>
          <w:sz w:val="22"/>
          <w:szCs w:val="22"/>
        </w:rPr>
        <w:t xml:space="preserve"> et al. Phase II prospective study of the efficacy of gefitinib for the treatment of stage III/IV non-small cell lung cancer with EGFR mutations, irrespective of previous chemotherapy. </w:t>
      </w:r>
      <w:r w:rsidRPr="008C300A">
        <w:rPr>
          <w:i/>
          <w:noProof/>
          <w:sz w:val="22"/>
          <w:szCs w:val="22"/>
        </w:rPr>
        <w:t>Lung Cancer</w:t>
      </w:r>
      <w:r w:rsidRPr="008C300A">
        <w:rPr>
          <w:noProof/>
          <w:sz w:val="22"/>
          <w:szCs w:val="22"/>
        </w:rPr>
        <w:t>. 2007;56(3):383-389.</w:t>
      </w:r>
      <w:bookmarkEnd w:id="29"/>
    </w:p>
    <w:p w:rsidR="0002496E" w:rsidRPr="008C300A" w:rsidRDefault="0002496E" w:rsidP="0002496E">
      <w:pPr>
        <w:rPr>
          <w:noProof/>
          <w:sz w:val="22"/>
          <w:szCs w:val="22"/>
        </w:rPr>
      </w:pPr>
      <w:bookmarkStart w:id="30" w:name="_ENREF_31"/>
      <w:r w:rsidRPr="008C300A">
        <w:rPr>
          <w:noProof/>
          <w:sz w:val="22"/>
          <w:szCs w:val="22"/>
        </w:rPr>
        <w:tab/>
        <w:t>31.</w:t>
      </w:r>
      <w:r w:rsidRPr="008C300A">
        <w:rPr>
          <w:noProof/>
          <w:sz w:val="22"/>
          <w:szCs w:val="22"/>
        </w:rPr>
        <w:tab/>
        <w:t>Sutani A, Nagai Y, Udagawa K</w:t>
      </w:r>
      <w:r w:rsidR="00DB7B08" w:rsidRPr="008C300A">
        <w:rPr>
          <w:noProof/>
          <w:sz w:val="22"/>
          <w:szCs w:val="22"/>
        </w:rPr>
        <w:t>,</w:t>
      </w:r>
      <w:r w:rsidRPr="008C300A">
        <w:rPr>
          <w:noProof/>
          <w:sz w:val="22"/>
          <w:szCs w:val="22"/>
        </w:rPr>
        <w:t xml:space="preserve"> et al. Gefitinib for non-small-cell lung cancer patients with epidermal growth factor receptor gene mutations screened by peptide nucleic acid-locked nucleic acid PCR clamp. </w:t>
      </w:r>
      <w:r w:rsidRPr="008C300A">
        <w:rPr>
          <w:i/>
          <w:noProof/>
          <w:sz w:val="22"/>
          <w:szCs w:val="22"/>
        </w:rPr>
        <w:t>Br J Cancer</w:t>
      </w:r>
      <w:r w:rsidRPr="008C300A">
        <w:rPr>
          <w:noProof/>
          <w:sz w:val="22"/>
          <w:szCs w:val="22"/>
        </w:rPr>
        <w:t>. 2006;95(11):1483-1489.</w:t>
      </w:r>
      <w:bookmarkEnd w:id="30"/>
    </w:p>
    <w:p w:rsidR="0002496E" w:rsidRPr="008C300A" w:rsidRDefault="0002496E" w:rsidP="0002496E">
      <w:pPr>
        <w:rPr>
          <w:noProof/>
          <w:sz w:val="22"/>
          <w:szCs w:val="22"/>
        </w:rPr>
      </w:pPr>
      <w:bookmarkStart w:id="31" w:name="_ENREF_32"/>
      <w:r w:rsidRPr="008C300A">
        <w:rPr>
          <w:noProof/>
          <w:sz w:val="22"/>
          <w:szCs w:val="22"/>
        </w:rPr>
        <w:tab/>
        <w:t>32.</w:t>
      </w:r>
      <w:r w:rsidRPr="008C300A">
        <w:rPr>
          <w:noProof/>
          <w:sz w:val="22"/>
          <w:szCs w:val="22"/>
        </w:rPr>
        <w:tab/>
        <w:t>Tang X, Varella-Garcia M, Xavier AC</w:t>
      </w:r>
      <w:r w:rsidR="00DB7B08" w:rsidRPr="008C300A">
        <w:rPr>
          <w:noProof/>
          <w:sz w:val="22"/>
          <w:szCs w:val="22"/>
        </w:rPr>
        <w:t>,</w:t>
      </w:r>
      <w:r w:rsidRPr="008C300A">
        <w:rPr>
          <w:noProof/>
          <w:sz w:val="22"/>
          <w:szCs w:val="22"/>
        </w:rPr>
        <w:t xml:space="preserve"> et al. Epidermal growth factor receptor abnormalities in the pathogenesis and progression of lung adenocarcinomas. </w:t>
      </w:r>
      <w:r w:rsidRPr="008C300A">
        <w:rPr>
          <w:i/>
          <w:noProof/>
          <w:sz w:val="22"/>
          <w:szCs w:val="22"/>
        </w:rPr>
        <w:t>Cancer Prev Res (Phila)</w:t>
      </w:r>
      <w:r w:rsidRPr="008C300A">
        <w:rPr>
          <w:noProof/>
          <w:sz w:val="22"/>
          <w:szCs w:val="22"/>
        </w:rPr>
        <w:t>. 2008;1(3):192-200.</w:t>
      </w:r>
      <w:bookmarkEnd w:id="31"/>
    </w:p>
    <w:p w:rsidR="0002496E" w:rsidRPr="008C300A" w:rsidRDefault="0002496E" w:rsidP="0002496E">
      <w:pPr>
        <w:rPr>
          <w:noProof/>
          <w:sz w:val="22"/>
          <w:szCs w:val="22"/>
        </w:rPr>
      </w:pPr>
      <w:bookmarkStart w:id="32" w:name="_ENREF_33"/>
      <w:r w:rsidRPr="008C300A">
        <w:rPr>
          <w:noProof/>
          <w:sz w:val="22"/>
          <w:szCs w:val="22"/>
        </w:rPr>
        <w:tab/>
        <w:t>33.</w:t>
      </w:r>
      <w:r w:rsidRPr="008C300A">
        <w:rPr>
          <w:noProof/>
          <w:sz w:val="22"/>
          <w:szCs w:val="22"/>
        </w:rPr>
        <w:tab/>
        <w:t>Taron M, Ichinose Y, Rosell R</w:t>
      </w:r>
      <w:r w:rsidR="00DB7B08" w:rsidRPr="008C300A">
        <w:rPr>
          <w:noProof/>
          <w:sz w:val="22"/>
          <w:szCs w:val="22"/>
        </w:rPr>
        <w:t>,</w:t>
      </w:r>
      <w:r w:rsidRPr="008C300A">
        <w:rPr>
          <w:noProof/>
          <w:sz w:val="22"/>
          <w:szCs w:val="22"/>
        </w:rPr>
        <w:t xml:space="preserve"> et al. Activating mutations in the tyrosine kinase domain of the epidermal growth factor receptor are associated with improved survival in gefitinib-treated chemorefractory lung adenocarcinomas. </w:t>
      </w:r>
      <w:r w:rsidRPr="008C300A">
        <w:rPr>
          <w:i/>
          <w:noProof/>
          <w:sz w:val="22"/>
          <w:szCs w:val="22"/>
        </w:rPr>
        <w:t>Clin Cancer Res</w:t>
      </w:r>
      <w:r w:rsidRPr="008C300A">
        <w:rPr>
          <w:noProof/>
          <w:sz w:val="22"/>
          <w:szCs w:val="22"/>
        </w:rPr>
        <w:t>. 2005;11(16):5878-5885.</w:t>
      </w:r>
      <w:bookmarkEnd w:id="32"/>
    </w:p>
    <w:p w:rsidR="0002496E" w:rsidRPr="008C300A" w:rsidRDefault="0002496E" w:rsidP="0002496E">
      <w:pPr>
        <w:rPr>
          <w:noProof/>
          <w:sz w:val="22"/>
          <w:szCs w:val="22"/>
        </w:rPr>
      </w:pPr>
      <w:bookmarkStart w:id="33" w:name="_ENREF_34"/>
      <w:r w:rsidRPr="008C300A">
        <w:rPr>
          <w:noProof/>
          <w:sz w:val="22"/>
          <w:szCs w:val="22"/>
        </w:rPr>
        <w:tab/>
        <w:t>34.</w:t>
      </w:r>
      <w:r w:rsidRPr="008C300A">
        <w:rPr>
          <w:noProof/>
          <w:sz w:val="22"/>
          <w:szCs w:val="22"/>
        </w:rPr>
        <w:tab/>
        <w:t>Uramoto H, Sugio K, Oyama T</w:t>
      </w:r>
      <w:r w:rsidR="00DB7B08" w:rsidRPr="008C300A">
        <w:rPr>
          <w:noProof/>
          <w:sz w:val="22"/>
          <w:szCs w:val="22"/>
        </w:rPr>
        <w:t>,</w:t>
      </w:r>
      <w:r w:rsidRPr="008C300A">
        <w:rPr>
          <w:noProof/>
          <w:sz w:val="22"/>
          <w:szCs w:val="22"/>
        </w:rPr>
        <w:t xml:space="preserve"> et al. Epidermal growth factor receptor mutations are associated with gefitinib sensitivity in non-small cell lung cancer in Japanese. </w:t>
      </w:r>
      <w:r w:rsidRPr="008C300A">
        <w:rPr>
          <w:i/>
          <w:noProof/>
          <w:sz w:val="22"/>
          <w:szCs w:val="22"/>
        </w:rPr>
        <w:t>Lung Cancer</w:t>
      </w:r>
      <w:r w:rsidRPr="008C300A">
        <w:rPr>
          <w:noProof/>
          <w:sz w:val="22"/>
          <w:szCs w:val="22"/>
        </w:rPr>
        <w:t>. 2006;51(1):71-77.</w:t>
      </w:r>
      <w:bookmarkEnd w:id="33"/>
    </w:p>
    <w:p w:rsidR="0002496E" w:rsidRPr="008C300A" w:rsidRDefault="0002496E" w:rsidP="0002496E">
      <w:pPr>
        <w:rPr>
          <w:noProof/>
          <w:sz w:val="22"/>
          <w:szCs w:val="22"/>
        </w:rPr>
      </w:pPr>
      <w:bookmarkStart w:id="34" w:name="_ENREF_35"/>
      <w:r w:rsidRPr="008C300A">
        <w:rPr>
          <w:noProof/>
          <w:sz w:val="22"/>
          <w:szCs w:val="22"/>
        </w:rPr>
        <w:tab/>
        <w:t>35.</w:t>
      </w:r>
      <w:r w:rsidRPr="008C300A">
        <w:rPr>
          <w:noProof/>
          <w:sz w:val="22"/>
          <w:szCs w:val="22"/>
        </w:rPr>
        <w:tab/>
        <w:t xml:space="preserve">Wang Z, Wu YL, Zhang GC, Zhou Q, Xu CR, Guo AL. EGFR/KRAS mutations and gefitinib therapy in Chinese NSCLC patients. </w:t>
      </w:r>
      <w:r w:rsidRPr="008C300A">
        <w:rPr>
          <w:i/>
          <w:noProof/>
          <w:sz w:val="22"/>
          <w:szCs w:val="22"/>
        </w:rPr>
        <w:t>Onkologie</w:t>
      </w:r>
      <w:r w:rsidRPr="008C300A">
        <w:rPr>
          <w:noProof/>
          <w:sz w:val="22"/>
          <w:szCs w:val="22"/>
        </w:rPr>
        <w:t>. 2008;31(4):174-178.</w:t>
      </w:r>
      <w:bookmarkEnd w:id="34"/>
    </w:p>
    <w:p w:rsidR="0002496E" w:rsidRPr="008C300A" w:rsidRDefault="0002496E" w:rsidP="0002496E">
      <w:pPr>
        <w:rPr>
          <w:noProof/>
          <w:sz w:val="22"/>
          <w:szCs w:val="22"/>
        </w:rPr>
      </w:pPr>
      <w:bookmarkStart w:id="35" w:name="_ENREF_36"/>
      <w:r w:rsidRPr="008C300A">
        <w:rPr>
          <w:noProof/>
          <w:sz w:val="22"/>
          <w:szCs w:val="22"/>
        </w:rPr>
        <w:tab/>
        <w:t>36.</w:t>
      </w:r>
      <w:r w:rsidRPr="008C300A">
        <w:rPr>
          <w:noProof/>
          <w:sz w:val="22"/>
          <w:szCs w:val="22"/>
        </w:rPr>
        <w:tab/>
        <w:t>Wu CC, Hsu HY, Liu HP</w:t>
      </w:r>
      <w:r w:rsidR="00DB7B08" w:rsidRPr="008C300A">
        <w:rPr>
          <w:noProof/>
          <w:sz w:val="22"/>
          <w:szCs w:val="22"/>
        </w:rPr>
        <w:t>,</w:t>
      </w:r>
      <w:r w:rsidRPr="008C300A">
        <w:rPr>
          <w:noProof/>
          <w:sz w:val="22"/>
          <w:szCs w:val="22"/>
        </w:rPr>
        <w:t xml:space="preserve"> et al. Reversed mutation rates of KRAS and EGFR genes in adenocarcinoma of the lung in Taiwan and their implications. </w:t>
      </w:r>
      <w:r w:rsidRPr="008C300A">
        <w:rPr>
          <w:i/>
          <w:noProof/>
          <w:sz w:val="22"/>
          <w:szCs w:val="22"/>
        </w:rPr>
        <w:t>Cancer</w:t>
      </w:r>
      <w:r w:rsidRPr="008C300A">
        <w:rPr>
          <w:noProof/>
          <w:sz w:val="22"/>
          <w:szCs w:val="22"/>
        </w:rPr>
        <w:t>. 2008;113(11):3199-3208.</w:t>
      </w:r>
      <w:bookmarkEnd w:id="35"/>
    </w:p>
    <w:p w:rsidR="0002496E" w:rsidRPr="008C300A" w:rsidRDefault="0002496E" w:rsidP="0002496E">
      <w:pPr>
        <w:rPr>
          <w:noProof/>
          <w:sz w:val="22"/>
          <w:szCs w:val="22"/>
        </w:rPr>
      </w:pPr>
      <w:bookmarkStart w:id="36" w:name="_ENREF_37"/>
      <w:r w:rsidRPr="008C300A">
        <w:rPr>
          <w:noProof/>
          <w:sz w:val="22"/>
          <w:szCs w:val="22"/>
        </w:rPr>
        <w:lastRenderedPageBreak/>
        <w:tab/>
        <w:t>37.</w:t>
      </w:r>
      <w:r w:rsidRPr="008C300A">
        <w:rPr>
          <w:noProof/>
          <w:sz w:val="22"/>
          <w:szCs w:val="22"/>
        </w:rPr>
        <w:tab/>
        <w:t xml:space="preserve">Wu J-Y, Shih J-Y, Chen K-Y, Yang C-H, Yu C-J, Yang P-C. Gefitinib therapy in patients with advanced non-small cell lung cancer with or without testing for epidermal growth factor receptor (EGFR) mutations. </w:t>
      </w:r>
      <w:r w:rsidRPr="008C300A">
        <w:rPr>
          <w:i/>
          <w:noProof/>
          <w:sz w:val="22"/>
          <w:szCs w:val="22"/>
        </w:rPr>
        <w:t>Medicine (Baltimore)</w:t>
      </w:r>
      <w:r w:rsidRPr="008C300A">
        <w:rPr>
          <w:noProof/>
          <w:sz w:val="22"/>
          <w:szCs w:val="22"/>
        </w:rPr>
        <w:t>. 2011;90(3):159-167.</w:t>
      </w:r>
      <w:bookmarkEnd w:id="36"/>
    </w:p>
    <w:p w:rsidR="0002496E" w:rsidRPr="008C300A" w:rsidRDefault="0002496E" w:rsidP="0002496E">
      <w:pPr>
        <w:rPr>
          <w:noProof/>
          <w:sz w:val="22"/>
          <w:szCs w:val="22"/>
        </w:rPr>
      </w:pPr>
      <w:bookmarkStart w:id="37" w:name="_ENREF_38"/>
      <w:r w:rsidRPr="008C300A">
        <w:rPr>
          <w:noProof/>
          <w:sz w:val="22"/>
          <w:szCs w:val="22"/>
        </w:rPr>
        <w:tab/>
        <w:t>38.</w:t>
      </w:r>
      <w:r w:rsidRPr="008C300A">
        <w:rPr>
          <w:noProof/>
          <w:sz w:val="22"/>
          <w:szCs w:val="22"/>
        </w:rPr>
        <w:tab/>
        <w:t>Xu JM, Han Y, Duan HQ</w:t>
      </w:r>
      <w:r w:rsidR="00DB7B08" w:rsidRPr="008C300A">
        <w:rPr>
          <w:noProof/>
          <w:sz w:val="22"/>
          <w:szCs w:val="22"/>
        </w:rPr>
        <w:t>,</w:t>
      </w:r>
      <w:r w:rsidRPr="008C300A">
        <w:rPr>
          <w:noProof/>
          <w:sz w:val="22"/>
          <w:szCs w:val="22"/>
        </w:rPr>
        <w:t xml:space="preserve"> et al. EGFR mutations and HER2/3 protein expression and clinical outcome in Chinese advanced non-small cell lung cancer patients treated with gefitinib. </w:t>
      </w:r>
      <w:r w:rsidRPr="008C300A">
        <w:rPr>
          <w:i/>
          <w:noProof/>
          <w:sz w:val="22"/>
          <w:szCs w:val="22"/>
        </w:rPr>
        <w:t>J Cancer Res Clin Oncol</w:t>
      </w:r>
      <w:r w:rsidRPr="008C300A">
        <w:rPr>
          <w:noProof/>
          <w:sz w:val="22"/>
          <w:szCs w:val="22"/>
        </w:rPr>
        <w:t>. 2009;135(6):771-782.</w:t>
      </w:r>
      <w:bookmarkEnd w:id="37"/>
    </w:p>
    <w:p w:rsidR="0002496E" w:rsidRPr="008C300A" w:rsidRDefault="0002496E" w:rsidP="0002496E">
      <w:pPr>
        <w:rPr>
          <w:noProof/>
          <w:sz w:val="22"/>
          <w:szCs w:val="22"/>
        </w:rPr>
      </w:pPr>
      <w:bookmarkStart w:id="38" w:name="_ENREF_39"/>
      <w:r w:rsidRPr="008C300A">
        <w:rPr>
          <w:noProof/>
          <w:sz w:val="22"/>
          <w:szCs w:val="22"/>
        </w:rPr>
        <w:tab/>
        <w:t>39.</w:t>
      </w:r>
      <w:r w:rsidRPr="008C300A">
        <w:rPr>
          <w:noProof/>
          <w:sz w:val="22"/>
          <w:szCs w:val="22"/>
        </w:rPr>
        <w:tab/>
        <w:t>Cohen V, Agulnik JS, Ang C</w:t>
      </w:r>
      <w:r w:rsidR="00DB7B08" w:rsidRPr="008C300A">
        <w:rPr>
          <w:noProof/>
          <w:sz w:val="22"/>
          <w:szCs w:val="22"/>
        </w:rPr>
        <w:t>,</w:t>
      </w:r>
      <w:r w:rsidRPr="008C300A">
        <w:rPr>
          <w:noProof/>
          <w:sz w:val="22"/>
          <w:szCs w:val="22"/>
        </w:rPr>
        <w:t xml:space="preserve"> et al. Epidermal growth factor receptor mutations detected by denaturing high-performance liquid chromatography in nonsmall cell lung cancer: impact on response to therapy with epidermal growth factor receptor-tyrosine kinase inhibitors. </w:t>
      </w:r>
      <w:r w:rsidRPr="008C300A">
        <w:rPr>
          <w:i/>
          <w:noProof/>
          <w:sz w:val="22"/>
          <w:szCs w:val="22"/>
        </w:rPr>
        <w:t>Cancer</w:t>
      </w:r>
      <w:r w:rsidRPr="008C300A">
        <w:rPr>
          <w:noProof/>
          <w:sz w:val="22"/>
          <w:szCs w:val="22"/>
        </w:rPr>
        <w:t>. 2010;116(18):4309-4317.</w:t>
      </w:r>
      <w:bookmarkEnd w:id="38"/>
    </w:p>
    <w:p w:rsidR="0002496E" w:rsidRPr="008C300A" w:rsidRDefault="0002496E" w:rsidP="0002496E">
      <w:pPr>
        <w:rPr>
          <w:noProof/>
          <w:sz w:val="22"/>
          <w:szCs w:val="22"/>
        </w:rPr>
      </w:pPr>
      <w:bookmarkStart w:id="39" w:name="_ENREF_40"/>
      <w:r w:rsidRPr="008C300A">
        <w:rPr>
          <w:noProof/>
          <w:sz w:val="22"/>
          <w:szCs w:val="22"/>
        </w:rPr>
        <w:tab/>
        <w:t>40.</w:t>
      </w:r>
      <w:r w:rsidRPr="008C300A">
        <w:rPr>
          <w:noProof/>
          <w:sz w:val="22"/>
          <w:szCs w:val="22"/>
        </w:rPr>
        <w:tab/>
        <w:t>Cote ML, Haddad R, Edwards DJ</w:t>
      </w:r>
      <w:r w:rsidR="00DB7B08" w:rsidRPr="008C300A">
        <w:rPr>
          <w:noProof/>
          <w:sz w:val="22"/>
          <w:szCs w:val="22"/>
        </w:rPr>
        <w:t>,</w:t>
      </w:r>
      <w:r w:rsidRPr="008C300A">
        <w:rPr>
          <w:noProof/>
          <w:sz w:val="22"/>
          <w:szCs w:val="22"/>
        </w:rPr>
        <w:t xml:space="preserve"> et al. Frequency and type of epidermal growth factor receptor mutations in African Americans with non-small cell lung cancer. </w:t>
      </w:r>
      <w:r w:rsidRPr="008C300A">
        <w:rPr>
          <w:i/>
          <w:noProof/>
          <w:sz w:val="22"/>
          <w:szCs w:val="22"/>
        </w:rPr>
        <w:t>J</w:t>
      </w:r>
      <w:r w:rsidR="00DB7B08" w:rsidRPr="008C300A">
        <w:rPr>
          <w:i/>
          <w:noProof/>
          <w:sz w:val="22"/>
          <w:szCs w:val="22"/>
        </w:rPr>
        <w:t xml:space="preserve"> Tho</w:t>
      </w:r>
      <w:r w:rsidRPr="008C300A">
        <w:rPr>
          <w:i/>
          <w:noProof/>
          <w:sz w:val="22"/>
          <w:szCs w:val="22"/>
        </w:rPr>
        <w:t>r</w:t>
      </w:r>
      <w:r w:rsidR="00DB7B08" w:rsidRPr="008C300A">
        <w:rPr>
          <w:i/>
          <w:noProof/>
          <w:sz w:val="22"/>
          <w:szCs w:val="22"/>
        </w:rPr>
        <w:t xml:space="preserve">ac </w:t>
      </w:r>
      <w:r w:rsidRPr="008C300A">
        <w:rPr>
          <w:i/>
          <w:noProof/>
          <w:sz w:val="22"/>
          <w:szCs w:val="22"/>
        </w:rPr>
        <w:t>Oncol</w:t>
      </w:r>
      <w:r w:rsidRPr="008C300A">
        <w:rPr>
          <w:noProof/>
          <w:sz w:val="22"/>
          <w:szCs w:val="22"/>
        </w:rPr>
        <w:t>. 2011;6(3):627-630.</w:t>
      </w:r>
      <w:bookmarkEnd w:id="39"/>
    </w:p>
    <w:p w:rsidR="0002496E" w:rsidRPr="008C300A" w:rsidRDefault="0002496E" w:rsidP="0002496E">
      <w:pPr>
        <w:rPr>
          <w:noProof/>
          <w:sz w:val="22"/>
          <w:szCs w:val="22"/>
        </w:rPr>
      </w:pPr>
      <w:bookmarkStart w:id="40" w:name="_ENREF_41"/>
      <w:r w:rsidRPr="008C300A">
        <w:rPr>
          <w:noProof/>
          <w:sz w:val="22"/>
          <w:szCs w:val="22"/>
        </w:rPr>
        <w:tab/>
        <w:t>41.</w:t>
      </w:r>
      <w:r w:rsidRPr="008C300A">
        <w:rPr>
          <w:noProof/>
          <w:sz w:val="22"/>
          <w:szCs w:val="22"/>
        </w:rPr>
        <w:tab/>
        <w:t>Ludovini V, Bianconi F, Pistola L</w:t>
      </w:r>
      <w:r w:rsidR="00DB7B08" w:rsidRPr="008C300A">
        <w:rPr>
          <w:noProof/>
          <w:sz w:val="22"/>
          <w:szCs w:val="22"/>
        </w:rPr>
        <w:t>,</w:t>
      </w:r>
      <w:r w:rsidRPr="008C300A">
        <w:rPr>
          <w:noProof/>
          <w:sz w:val="22"/>
          <w:szCs w:val="22"/>
        </w:rPr>
        <w:t xml:space="preserve"> et al. Phosphoinositide-3-kinase catalytic alpha and KRAS mutations are important predictors of resistance to therapy with epidermal growth factor receptor tyrosine kinase inhibitors in patients with advanced non-small cell lung cancer. </w:t>
      </w:r>
      <w:r w:rsidRPr="008C300A">
        <w:rPr>
          <w:i/>
          <w:noProof/>
          <w:sz w:val="22"/>
          <w:szCs w:val="22"/>
        </w:rPr>
        <w:t>J Thorac</w:t>
      </w:r>
      <w:r w:rsidR="00DB7B08" w:rsidRPr="008C300A">
        <w:rPr>
          <w:i/>
          <w:noProof/>
          <w:sz w:val="22"/>
          <w:szCs w:val="22"/>
        </w:rPr>
        <w:t xml:space="preserve"> </w:t>
      </w:r>
      <w:r w:rsidRPr="008C300A">
        <w:rPr>
          <w:i/>
          <w:noProof/>
          <w:sz w:val="22"/>
          <w:szCs w:val="22"/>
        </w:rPr>
        <w:t>Onco</w:t>
      </w:r>
      <w:r w:rsidR="00DB7B08" w:rsidRPr="008C300A">
        <w:rPr>
          <w:i/>
          <w:noProof/>
          <w:sz w:val="22"/>
          <w:szCs w:val="22"/>
        </w:rPr>
        <w:t>l</w:t>
      </w:r>
      <w:r w:rsidRPr="008C300A">
        <w:rPr>
          <w:noProof/>
          <w:sz w:val="22"/>
          <w:szCs w:val="22"/>
        </w:rPr>
        <w:t>. 2011;6(4):707-715.</w:t>
      </w:r>
      <w:bookmarkEnd w:id="40"/>
    </w:p>
    <w:p w:rsidR="0002496E" w:rsidRPr="008C300A" w:rsidRDefault="0002496E" w:rsidP="0002496E">
      <w:pPr>
        <w:rPr>
          <w:noProof/>
          <w:sz w:val="22"/>
          <w:szCs w:val="22"/>
        </w:rPr>
      </w:pPr>
      <w:bookmarkStart w:id="41" w:name="_ENREF_42"/>
      <w:r w:rsidRPr="008C300A">
        <w:rPr>
          <w:noProof/>
          <w:sz w:val="22"/>
          <w:szCs w:val="22"/>
        </w:rPr>
        <w:tab/>
        <w:t>42.</w:t>
      </w:r>
      <w:r w:rsidRPr="008C300A">
        <w:rPr>
          <w:noProof/>
          <w:sz w:val="22"/>
          <w:szCs w:val="22"/>
        </w:rPr>
        <w:tab/>
        <w:t>Moiseyenko VM, Procenko SA, Levchenko EV</w:t>
      </w:r>
      <w:r w:rsidR="00DB7B08" w:rsidRPr="008C300A">
        <w:rPr>
          <w:noProof/>
          <w:sz w:val="22"/>
          <w:szCs w:val="22"/>
        </w:rPr>
        <w:t>,</w:t>
      </w:r>
      <w:r w:rsidRPr="008C300A">
        <w:rPr>
          <w:noProof/>
          <w:sz w:val="22"/>
          <w:szCs w:val="22"/>
        </w:rPr>
        <w:t xml:space="preserve"> et al. High efficacy of first-line gefitinib in non-Asian patients with EGFR-mutated lung adenocarcinoma. </w:t>
      </w:r>
      <w:r w:rsidRPr="008C300A">
        <w:rPr>
          <w:i/>
          <w:noProof/>
          <w:sz w:val="22"/>
          <w:szCs w:val="22"/>
        </w:rPr>
        <w:t>Onkologie</w:t>
      </w:r>
      <w:r w:rsidRPr="008C300A">
        <w:rPr>
          <w:noProof/>
          <w:sz w:val="22"/>
          <w:szCs w:val="22"/>
        </w:rPr>
        <w:t>. 2010;33(5):231-238.</w:t>
      </w:r>
      <w:bookmarkEnd w:id="41"/>
    </w:p>
    <w:p w:rsidR="0002496E" w:rsidRPr="008C300A" w:rsidRDefault="0002496E" w:rsidP="0002496E">
      <w:pPr>
        <w:rPr>
          <w:noProof/>
          <w:sz w:val="22"/>
          <w:szCs w:val="22"/>
        </w:rPr>
      </w:pPr>
      <w:bookmarkStart w:id="42" w:name="_ENREF_43"/>
      <w:r w:rsidRPr="008C300A">
        <w:rPr>
          <w:noProof/>
          <w:sz w:val="22"/>
          <w:szCs w:val="22"/>
        </w:rPr>
        <w:tab/>
        <w:t>43.</w:t>
      </w:r>
      <w:r w:rsidRPr="008C300A">
        <w:rPr>
          <w:noProof/>
          <w:sz w:val="22"/>
          <w:szCs w:val="22"/>
        </w:rPr>
        <w:tab/>
        <w:t xml:space="preserve">Harada T, Lopez-Chavez A, Xi L, Raffeld M, Wang Y, Giaccone G. Characterization of epidermal growth factor receptor mutations in non-small-cell lung cancer patients of African-American ancestry. </w:t>
      </w:r>
      <w:r w:rsidRPr="008C300A">
        <w:rPr>
          <w:i/>
          <w:noProof/>
          <w:sz w:val="22"/>
          <w:szCs w:val="22"/>
        </w:rPr>
        <w:t>Oncogene</w:t>
      </w:r>
      <w:r w:rsidRPr="008C300A">
        <w:rPr>
          <w:noProof/>
          <w:sz w:val="22"/>
          <w:szCs w:val="22"/>
        </w:rPr>
        <w:t>. 2011;30(15):1744-1752.</w:t>
      </w:r>
      <w:bookmarkEnd w:id="42"/>
    </w:p>
    <w:p w:rsidR="0002496E" w:rsidRPr="008C300A" w:rsidRDefault="0002496E" w:rsidP="0002496E">
      <w:pPr>
        <w:rPr>
          <w:noProof/>
          <w:sz w:val="22"/>
          <w:szCs w:val="22"/>
        </w:rPr>
      </w:pPr>
      <w:bookmarkStart w:id="43" w:name="_ENREF_44"/>
      <w:r w:rsidRPr="008C300A">
        <w:rPr>
          <w:noProof/>
          <w:sz w:val="22"/>
          <w:szCs w:val="22"/>
        </w:rPr>
        <w:tab/>
        <w:t>44.</w:t>
      </w:r>
      <w:r w:rsidRPr="008C300A">
        <w:rPr>
          <w:noProof/>
          <w:sz w:val="22"/>
          <w:szCs w:val="22"/>
        </w:rPr>
        <w:tab/>
        <w:t>Cortes-Funes H, Gomez C, Rosell R</w:t>
      </w:r>
      <w:r w:rsidR="00DB7B08" w:rsidRPr="008C300A">
        <w:rPr>
          <w:noProof/>
          <w:sz w:val="22"/>
          <w:szCs w:val="22"/>
        </w:rPr>
        <w:t>,</w:t>
      </w:r>
      <w:r w:rsidRPr="008C300A">
        <w:rPr>
          <w:noProof/>
          <w:sz w:val="22"/>
          <w:szCs w:val="22"/>
        </w:rPr>
        <w:t xml:space="preserve"> et al. Epidermal growth factor receptor activating mutations in Spanish gefitinib-treated non-small-cell lung cancer patients. </w:t>
      </w:r>
      <w:r w:rsidRPr="008C300A">
        <w:rPr>
          <w:i/>
          <w:noProof/>
          <w:sz w:val="22"/>
          <w:szCs w:val="22"/>
        </w:rPr>
        <w:t>Ann Oncol</w:t>
      </w:r>
      <w:r w:rsidRPr="008C300A">
        <w:rPr>
          <w:noProof/>
          <w:sz w:val="22"/>
          <w:szCs w:val="22"/>
        </w:rPr>
        <w:t>. 2005;16(7):1081-1086.</w:t>
      </w:r>
      <w:bookmarkEnd w:id="43"/>
    </w:p>
    <w:p w:rsidR="0002496E" w:rsidRPr="008C300A" w:rsidRDefault="0002496E" w:rsidP="0002496E">
      <w:pPr>
        <w:rPr>
          <w:noProof/>
          <w:sz w:val="22"/>
          <w:szCs w:val="22"/>
        </w:rPr>
      </w:pPr>
      <w:bookmarkStart w:id="44" w:name="_ENREF_45"/>
      <w:r w:rsidRPr="008C300A">
        <w:rPr>
          <w:noProof/>
          <w:sz w:val="22"/>
          <w:szCs w:val="22"/>
        </w:rPr>
        <w:tab/>
        <w:t>45.</w:t>
      </w:r>
      <w:r w:rsidRPr="008C300A">
        <w:rPr>
          <w:noProof/>
          <w:sz w:val="22"/>
          <w:szCs w:val="22"/>
        </w:rPr>
        <w:tab/>
        <w:t>Molina-Vila MA, Bertran-Alamillo J, Reguart N</w:t>
      </w:r>
      <w:r w:rsidR="00DB7B08" w:rsidRPr="008C300A">
        <w:rPr>
          <w:noProof/>
          <w:sz w:val="22"/>
          <w:szCs w:val="22"/>
        </w:rPr>
        <w:t>,</w:t>
      </w:r>
      <w:r w:rsidRPr="008C300A">
        <w:rPr>
          <w:noProof/>
          <w:sz w:val="22"/>
          <w:szCs w:val="22"/>
        </w:rPr>
        <w:t xml:space="preserve"> et al. A sensitive method for detecting EGFR mutations in non-small cell lung cancer samples with few tumor cells. </w:t>
      </w:r>
      <w:r w:rsidRPr="008C300A">
        <w:rPr>
          <w:i/>
          <w:noProof/>
          <w:sz w:val="22"/>
          <w:szCs w:val="22"/>
        </w:rPr>
        <w:t>J Thorac Oncol</w:t>
      </w:r>
      <w:r w:rsidRPr="008C300A">
        <w:rPr>
          <w:noProof/>
          <w:sz w:val="22"/>
          <w:szCs w:val="22"/>
        </w:rPr>
        <w:t>. 2008;3(11):1224-1235.</w:t>
      </w:r>
      <w:bookmarkEnd w:id="44"/>
    </w:p>
    <w:p w:rsidR="0002496E" w:rsidRPr="008C300A" w:rsidRDefault="0002496E" w:rsidP="0002496E">
      <w:pPr>
        <w:rPr>
          <w:noProof/>
          <w:sz w:val="22"/>
          <w:szCs w:val="22"/>
        </w:rPr>
      </w:pPr>
      <w:bookmarkStart w:id="45" w:name="_ENREF_46"/>
      <w:r w:rsidRPr="008C300A">
        <w:rPr>
          <w:noProof/>
          <w:sz w:val="22"/>
          <w:szCs w:val="22"/>
        </w:rPr>
        <w:tab/>
        <w:t>46.</w:t>
      </w:r>
      <w:r w:rsidRPr="008C300A">
        <w:rPr>
          <w:noProof/>
          <w:sz w:val="22"/>
          <w:szCs w:val="22"/>
        </w:rPr>
        <w:tab/>
        <w:t>Porta R, Sanchez-Torres JM, Paz-Ares L</w:t>
      </w:r>
      <w:r w:rsidR="00DB7B08" w:rsidRPr="008C300A">
        <w:rPr>
          <w:noProof/>
          <w:sz w:val="22"/>
          <w:szCs w:val="22"/>
        </w:rPr>
        <w:t>,</w:t>
      </w:r>
      <w:r w:rsidRPr="008C300A">
        <w:rPr>
          <w:noProof/>
          <w:sz w:val="22"/>
          <w:szCs w:val="22"/>
        </w:rPr>
        <w:t xml:space="preserve"> et al. Brain metastases from lung cancer responding to erlotinib: the importance of EGFR mutation. </w:t>
      </w:r>
      <w:r w:rsidRPr="008C300A">
        <w:rPr>
          <w:i/>
          <w:noProof/>
          <w:sz w:val="22"/>
          <w:szCs w:val="22"/>
        </w:rPr>
        <w:t>Eur Respi</w:t>
      </w:r>
      <w:r w:rsidR="00DB7B08" w:rsidRPr="008C300A">
        <w:rPr>
          <w:i/>
          <w:noProof/>
          <w:sz w:val="22"/>
          <w:szCs w:val="22"/>
        </w:rPr>
        <w:t>r</w:t>
      </w:r>
      <w:r w:rsidRPr="008C300A">
        <w:rPr>
          <w:i/>
          <w:noProof/>
          <w:sz w:val="22"/>
          <w:szCs w:val="22"/>
        </w:rPr>
        <w:t xml:space="preserve"> J</w:t>
      </w:r>
      <w:r w:rsidRPr="008C300A">
        <w:rPr>
          <w:noProof/>
          <w:sz w:val="22"/>
          <w:szCs w:val="22"/>
        </w:rPr>
        <w:t>. 2011;37(3):624-631.</w:t>
      </w:r>
      <w:bookmarkEnd w:id="45"/>
    </w:p>
    <w:p w:rsidR="0002496E" w:rsidRPr="008C300A" w:rsidRDefault="0002496E" w:rsidP="0002496E">
      <w:pPr>
        <w:rPr>
          <w:noProof/>
          <w:sz w:val="22"/>
          <w:szCs w:val="22"/>
        </w:rPr>
      </w:pPr>
      <w:bookmarkStart w:id="46" w:name="_ENREF_47"/>
      <w:r w:rsidRPr="008C300A">
        <w:rPr>
          <w:noProof/>
          <w:sz w:val="22"/>
          <w:szCs w:val="22"/>
        </w:rPr>
        <w:tab/>
        <w:t>47.</w:t>
      </w:r>
      <w:r w:rsidRPr="008C300A">
        <w:rPr>
          <w:noProof/>
          <w:sz w:val="22"/>
          <w:szCs w:val="22"/>
        </w:rPr>
        <w:tab/>
        <w:t>Sahoo R, Harini VV, Babu VC</w:t>
      </w:r>
      <w:r w:rsidR="00DB7B08" w:rsidRPr="008C300A">
        <w:rPr>
          <w:noProof/>
          <w:sz w:val="22"/>
          <w:szCs w:val="22"/>
        </w:rPr>
        <w:t>,</w:t>
      </w:r>
      <w:r w:rsidRPr="008C300A">
        <w:rPr>
          <w:noProof/>
          <w:sz w:val="22"/>
          <w:szCs w:val="22"/>
        </w:rPr>
        <w:t xml:space="preserve"> et al. Screening for EGFR mutations in lung cancer, a report from India. </w:t>
      </w:r>
      <w:r w:rsidRPr="008C300A">
        <w:rPr>
          <w:i/>
          <w:noProof/>
          <w:sz w:val="22"/>
          <w:szCs w:val="22"/>
        </w:rPr>
        <w:t>Lung Cancer</w:t>
      </w:r>
      <w:r w:rsidRPr="008C300A">
        <w:rPr>
          <w:noProof/>
          <w:sz w:val="22"/>
          <w:szCs w:val="22"/>
        </w:rPr>
        <w:t>. 2011;73(3):316-319.</w:t>
      </w:r>
      <w:bookmarkEnd w:id="46"/>
    </w:p>
    <w:p w:rsidR="0002496E" w:rsidRPr="008C300A" w:rsidRDefault="0002496E" w:rsidP="0002496E">
      <w:pPr>
        <w:rPr>
          <w:noProof/>
          <w:sz w:val="22"/>
          <w:szCs w:val="22"/>
        </w:rPr>
      </w:pPr>
      <w:bookmarkStart w:id="47" w:name="_ENREF_48"/>
      <w:r w:rsidRPr="008C300A">
        <w:rPr>
          <w:noProof/>
          <w:sz w:val="22"/>
          <w:szCs w:val="22"/>
        </w:rPr>
        <w:tab/>
        <w:t>48.</w:t>
      </w:r>
      <w:r w:rsidRPr="008C300A">
        <w:rPr>
          <w:noProof/>
          <w:sz w:val="22"/>
          <w:szCs w:val="22"/>
        </w:rPr>
        <w:tab/>
        <w:t>Blons H, Cote JF, Le Corre D</w:t>
      </w:r>
      <w:r w:rsidR="00D1436C" w:rsidRPr="008C300A">
        <w:rPr>
          <w:noProof/>
          <w:sz w:val="22"/>
          <w:szCs w:val="22"/>
        </w:rPr>
        <w:t>,</w:t>
      </w:r>
      <w:r w:rsidRPr="008C300A">
        <w:rPr>
          <w:noProof/>
          <w:sz w:val="22"/>
          <w:szCs w:val="22"/>
        </w:rPr>
        <w:t xml:space="preserve"> et al. Epidermal growth factor receptor mutation in lung cancer are linked to bronchioloalveolar differentiation. </w:t>
      </w:r>
      <w:r w:rsidRPr="008C300A">
        <w:rPr>
          <w:i/>
          <w:noProof/>
          <w:sz w:val="22"/>
          <w:szCs w:val="22"/>
        </w:rPr>
        <w:t>Am J Surg Pathol</w:t>
      </w:r>
      <w:r w:rsidRPr="008C300A">
        <w:rPr>
          <w:noProof/>
          <w:sz w:val="22"/>
          <w:szCs w:val="22"/>
        </w:rPr>
        <w:t>. 2006;30(10):1309-1315.</w:t>
      </w:r>
      <w:bookmarkEnd w:id="47"/>
    </w:p>
    <w:p w:rsidR="0002496E" w:rsidRPr="008C300A" w:rsidRDefault="0002496E" w:rsidP="0002496E">
      <w:pPr>
        <w:rPr>
          <w:noProof/>
          <w:sz w:val="22"/>
          <w:szCs w:val="22"/>
        </w:rPr>
      </w:pPr>
      <w:bookmarkStart w:id="48" w:name="_ENREF_49"/>
      <w:r w:rsidRPr="008C300A">
        <w:rPr>
          <w:noProof/>
          <w:sz w:val="22"/>
          <w:szCs w:val="22"/>
        </w:rPr>
        <w:tab/>
        <w:t>49.</w:t>
      </w:r>
      <w:r w:rsidRPr="008C300A">
        <w:rPr>
          <w:noProof/>
          <w:sz w:val="22"/>
          <w:szCs w:val="22"/>
        </w:rPr>
        <w:tab/>
        <w:t>Marks JL, Broderick S, Zhou Q</w:t>
      </w:r>
      <w:r w:rsidR="00F0167B" w:rsidRPr="008C300A">
        <w:rPr>
          <w:noProof/>
          <w:sz w:val="22"/>
          <w:szCs w:val="22"/>
        </w:rPr>
        <w:t>,</w:t>
      </w:r>
      <w:r w:rsidRPr="008C300A">
        <w:rPr>
          <w:noProof/>
          <w:sz w:val="22"/>
          <w:szCs w:val="22"/>
        </w:rPr>
        <w:t xml:space="preserve"> et al. Prognostic and therapeutic implications of EGFR and KRAS mutations in resected lung adenocarcinoma. </w:t>
      </w:r>
      <w:r w:rsidRPr="008C300A">
        <w:rPr>
          <w:i/>
          <w:noProof/>
          <w:sz w:val="22"/>
          <w:szCs w:val="22"/>
        </w:rPr>
        <w:t>J Thorac Oncol</w:t>
      </w:r>
      <w:r w:rsidRPr="008C300A">
        <w:rPr>
          <w:noProof/>
          <w:sz w:val="22"/>
          <w:szCs w:val="22"/>
        </w:rPr>
        <w:t>. 2008;3(2):111-116.</w:t>
      </w:r>
      <w:bookmarkEnd w:id="48"/>
    </w:p>
    <w:p w:rsidR="0002496E" w:rsidRPr="008C300A" w:rsidRDefault="0002496E" w:rsidP="0002496E">
      <w:pPr>
        <w:rPr>
          <w:noProof/>
          <w:sz w:val="22"/>
          <w:szCs w:val="22"/>
        </w:rPr>
      </w:pPr>
      <w:bookmarkStart w:id="49" w:name="_ENREF_50"/>
      <w:r w:rsidRPr="008C300A">
        <w:rPr>
          <w:noProof/>
          <w:sz w:val="22"/>
          <w:szCs w:val="22"/>
        </w:rPr>
        <w:tab/>
        <w:t>50.</w:t>
      </w:r>
      <w:r w:rsidRPr="008C300A">
        <w:rPr>
          <w:noProof/>
          <w:sz w:val="22"/>
          <w:szCs w:val="22"/>
        </w:rPr>
        <w:tab/>
        <w:t>Otani H, Toyooka S, Soh J</w:t>
      </w:r>
      <w:r w:rsidR="00F0167B" w:rsidRPr="008C300A">
        <w:rPr>
          <w:noProof/>
          <w:sz w:val="22"/>
          <w:szCs w:val="22"/>
        </w:rPr>
        <w:t>,</w:t>
      </w:r>
      <w:r w:rsidRPr="008C300A">
        <w:rPr>
          <w:noProof/>
          <w:sz w:val="22"/>
          <w:szCs w:val="22"/>
        </w:rPr>
        <w:t xml:space="preserve"> et al. Detection of EGFR gene mutations using the wash fluid of CT-guided biopsy needle in NSCLC patients. </w:t>
      </w:r>
      <w:r w:rsidRPr="008C300A">
        <w:rPr>
          <w:i/>
          <w:noProof/>
          <w:sz w:val="22"/>
          <w:szCs w:val="22"/>
        </w:rPr>
        <w:t>J Thorac Oncol</w:t>
      </w:r>
      <w:r w:rsidRPr="008C300A">
        <w:rPr>
          <w:noProof/>
          <w:sz w:val="22"/>
          <w:szCs w:val="22"/>
        </w:rPr>
        <w:t>. 2008;3(5):472-476.</w:t>
      </w:r>
      <w:bookmarkEnd w:id="49"/>
    </w:p>
    <w:p w:rsidR="0002496E" w:rsidRPr="008C300A" w:rsidRDefault="0002496E" w:rsidP="0002496E">
      <w:pPr>
        <w:rPr>
          <w:noProof/>
          <w:sz w:val="22"/>
          <w:szCs w:val="22"/>
        </w:rPr>
      </w:pPr>
      <w:bookmarkStart w:id="50" w:name="_ENREF_51"/>
      <w:r w:rsidRPr="008C300A">
        <w:rPr>
          <w:noProof/>
          <w:sz w:val="22"/>
          <w:szCs w:val="22"/>
        </w:rPr>
        <w:tab/>
        <w:t>51.</w:t>
      </w:r>
      <w:r w:rsidRPr="008C300A">
        <w:rPr>
          <w:noProof/>
          <w:sz w:val="22"/>
          <w:szCs w:val="22"/>
        </w:rPr>
        <w:tab/>
        <w:t>Endo K, Konishi A, Sasaki H</w:t>
      </w:r>
      <w:r w:rsidR="00F0167B" w:rsidRPr="008C300A">
        <w:rPr>
          <w:noProof/>
          <w:sz w:val="22"/>
          <w:szCs w:val="22"/>
        </w:rPr>
        <w:t>,</w:t>
      </w:r>
      <w:r w:rsidRPr="008C300A">
        <w:rPr>
          <w:noProof/>
          <w:sz w:val="22"/>
          <w:szCs w:val="22"/>
        </w:rPr>
        <w:t xml:space="preserve"> et al. Epidermal growth factor receptor gene mutation in non-small cell lung cancer using highly sensitive and fast TaqMan PCR assay. </w:t>
      </w:r>
      <w:r w:rsidRPr="008C300A">
        <w:rPr>
          <w:i/>
          <w:noProof/>
          <w:sz w:val="22"/>
          <w:szCs w:val="22"/>
        </w:rPr>
        <w:t>Lung Cancer</w:t>
      </w:r>
      <w:r w:rsidRPr="008C300A">
        <w:rPr>
          <w:noProof/>
          <w:sz w:val="22"/>
          <w:szCs w:val="22"/>
        </w:rPr>
        <w:t>. 2005;50(3):375-384.</w:t>
      </w:r>
      <w:bookmarkEnd w:id="50"/>
    </w:p>
    <w:p w:rsidR="0002496E" w:rsidRPr="008C300A" w:rsidRDefault="0002496E" w:rsidP="0002496E">
      <w:pPr>
        <w:rPr>
          <w:noProof/>
          <w:sz w:val="22"/>
          <w:szCs w:val="22"/>
        </w:rPr>
      </w:pPr>
      <w:bookmarkStart w:id="51" w:name="_ENREF_52"/>
      <w:r w:rsidRPr="008C300A">
        <w:rPr>
          <w:noProof/>
          <w:sz w:val="22"/>
          <w:szCs w:val="22"/>
        </w:rPr>
        <w:tab/>
        <w:t>52.</w:t>
      </w:r>
      <w:r w:rsidRPr="008C300A">
        <w:rPr>
          <w:noProof/>
          <w:sz w:val="22"/>
          <w:szCs w:val="22"/>
        </w:rPr>
        <w:tab/>
        <w:t>Endo K, Sasaki H, Yano M</w:t>
      </w:r>
      <w:r w:rsidR="00F0167B" w:rsidRPr="008C300A">
        <w:rPr>
          <w:noProof/>
          <w:sz w:val="22"/>
          <w:szCs w:val="22"/>
        </w:rPr>
        <w:t>,</w:t>
      </w:r>
      <w:r w:rsidRPr="008C300A">
        <w:rPr>
          <w:noProof/>
          <w:sz w:val="22"/>
          <w:szCs w:val="22"/>
        </w:rPr>
        <w:t xml:space="preserve"> et al. Evaluation of the epidermal growth factor receptor gene mutation and copy number in non-small cell lung cancer with gefitinib therapy. </w:t>
      </w:r>
      <w:r w:rsidRPr="008C300A">
        <w:rPr>
          <w:i/>
          <w:noProof/>
          <w:sz w:val="22"/>
          <w:szCs w:val="22"/>
        </w:rPr>
        <w:t>Oncol Rep</w:t>
      </w:r>
      <w:r w:rsidRPr="008C300A">
        <w:rPr>
          <w:noProof/>
          <w:sz w:val="22"/>
          <w:szCs w:val="22"/>
        </w:rPr>
        <w:t>. 2006;16(3):533-541.</w:t>
      </w:r>
      <w:bookmarkEnd w:id="51"/>
    </w:p>
    <w:p w:rsidR="0002496E" w:rsidRPr="008C300A" w:rsidRDefault="0002496E" w:rsidP="0002496E">
      <w:pPr>
        <w:rPr>
          <w:noProof/>
          <w:sz w:val="22"/>
          <w:szCs w:val="22"/>
        </w:rPr>
      </w:pPr>
      <w:bookmarkStart w:id="52" w:name="_ENREF_53"/>
      <w:r w:rsidRPr="008C300A">
        <w:rPr>
          <w:noProof/>
          <w:sz w:val="22"/>
          <w:szCs w:val="22"/>
        </w:rPr>
        <w:tab/>
        <w:t>53.</w:t>
      </w:r>
      <w:r w:rsidRPr="008C300A">
        <w:rPr>
          <w:noProof/>
          <w:sz w:val="22"/>
          <w:szCs w:val="22"/>
        </w:rPr>
        <w:tab/>
        <w:t xml:space="preserve">Dacic S, Shuai Y, Yousem S, Ohori P, Nikiforova M. Clinicopathological predictors of EGFR/KRAS mutational status in primary lung adenocarcinomas. </w:t>
      </w:r>
      <w:r w:rsidRPr="008C300A">
        <w:rPr>
          <w:i/>
          <w:noProof/>
          <w:sz w:val="22"/>
          <w:szCs w:val="22"/>
        </w:rPr>
        <w:t>Mod Pathol</w:t>
      </w:r>
      <w:r w:rsidRPr="008C300A">
        <w:rPr>
          <w:noProof/>
          <w:sz w:val="22"/>
          <w:szCs w:val="22"/>
        </w:rPr>
        <w:t>. 2010;23(2):159-168.</w:t>
      </w:r>
      <w:bookmarkEnd w:id="52"/>
    </w:p>
    <w:p w:rsidR="0002496E" w:rsidRPr="008C300A" w:rsidRDefault="0002496E" w:rsidP="0002496E">
      <w:pPr>
        <w:rPr>
          <w:noProof/>
          <w:sz w:val="22"/>
          <w:szCs w:val="22"/>
        </w:rPr>
      </w:pPr>
      <w:bookmarkStart w:id="53" w:name="_ENREF_54"/>
      <w:r w:rsidRPr="008C300A">
        <w:rPr>
          <w:noProof/>
          <w:sz w:val="22"/>
          <w:szCs w:val="22"/>
        </w:rPr>
        <w:tab/>
        <w:t>54.</w:t>
      </w:r>
      <w:r w:rsidRPr="008C300A">
        <w:rPr>
          <w:noProof/>
          <w:sz w:val="22"/>
          <w:szCs w:val="22"/>
        </w:rPr>
        <w:tab/>
        <w:t>Hirsch FR, Varella-Garcia M, Cappuzzo F</w:t>
      </w:r>
      <w:r w:rsidR="00F0167B" w:rsidRPr="008C300A">
        <w:rPr>
          <w:noProof/>
          <w:sz w:val="22"/>
          <w:szCs w:val="22"/>
        </w:rPr>
        <w:t>,</w:t>
      </w:r>
      <w:r w:rsidRPr="008C300A">
        <w:rPr>
          <w:noProof/>
          <w:sz w:val="22"/>
          <w:szCs w:val="22"/>
        </w:rPr>
        <w:t xml:space="preserve"> et al. Combination of EGFR gene copy number and protein expression predicts outcome for advanced non-small-cell lung cancer patients treated with gefitinib. </w:t>
      </w:r>
      <w:r w:rsidRPr="008C300A">
        <w:rPr>
          <w:i/>
          <w:noProof/>
          <w:sz w:val="22"/>
          <w:szCs w:val="22"/>
        </w:rPr>
        <w:t>Ann Oncol</w:t>
      </w:r>
      <w:r w:rsidRPr="008C300A">
        <w:rPr>
          <w:noProof/>
          <w:sz w:val="22"/>
          <w:szCs w:val="22"/>
        </w:rPr>
        <w:t>. 2007;18(4):752-760.</w:t>
      </w:r>
      <w:bookmarkEnd w:id="53"/>
    </w:p>
    <w:p w:rsidR="0002496E" w:rsidRPr="008C300A" w:rsidRDefault="0002496E" w:rsidP="0002496E">
      <w:pPr>
        <w:rPr>
          <w:noProof/>
          <w:sz w:val="22"/>
          <w:szCs w:val="22"/>
        </w:rPr>
      </w:pPr>
      <w:bookmarkStart w:id="54" w:name="_ENREF_55"/>
      <w:r w:rsidRPr="008C300A">
        <w:rPr>
          <w:noProof/>
          <w:sz w:val="22"/>
          <w:szCs w:val="22"/>
        </w:rPr>
        <w:tab/>
        <w:t>55.</w:t>
      </w:r>
      <w:r w:rsidRPr="008C300A">
        <w:rPr>
          <w:noProof/>
          <w:sz w:val="22"/>
          <w:szCs w:val="22"/>
        </w:rPr>
        <w:tab/>
        <w:t>Janne PA, Borras AM, Kuang Y</w:t>
      </w:r>
      <w:r w:rsidR="00F0167B" w:rsidRPr="008C300A">
        <w:rPr>
          <w:noProof/>
          <w:sz w:val="22"/>
          <w:szCs w:val="22"/>
        </w:rPr>
        <w:t>,</w:t>
      </w:r>
      <w:r w:rsidRPr="008C300A">
        <w:rPr>
          <w:noProof/>
          <w:sz w:val="22"/>
          <w:szCs w:val="22"/>
        </w:rPr>
        <w:t xml:space="preserve"> et al. A rapid and sensitive enzymatic method for epidermal growth factor receptor mutation screening. </w:t>
      </w:r>
      <w:r w:rsidRPr="008C300A">
        <w:rPr>
          <w:i/>
          <w:noProof/>
          <w:sz w:val="22"/>
          <w:szCs w:val="22"/>
        </w:rPr>
        <w:t>Clin Cancer Res</w:t>
      </w:r>
      <w:r w:rsidRPr="008C300A">
        <w:rPr>
          <w:noProof/>
          <w:sz w:val="22"/>
          <w:szCs w:val="22"/>
        </w:rPr>
        <w:t>. 2006;12(3 Pt 1):751-758.</w:t>
      </w:r>
      <w:bookmarkEnd w:id="54"/>
    </w:p>
    <w:p w:rsidR="0002496E" w:rsidRPr="008C300A" w:rsidRDefault="0002496E" w:rsidP="0002496E">
      <w:pPr>
        <w:rPr>
          <w:noProof/>
          <w:sz w:val="22"/>
          <w:szCs w:val="22"/>
        </w:rPr>
      </w:pPr>
      <w:bookmarkStart w:id="55" w:name="_ENREF_56"/>
      <w:r w:rsidRPr="008C300A">
        <w:rPr>
          <w:noProof/>
          <w:sz w:val="22"/>
          <w:szCs w:val="22"/>
        </w:rPr>
        <w:lastRenderedPageBreak/>
        <w:tab/>
        <w:t>56.</w:t>
      </w:r>
      <w:r w:rsidRPr="008C300A">
        <w:rPr>
          <w:noProof/>
          <w:sz w:val="22"/>
          <w:szCs w:val="22"/>
        </w:rPr>
        <w:tab/>
        <w:t>Koivunen JP, Mermel C, Zejnullahu K</w:t>
      </w:r>
      <w:r w:rsidR="00F0167B" w:rsidRPr="008C300A">
        <w:rPr>
          <w:noProof/>
          <w:sz w:val="22"/>
          <w:szCs w:val="22"/>
        </w:rPr>
        <w:t>,</w:t>
      </w:r>
      <w:r w:rsidRPr="008C300A">
        <w:rPr>
          <w:noProof/>
          <w:sz w:val="22"/>
          <w:szCs w:val="22"/>
        </w:rPr>
        <w:t xml:space="preserve"> et al. EML4-ALK fusion gene and efficacy of an ALK kinase inhibitor in lung cancer. </w:t>
      </w:r>
      <w:r w:rsidRPr="008C300A">
        <w:rPr>
          <w:i/>
          <w:noProof/>
          <w:sz w:val="22"/>
          <w:szCs w:val="22"/>
        </w:rPr>
        <w:t>Clin Cancer Res</w:t>
      </w:r>
      <w:r w:rsidRPr="008C300A">
        <w:rPr>
          <w:noProof/>
          <w:sz w:val="22"/>
          <w:szCs w:val="22"/>
        </w:rPr>
        <w:t>. 2008;14(13):4275-4283.</w:t>
      </w:r>
      <w:bookmarkEnd w:id="55"/>
    </w:p>
    <w:p w:rsidR="0002496E" w:rsidRPr="008C300A" w:rsidRDefault="0002496E" w:rsidP="0002496E">
      <w:pPr>
        <w:rPr>
          <w:noProof/>
          <w:sz w:val="22"/>
          <w:szCs w:val="22"/>
        </w:rPr>
      </w:pPr>
      <w:bookmarkStart w:id="56" w:name="_ENREF_57"/>
      <w:r w:rsidRPr="008C300A">
        <w:rPr>
          <w:noProof/>
          <w:sz w:val="22"/>
          <w:szCs w:val="22"/>
        </w:rPr>
        <w:tab/>
        <w:t>57.</w:t>
      </w:r>
      <w:r w:rsidRPr="008C300A">
        <w:rPr>
          <w:noProof/>
          <w:sz w:val="22"/>
          <w:szCs w:val="22"/>
        </w:rPr>
        <w:tab/>
        <w:t>Rodig SJ, Mino-Kenudson M, Dacic S</w:t>
      </w:r>
      <w:r w:rsidR="00F0167B" w:rsidRPr="008C300A">
        <w:rPr>
          <w:noProof/>
          <w:sz w:val="22"/>
          <w:szCs w:val="22"/>
        </w:rPr>
        <w:t>,</w:t>
      </w:r>
      <w:r w:rsidRPr="008C300A">
        <w:rPr>
          <w:noProof/>
          <w:sz w:val="22"/>
          <w:szCs w:val="22"/>
        </w:rPr>
        <w:t xml:space="preserve"> et al. Unique clinicopathologic features characterize ALK-rearranged lung adenocarcinoma in the western population. </w:t>
      </w:r>
      <w:r w:rsidRPr="008C300A">
        <w:rPr>
          <w:i/>
          <w:noProof/>
          <w:sz w:val="22"/>
          <w:szCs w:val="22"/>
        </w:rPr>
        <w:t>Clin Cancer Res</w:t>
      </w:r>
      <w:r w:rsidRPr="008C300A">
        <w:rPr>
          <w:noProof/>
          <w:sz w:val="22"/>
          <w:szCs w:val="22"/>
        </w:rPr>
        <w:t>. 2009;15(16):5216-5223.</w:t>
      </w:r>
      <w:bookmarkEnd w:id="56"/>
    </w:p>
    <w:p w:rsidR="0002496E" w:rsidRPr="008C300A" w:rsidRDefault="0002496E" w:rsidP="0002496E">
      <w:pPr>
        <w:rPr>
          <w:noProof/>
          <w:sz w:val="22"/>
          <w:szCs w:val="22"/>
        </w:rPr>
      </w:pPr>
      <w:bookmarkStart w:id="57" w:name="_ENREF_58"/>
      <w:r w:rsidRPr="008C300A">
        <w:rPr>
          <w:noProof/>
          <w:sz w:val="22"/>
          <w:szCs w:val="22"/>
        </w:rPr>
        <w:tab/>
        <w:t>58.</w:t>
      </w:r>
      <w:r w:rsidRPr="008C300A">
        <w:rPr>
          <w:noProof/>
          <w:sz w:val="22"/>
          <w:szCs w:val="22"/>
        </w:rPr>
        <w:tab/>
        <w:t>Boland JM, Erdogan S, Vasmatzis G</w:t>
      </w:r>
      <w:r w:rsidR="00F0167B" w:rsidRPr="008C300A">
        <w:rPr>
          <w:noProof/>
          <w:sz w:val="22"/>
          <w:szCs w:val="22"/>
        </w:rPr>
        <w:t>,</w:t>
      </w:r>
      <w:r w:rsidRPr="008C300A">
        <w:rPr>
          <w:noProof/>
          <w:sz w:val="22"/>
          <w:szCs w:val="22"/>
        </w:rPr>
        <w:t xml:space="preserve"> et al. Anaplastic lymphoma kinase immunoreactivity correlates with ALK gene rearrangement and transcriptional up-regulation in non-small cell lung carcinomas. </w:t>
      </w:r>
      <w:r w:rsidRPr="008C300A">
        <w:rPr>
          <w:i/>
          <w:noProof/>
          <w:sz w:val="22"/>
          <w:szCs w:val="22"/>
        </w:rPr>
        <w:t>Hum Pathol</w:t>
      </w:r>
      <w:r w:rsidRPr="008C300A">
        <w:rPr>
          <w:noProof/>
          <w:sz w:val="22"/>
          <w:szCs w:val="22"/>
        </w:rPr>
        <w:t>. 2009;40(8):1152-1158.</w:t>
      </w:r>
      <w:bookmarkEnd w:id="57"/>
    </w:p>
    <w:p w:rsidR="0002496E" w:rsidRPr="008C300A" w:rsidRDefault="0002496E" w:rsidP="0002496E">
      <w:pPr>
        <w:rPr>
          <w:noProof/>
          <w:sz w:val="22"/>
          <w:szCs w:val="22"/>
        </w:rPr>
      </w:pPr>
      <w:bookmarkStart w:id="58" w:name="_ENREF_59"/>
      <w:r w:rsidRPr="008C300A">
        <w:rPr>
          <w:noProof/>
          <w:sz w:val="22"/>
          <w:szCs w:val="22"/>
        </w:rPr>
        <w:tab/>
        <w:t>59.</w:t>
      </w:r>
      <w:r w:rsidRPr="008C300A">
        <w:rPr>
          <w:noProof/>
          <w:sz w:val="22"/>
          <w:szCs w:val="22"/>
        </w:rPr>
        <w:tab/>
        <w:t>Inamura K, Takeuchi K, Togashi Y</w:t>
      </w:r>
      <w:r w:rsidR="00F0167B" w:rsidRPr="008C300A">
        <w:rPr>
          <w:noProof/>
          <w:sz w:val="22"/>
          <w:szCs w:val="22"/>
        </w:rPr>
        <w:t>,</w:t>
      </w:r>
      <w:r w:rsidRPr="008C300A">
        <w:rPr>
          <w:noProof/>
          <w:sz w:val="22"/>
          <w:szCs w:val="22"/>
        </w:rPr>
        <w:t xml:space="preserve"> et al. EML4-ALK lung cancers are characterized by rare other mutations, a TTF-1 cell lineage, an acinar histology, and young onset. </w:t>
      </w:r>
      <w:r w:rsidRPr="008C300A">
        <w:rPr>
          <w:i/>
          <w:noProof/>
          <w:sz w:val="22"/>
          <w:szCs w:val="22"/>
        </w:rPr>
        <w:t>Mod Pathol</w:t>
      </w:r>
      <w:r w:rsidRPr="008C300A">
        <w:rPr>
          <w:noProof/>
          <w:sz w:val="22"/>
          <w:szCs w:val="22"/>
        </w:rPr>
        <w:t>. 2009;22(4):508-515.</w:t>
      </w:r>
      <w:bookmarkEnd w:id="58"/>
    </w:p>
    <w:p w:rsidR="0002496E" w:rsidRPr="008C300A" w:rsidRDefault="0002496E" w:rsidP="0002496E">
      <w:pPr>
        <w:rPr>
          <w:noProof/>
          <w:sz w:val="22"/>
          <w:szCs w:val="22"/>
        </w:rPr>
      </w:pPr>
      <w:bookmarkStart w:id="59" w:name="_ENREF_60"/>
      <w:r w:rsidRPr="008C300A">
        <w:rPr>
          <w:noProof/>
          <w:sz w:val="22"/>
          <w:szCs w:val="22"/>
        </w:rPr>
        <w:tab/>
        <w:t>60.</w:t>
      </w:r>
      <w:r w:rsidRPr="008C300A">
        <w:rPr>
          <w:noProof/>
          <w:sz w:val="22"/>
          <w:szCs w:val="22"/>
        </w:rPr>
        <w:tab/>
        <w:t>Kwak EL, Bang YJ, Camidge DR</w:t>
      </w:r>
      <w:r w:rsidR="00F0167B" w:rsidRPr="008C300A">
        <w:rPr>
          <w:noProof/>
          <w:sz w:val="22"/>
          <w:szCs w:val="22"/>
        </w:rPr>
        <w:t>,</w:t>
      </w:r>
      <w:r w:rsidRPr="008C300A">
        <w:rPr>
          <w:noProof/>
          <w:sz w:val="22"/>
          <w:szCs w:val="22"/>
        </w:rPr>
        <w:t xml:space="preserve"> et al. Anaplastic lymphoma kinase inhibition in non-small-cell lung cancer. </w:t>
      </w:r>
      <w:r w:rsidRPr="008C300A">
        <w:rPr>
          <w:i/>
          <w:noProof/>
          <w:sz w:val="22"/>
          <w:szCs w:val="22"/>
        </w:rPr>
        <w:t>N Engl J Med</w:t>
      </w:r>
      <w:r w:rsidRPr="008C300A">
        <w:rPr>
          <w:noProof/>
          <w:sz w:val="22"/>
          <w:szCs w:val="22"/>
        </w:rPr>
        <w:t>. 2010;363(18):1693-1703.</w:t>
      </w:r>
      <w:bookmarkEnd w:id="59"/>
    </w:p>
    <w:p w:rsidR="0002496E" w:rsidRPr="008C300A" w:rsidRDefault="0002496E" w:rsidP="0002496E">
      <w:pPr>
        <w:rPr>
          <w:noProof/>
          <w:sz w:val="22"/>
          <w:szCs w:val="22"/>
        </w:rPr>
      </w:pPr>
      <w:bookmarkStart w:id="60" w:name="_ENREF_61"/>
      <w:r w:rsidRPr="008C300A">
        <w:rPr>
          <w:noProof/>
          <w:sz w:val="22"/>
          <w:szCs w:val="22"/>
        </w:rPr>
        <w:tab/>
        <w:t>61.</w:t>
      </w:r>
      <w:r w:rsidRPr="008C300A">
        <w:rPr>
          <w:noProof/>
          <w:sz w:val="22"/>
          <w:szCs w:val="22"/>
        </w:rPr>
        <w:tab/>
        <w:t>Kim H, Yoo S-B, Choe J-Y</w:t>
      </w:r>
      <w:r w:rsidR="00F0167B" w:rsidRPr="008C300A">
        <w:rPr>
          <w:noProof/>
          <w:sz w:val="22"/>
          <w:szCs w:val="22"/>
        </w:rPr>
        <w:t>,</w:t>
      </w:r>
      <w:r w:rsidRPr="008C300A">
        <w:rPr>
          <w:noProof/>
          <w:sz w:val="22"/>
          <w:szCs w:val="22"/>
        </w:rPr>
        <w:t xml:space="preserve"> et al. Detection of ALK gene rearrangement in non-small cell lung cancer: a comparison of fluorescence in situ hybridization and chromogenic in situ hybridization with correlation of ALK protein expression. </w:t>
      </w:r>
      <w:r w:rsidRPr="008C300A">
        <w:rPr>
          <w:i/>
          <w:noProof/>
          <w:sz w:val="22"/>
          <w:szCs w:val="22"/>
        </w:rPr>
        <w:t>J Thorac Oncol</w:t>
      </w:r>
      <w:r w:rsidRPr="008C300A">
        <w:rPr>
          <w:noProof/>
          <w:sz w:val="22"/>
          <w:szCs w:val="22"/>
        </w:rPr>
        <w:t>. 2011;6(8):1359-1366.</w:t>
      </w:r>
      <w:bookmarkEnd w:id="60"/>
    </w:p>
    <w:p w:rsidR="0002496E" w:rsidRPr="008C300A" w:rsidRDefault="0002496E" w:rsidP="0002496E">
      <w:pPr>
        <w:rPr>
          <w:noProof/>
          <w:sz w:val="22"/>
          <w:szCs w:val="22"/>
        </w:rPr>
      </w:pPr>
      <w:bookmarkStart w:id="61" w:name="_ENREF_62"/>
      <w:r w:rsidRPr="008C300A">
        <w:rPr>
          <w:noProof/>
          <w:sz w:val="22"/>
          <w:szCs w:val="22"/>
        </w:rPr>
        <w:tab/>
        <w:t>62.</w:t>
      </w:r>
      <w:r w:rsidRPr="008C300A">
        <w:rPr>
          <w:noProof/>
          <w:sz w:val="22"/>
          <w:szCs w:val="22"/>
        </w:rPr>
        <w:tab/>
        <w:t>Shaw AT, Yeap BY, Solomon BJ</w:t>
      </w:r>
      <w:r w:rsidR="00F0167B" w:rsidRPr="008C300A">
        <w:rPr>
          <w:noProof/>
          <w:sz w:val="22"/>
          <w:szCs w:val="22"/>
        </w:rPr>
        <w:t>,</w:t>
      </w:r>
      <w:r w:rsidRPr="008C300A">
        <w:rPr>
          <w:noProof/>
          <w:sz w:val="22"/>
          <w:szCs w:val="22"/>
        </w:rPr>
        <w:t xml:space="preserve"> et al. Effect of crizotinib on overall survival in patients with advanced non-small-cell lung cancer harbouring ALK gene rearrangement: a retrospective analysis. </w:t>
      </w:r>
      <w:r w:rsidRPr="008C300A">
        <w:rPr>
          <w:i/>
          <w:noProof/>
          <w:sz w:val="22"/>
          <w:szCs w:val="22"/>
        </w:rPr>
        <w:t>Lancet Oncol</w:t>
      </w:r>
      <w:r w:rsidRPr="008C300A">
        <w:rPr>
          <w:noProof/>
          <w:sz w:val="22"/>
          <w:szCs w:val="22"/>
        </w:rPr>
        <w:t>. 2011;12(11):1004-1012.</w:t>
      </w:r>
      <w:bookmarkEnd w:id="61"/>
    </w:p>
    <w:p w:rsidR="0002496E" w:rsidRPr="008C300A" w:rsidRDefault="0002496E" w:rsidP="0002496E">
      <w:pPr>
        <w:rPr>
          <w:noProof/>
          <w:sz w:val="22"/>
          <w:szCs w:val="22"/>
        </w:rPr>
      </w:pPr>
      <w:bookmarkStart w:id="62" w:name="_ENREF_63"/>
      <w:r w:rsidRPr="008C300A">
        <w:rPr>
          <w:noProof/>
          <w:sz w:val="22"/>
          <w:szCs w:val="22"/>
        </w:rPr>
        <w:tab/>
        <w:t>63.</w:t>
      </w:r>
      <w:r w:rsidRPr="008C300A">
        <w:rPr>
          <w:noProof/>
          <w:sz w:val="22"/>
          <w:szCs w:val="22"/>
        </w:rPr>
        <w:tab/>
        <w:t>Paik JH, Choe G, Kim H</w:t>
      </w:r>
      <w:r w:rsidR="00F0167B" w:rsidRPr="008C300A">
        <w:rPr>
          <w:noProof/>
          <w:sz w:val="22"/>
          <w:szCs w:val="22"/>
        </w:rPr>
        <w:t>,</w:t>
      </w:r>
      <w:r w:rsidRPr="008C300A">
        <w:rPr>
          <w:noProof/>
          <w:sz w:val="22"/>
          <w:szCs w:val="22"/>
        </w:rPr>
        <w:t xml:space="preserve"> et al. Screening of anaplastic lymphoma kinase rearrangement by immunohistochemistry in non-small cell lung cancer: correlation with fluorescence in situ hybridization. </w:t>
      </w:r>
      <w:r w:rsidRPr="008C300A">
        <w:rPr>
          <w:i/>
          <w:noProof/>
          <w:sz w:val="22"/>
          <w:szCs w:val="22"/>
        </w:rPr>
        <w:t>J</w:t>
      </w:r>
      <w:r w:rsidR="00F0167B" w:rsidRPr="008C300A">
        <w:rPr>
          <w:i/>
          <w:noProof/>
          <w:sz w:val="22"/>
          <w:szCs w:val="22"/>
        </w:rPr>
        <w:t xml:space="preserve"> T</w:t>
      </w:r>
      <w:r w:rsidRPr="008C300A">
        <w:rPr>
          <w:i/>
          <w:noProof/>
          <w:sz w:val="22"/>
          <w:szCs w:val="22"/>
        </w:rPr>
        <w:t>horac</w:t>
      </w:r>
      <w:r w:rsidR="00F0167B" w:rsidRPr="008C300A">
        <w:rPr>
          <w:i/>
          <w:noProof/>
          <w:sz w:val="22"/>
          <w:szCs w:val="22"/>
        </w:rPr>
        <w:t xml:space="preserve"> O</w:t>
      </w:r>
      <w:r w:rsidRPr="008C300A">
        <w:rPr>
          <w:i/>
          <w:noProof/>
          <w:sz w:val="22"/>
          <w:szCs w:val="22"/>
        </w:rPr>
        <w:t>ncol</w:t>
      </w:r>
      <w:r w:rsidRPr="008C300A">
        <w:rPr>
          <w:noProof/>
          <w:sz w:val="22"/>
          <w:szCs w:val="22"/>
        </w:rPr>
        <w:t>. 2011;6(3):466-472.</w:t>
      </w:r>
      <w:bookmarkEnd w:id="62"/>
    </w:p>
    <w:p w:rsidR="0002496E" w:rsidRPr="008C300A" w:rsidRDefault="0002496E" w:rsidP="0002496E">
      <w:pPr>
        <w:rPr>
          <w:noProof/>
          <w:sz w:val="22"/>
          <w:szCs w:val="22"/>
        </w:rPr>
      </w:pPr>
      <w:bookmarkStart w:id="63" w:name="_ENREF_64"/>
      <w:r w:rsidRPr="008C300A">
        <w:rPr>
          <w:noProof/>
          <w:sz w:val="22"/>
          <w:szCs w:val="22"/>
        </w:rPr>
        <w:tab/>
        <w:t>64.</w:t>
      </w:r>
      <w:r w:rsidRPr="008C300A">
        <w:rPr>
          <w:noProof/>
          <w:sz w:val="22"/>
          <w:szCs w:val="22"/>
        </w:rPr>
        <w:tab/>
        <w:t>Salido M, Pijuan L, Martinez-Aviles L</w:t>
      </w:r>
      <w:r w:rsidR="00F0167B" w:rsidRPr="008C300A">
        <w:rPr>
          <w:noProof/>
          <w:sz w:val="22"/>
          <w:szCs w:val="22"/>
        </w:rPr>
        <w:t>,</w:t>
      </w:r>
      <w:r w:rsidRPr="008C300A">
        <w:rPr>
          <w:noProof/>
          <w:sz w:val="22"/>
          <w:szCs w:val="22"/>
        </w:rPr>
        <w:t xml:space="preserve"> et al. Increased ALK gene copy number and amplification are frequent in non-small cell lung cancer. </w:t>
      </w:r>
      <w:r w:rsidRPr="008C300A">
        <w:rPr>
          <w:i/>
          <w:noProof/>
          <w:sz w:val="22"/>
          <w:szCs w:val="22"/>
        </w:rPr>
        <w:t>J Thorac</w:t>
      </w:r>
      <w:r w:rsidR="00F0167B" w:rsidRPr="008C300A">
        <w:rPr>
          <w:i/>
          <w:noProof/>
          <w:sz w:val="22"/>
          <w:szCs w:val="22"/>
        </w:rPr>
        <w:t xml:space="preserve"> </w:t>
      </w:r>
      <w:r w:rsidRPr="008C300A">
        <w:rPr>
          <w:i/>
          <w:noProof/>
          <w:sz w:val="22"/>
          <w:szCs w:val="22"/>
        </w:rPr>
        <w:t>Oncol</w:t>
      </w:r>
      <w:r w:rsidRPr="008C300A">
        <w:rPr>
          <w:noProof/>
          <w:sz w:val="22"/>
          <w:szCs w:val="22"/>
        </w:rPr>
        <w:t>. 2011;6(1):21-27.</w:t>
      </w:r>
      <w:bookmarkEnd w:id="63"/>
    </w:p>
    <w:p w:rsidR="0002496E" w:rsidRPr="008C300A" w:rsidRDefault="0002496E" w:rsidP="0002496E">
      <w:pPr>
        <w:rPr>
          <w:noProof/>
          <w:sz w:val="22"/>
          <w:szCs w:val="22"/>
        </w:rPr>
      </w:pPr>
      <w:bookmarkStart w:id="64" w:name="_ENREF_65"/>
      <w:r w:rsidRPr="008C300A">
        <w:rPr>
          <w:noProof/>
          <w:sz w:val="22"/>
          <w:szCs w:val="22"/>
        </w:rPr>
        <w:tab/>
        <w:t>65.</w:t>
      </w:r>
      <w:r w:rsidRPr="008C300A">
        <w:rPr>
          <w:noProof/>
          <w:sz w:val="22"/>
          <w:szCs w:val="22"/>
        </w:rPr>
        <w:tab/>
        <w:t>Shinmura K, Kageyama S, Tao H</w:t>
      </w:r>
      <w:r w:rsidR="00F0167B" w:rsidRPr="008C300A">
        <w:rPr>
          <w:noProof/>
          <w:sz w:val="22"/>
          <w:szCs w:val="22"/>
        </w:rPr>
        <w:t>,</w:t>
      </w:r>
      <w:r w:rsidRPr="008C300A">
        <w:rPr>
          <w:noProof/>
          <w:sz w:val="22"/>
          <w:szCs w:val="22"/>
        </w:rPr>
        <w:t xml:space="preserve"> et al. EML4-ALK fusion transcripts, but no NPM-, TPM3-, CLTC-, ATIC-, or TFG-ALK fusion transcripts, in non-small cell lung carcinomas. </w:t>
      </w:r>
      <w:r w:rsidRPr="008C300A">
        <w:rPr>
          <w:i/>
          <w:noProof/>
          <w:sz w:val="22"/>
          <w:szCs w:val="22"/>
        </w:rPr>
        <w:t>Lung Cancer</w:t>
      </w:r>
      <w:r w:rsidRPr="008C300A">
        <w:rPr>
          <w:noProof/>
          <w:sz w:val="22"/>
          <w:szCs w:val="22"/>
        </w:rPr>
        <w:t>. 2008;61(2):163-169.</w:t>
      </w:r>
      <w:bookmarkEnd w:id="64"/>
    </w:p>
    <w:p w:rsidR="0002496E" w:rsidRPr="008C300A" w:rsidRDefault="0002496E" w:rsidP="0002496E">
      <w:pPr>
        <w:rPr>
          <w:noProof/>
          <w:sz w:val="22"/>
          <w:szCs w:val="22"/>
        </w:rPr>
      </w:pPr>
      <w:bookmarkStart w:id="65" w:name="_ENREF_66"/>
      <w:r w:rsidRPr="008C300A">
        <w:rPr>
          <w:noProof/>
          <w:sz w:val="22"/>
          <w:szCs w:val="22"/>
        </w:rPr>
        <w:tab/>
        <w:t>66.</w:t>
      </w:r>
      <w:r w:rsidRPr="008C300A">
        <w:rPr>
          <w:noProof/>
          <w:sz w:val="22"/>
          <w:szCs w:val="22"/>
        </w:rPr>
        <w:tab/>
        <w:t>Park S, Holmes-Tisch AJ, Cho EY</w:t>
      </w:r>
      <w:r w:rsidR="00F0167B" w:rsidRPr="008C300A">
        <w:rPr>
          <w:noProof/>
          <w:sz w:val="22"/>
          <w:szCs w:val="22"/>
        </w:rPr>
        <w:t>,</w:t>
      </w:r>
      <w:r w:rsidRPr="008C300A">
        <w:rPr>
          <w:noProof/>
          <w:sz w:val="22"/>
          <w:szCs w:val="22"/>
        </w:rPr>
        <w:t xml:space="preserve"> et al. Discordance of molecular biomarkers associated with epidermal growth factor receptor pathway between primary tumors and lymph node metastasis in non-small cell lung cancer. </w:t>
      </w:r>
      <w:r w:rsidRPr="008C300A">
        <w:rPr>
          <w:i/>
          <w:noProof/>
          <w:sz w:val="22"/>
          <w:szCs w:val="22"/>
        </w:rPr>
        <w:t>J Thorac Oncol</w:t>
      </w:r>
      <w:r w:rsidRPr="008C300A">
        <w:rPr>
          <w:noProof/>
          <w:sz w:val="22"/>
          <w:szCs w:val="22"/>
        </w:rPr>
        <w:t>. 2009;4(7):809-815.</w:t>
      </w:r>
      <w:bookmarkEnd w:id="65"/>
    </w:p>
    <w:p w:rsidR="0002496E" w:rsidRPr="008C300A" w:rsidRDefault="0002496E" w:rsidP="0002496E">
      <w:pPr>
        <w:rPr>
          <w:noProof/>
          <w:sz w:val="22"/>
          <w:szCs w:val="22"/>
        </w:rPr>
      </w:pPr>
      <w:bookmarkStart w:id="66" w:name="_ENREF_67"/>
      <w:r w:rsidRPr="008C300A">
        <w:rPr>
          <w:noProof/>
          <w:sz w:val="22"/>
          <w:szCs w:val="22"/>
        </w:rPr>
        <w:tab/>
        <w:t>67.</w:t>
      </w:r>
      <w:r w:rsidRPr="008C300A">
        <w:rPr>
          <w:noProof/>
          <w:sz w:val="22"/>
          <w:szCs w:val="22"/>
        </w:rPr>
        <w:tab/>
        <w:t xml:space="preserve">Sun L, Zhang Q, Luan H, Zhan Z, Wang C, Sun B. Comparison of KRAS and EGFR gene status between primary non-small cell lung cancer and local lymph node metastases: implications for clinical practice. </w:t>
      </w:r>
      <w:r w:rsidRPr="008C300A">
        <w:rPr>
          <w:i/>
          <w:noProof/>
          <w:sz w:val="22"/>
          <w:szCs w:val="22"/>
        </w:rPr>
        <w:t>J Exp Clin Cancer Res</w:t>
      </w:r>
      <w:r w:rsidRPr="008C300A">
        <w:rPr>
          <w:noProof/>
          <w:sz w:val="22"/>
          <w:szCs w:val="22"/>
        </w:rPr>
        <w:t>. 2011;30:30.</w:t>
      </w:r>
      <w:bookmarkEnd w:id="66"/>
    </w:p>
    <w:p w:rsidR="0002496E" w:rsidRPr="008C300A" w:rsidRDefault="0002496E" w:rsidP="0002496E">
      <w:pPr>
        <w:rPr>
          <w:noProof/>
          <w:sz w:val="22"/>
          <w:szCs w:val="22"/>
        </w:rPr>
      </w:pPr>
      <w:bookmarkStart w:id="67" w:name="_ENREF_68"/>
      <w:r w:rsidRPr="008C300A">
        <w:rPr>
          <w:noProof/>
          <w:sz w:val="22"/>
          <w:szCs w:val="22"/>
        </w:rPr>
        <w:tab/>
        <w:t>68.</w:t>
      </w:r>
      <w:r w:rsidRPr="008C300A">
        <w:rPr>
          <w:noProof/>
          <w:sz w:val="22"/>
          <w:szCs w:val="22"/>
        </w:rPr>
        <w:tab/>
        <w:t xml:space="preserve">Yatabe Y, Matsuo K, Mitsudomi T. Heterogeneous distribution of EGFR mutations is extremely rare in lung adenocarcinoma. </w:t>
      </w:r>
      <w:r w:rsidRPr="008C300A">
        <w:rPr>
          <w:i/>
          <w:noProof/>
          <w:sz w:val="22"/>
          <w:szCs w:val="22"/>
        </w:rPr>
        <w:t>J</w:t>
      </w:r>
      <w:r w:rsidR="00F0167B" w:rsidRPr="008C300A">
        <w:rPr>
          <w:i/>
          <w:noProof/>
          <w:sz w:val="22"/>
          <w:szCs w:val="22"/>
        </w:rPr>
        <w:t xml:space="preserve"> C</w:t>
      </w:r>
      <w:r w:rsidRPr="008C300A">
        <w:rPr>
          <w:i/>
          <w:noProof/>
          <w:sz w:val="22"/>
          <w:szCs w:val="22"/>
        </w:rPr>
        <w:t xml:space="preserve">lin </w:t>
      </w:r>
      <w:r w:rsidR="00F0167B" w:rsidRPr="008C300A">
        <w:rPr>
          <w:i/>
          <w:noProof/>
          <w:sz w:val="22"/>
          <w:szCs w:val="22"/>
        </w:rPr>
        <w:t>O</w:t>
      </w:r>
      <w:r w:rsidRPr="008C300A">
        <w:rPr>
          <w:i/>
          <w:noProof/>
          <w:sz w:val="22"/>
          <w:szCs w:val="22"/>
        </w:rPr>
        <w:t>ncol</w:t>
      </w:r>
      <w:r w:rsidRPr="008C300A">
        <w:rPr>
          <w:noProof/>
          <w:sz w:val="22"/>
          <w:szCs w:val="22"/>
        </w:rPr>
        <w:t>. 2011;29(22):2972-2977.</w:t>
      </w:r>
      <w:bookmarkEnd w:id="67"/>
    </w:p>
    <w:p w:rsidR="0002496E" w:rsidRPr="008C300A" w:rsidRDefault="0002496E" w:rsidP="0002496E">
      <w:pPr>
        <w:rPr>
          <w:noProof/>
          <w:sz w:val="22"/>
          <w:szCs w:val="22"/>
        </w:rPr>
      </w:pPr>
      <w:bookmarkStart w:id="68" w:name="_ENREF_69"/>
      <w:r w:rsidRPr="008C300A">
        <w:rPr>
          <w:noProof/>
          <w:sz w:val="22"/>
          <w:szCs w:val="22"/>
        </w:rPr>
        <w:tab/>
        <w:t>69.</w:t>
      </w:r>
      <w:r w:rsidRPr="008C300A">
        <w:rPr>
          <w:noProof/>
          <w:sz w:val="22"/>
          <w:szCs w:val="22"/>
        </w:rPr>
        <w:tab/>
        <w:t>Ahn MJ, Park BB, Ahn JS</w:t>
      </w:r>
      <w:r w:rsidR="00F0167B" w:rsidRPr="008C300A">
        <w:rPr>
          <w:noProof/>
          <w:sz w:val="22"/>
          <w:szCs w:val="22"/>
        </w:rPr>
        <w:t>,</w:t>
      </w:r>
      <w:r w:rsidRPr="008C300A">
        <w:rPr>
          <w:noProof/>
          <w:sz w:val="22"/>
          <w:szCs w:val="22"/>
        </w:rPr>
        <w:t xml:space="preserve"> et al. Are there any ethnic differences in molecular predictors of erlotinib efficacy in advanced non-small cell lung cancer? </w:t>
      </w:r>
      <w:r w:rsidRPr="008C300A">
        <w:rPr>
          <w:i/>
          <w:noProof/>
          <w:sz w:val="22"/>
          <w:szCs w:val="22"/>
        </w:rPr>
        <w:t>Clin Cancer Res</w:t>
      </w:r>
      <w:r w:rsidRPr="008C300A">
        <w:rPr>
          <w:noProof/>
          <w:sz w:val="22"/>
          <w:szCs w:val="22"/>
        </w:rPr>
        <w:t>. 2008;14(12):3860-3866.</w:t>
      </w:r>
      <w:bookmarkEnd w:id="68"/>
    </w:p>
    <w:p w:rsidR="0002496E" w:rsidRPr="008C300A" w:rsidRDefault="0002496E" w:rsidP="0002496E">
      <w:pPr>
        <w:rPr>
          <w:noProof/>
          <w:sz w:val="22"/>
          <w:szCs w:val="22"/>
        </w:rPr>
      </w:pPr>
      <w:bookmarkStart w:id="69" w:name="_ENREF_70"/>
      <w:r w:rsidRPr="008C300A">
        <w:rPr>
          <w:noProof/>
          <w:sz w:val="22"/>
          <w:szCs w:val="22"/>
        </w:rPr>
        <w:tab/>
        <w:t>70.</w:t>
      </w:r>
      <w:r w:rsidRPr="008C300A">
        <w:rPr>
          <w:noProof/>
          <w:sz w:val="22"/>
          <w:szCs w:val="22"/>
        </w:rPr>
        <w:tab/>
        <w:t>Bell DW, Lynch TJ, Haserlat SM</w:t>
      </w:r>
      <w:r w:rsidR="00F0167B" w:rsidRPr="008C300A">
        <w:rPr>
          <w:noProof/>
          <w:sz w:val="22"/>
          <w:szCs w:val="22"/>
        </w:rPr>
        <w:t>,</w:t>
      </w:r>
      <w:r w:rsidRPr="008C300A">
        <w:rPr>
          <w:noProof/>
          <w:sz w:val="22"/>
          <w:szCs w:val="22"/>
        </w:rPr>
        <w:t xml:space="preserve"> et al. Epidermal growth factor receptor mutations and gene amplification in non-small-cell lung cancer: molecular analysis of the IDEAL/INTACT gefitinib trials. </w:t>
      </w:r>
      <w:r w:rsidRPr="008C300A">
        <w:rPr>
          <w:i/>
          <w:noProof/>
          <w:sz w:val="22"/>
          <w:szCs w:val="22"/>
        </w:rPr>
        <w:t>J Clin Oncol</w:t>
      </w:r>
      <w:r w:rsidRPr="008C300A">
        <w:rPr>
          <w:noProof/>
          <w:sz w:val="22"/>
          <w:szCs w:val="22"/>
        </w:rPr>
        <w:t>. 2005;23(31):8081-8092.</w:t>
      </w:r>
      <w:bookmarkEnd w:id="69"/>
    </w:p>
    <w:p w:rsidR="0002496E" w:rsidRPr="008C300A" w:rsidRDefault="0002496E" w:rsidP="0002496E">
      <w:pPr>
        <w:rPr>
          <w:noProof/>
          <w:sz w:val="22"/>
          <w:szCs w:val="22"/>
        </w:rPr>
      </w:pPr>
      <w:bookmarkStart w:id="70" w:name="_ENREF_71"/>
      <w:r w:rsidRPr="008C300A">
        <w:rPr>
          <w:noProof/>
          <w:sz w:val="22"/>
          <w:szCs w:val="22"/>
        </w:rPr>
        <w:tab/>
        <w:t>71.</w:t>
      </w:r>
      <w:r w:rsidRPr="008C300A">
        <w:rPr>
          <w:noProof/>
          <w:sz w:val="22"/>
          <w:szCs w:val="22"/>
        </w:rPr>
        <w:tab/>
        <w:t>Cappuzzo F, Ligorio C, Janne PA</w:t>
      </w:r>
      <w:r w:rsidR="00F0167B" w:rsidRPr="008C300A">
        <w:rPr>
          <w:noProof/>
          <w:sz w:val="22"/>
          <w:szCs w:val="22"/>
        </w:rPr>
        <w:t>,</w:t>
      </w:r>
      <w:r w:rsidRPr="008C300A">
        <w:rPr>
          <w:noProof/>
          <w:sz w:val="22"/>
          <w:szCs w:val="22"/>
        </w:rPr>
        <w:t xml:space="preserve"> et al. Prospective study of gefitinib in epidermal growth factor receptor fluorescence in situ hybridization-positive/phospho-Akt-positive or never smoker patients with advanced non-small-cell lung cancer: the ONCOBELL trial. </w:t>
      </w:r>
      <w:r w:rsidRPr="008C300A">
        <w:rPr>
          <w:i/>
          <w:noProof/>
          <w:sz w:val="22"/>
          <w:szCs w:val="22"/>
        </w:rPr>
        <w:t>J Clin Oncol</w:t>
      </w:r>
      <w:r w:rsidRPr="008C300A">
        <w:rPr>
          <w:noProof/>
          <w:sz w:val="22"/>
          <w:szCs w:val="22"/>
        </w:rPr>
        <w:t>. 2007;25(16):2248-2255.</w:t>
      </w:r>
      <w:bookmarkEnd w:id="70"/>
    </w:p>
    <w:p w:rsidR="0002496E" w:rsidRPr="008C300A" w:rsidRDefault="0002496E" w:rsidP="0002496E">
      <w:pPr>
        <w:rPr>
          <w:noProof/>
          <w:sz w:val="22"/>
          <w:szCs w:val="22"/>
        </w:rPr>
      </w:pPr>
      <w:bookmarkStart w:id="71" w:name="_ENREF_72"/>
      <w:r w:rsidRPr="008C300A">
        <w:rPr>
          <w:noProof/>
          <w:sz w:val="22"/>
          <w:szCs w:val="22"/>
        </w:rPr>
        <w:tab/>
        <w:t>72.</w:t>
      </w:r>
      <w:r w:rsidRPr="008C300A">
        <w:rPr>
          <w:noProof/>
          <w:sz w:val="22"/>
          <w:szCs w:val="22"/>
        </w:rPr>
        <w:tab/>
        <w:t>Chen CM, Chang JW, Cheung YC</w:t>
      </w:r>
      <w:r w:rsidR="00F0167B" w:rsidRPr="008C300A">
        <w:rPr>
          <w:noProof/>
          <w:sz w:val="22"/>
          <w:szCs w:val="22"/>
        </w:rPr>
        <w:t>,</w:t>
      </w:r>
      <w:r w:rsidRPr="008C300A">
        <w:rPr>
          <w:noProof/>
          <w:sz w:val="22"/>
          <w:szCs w:val="22"/>
        </w:rPr>
        <w:t xml:space="preserve"> et al. Computed tomography-guided core-needle biopsy specimens demonstrate epidermal growth factor receptor mutations in patients with non-small-cell lung cancer. </w:t>
      </w:r>
      <w:r w:rsidRPr="008C300A">
        <w:rPr>
          <w:i/>
          <w:noProof/>
          <w:sz w:val="22"/>
          <w:szCs w:val="22"/>
        </w:rPr>
        <w:t>Acta Radiol</w:t>
      </w:r>
      <w:r w:rsidRPr="008C300A">
        <w:rPr>
          <w:noProof/>
          <w:sz w:val="22"/>
          <w:szCs w:val="22"/>
        </w:rPr>
        <w:t>. 2008;49(9):991-994.</w:t>
      </w:r>
      <w:bookmarkEnd w:id="71"/>
    </w:p>
    <w:p w:rsidR="0002496E" w:rsidRPr="008C300A" w:rsidRDefault="0002496E" w:rsidP="0002496E">
      <w:pPr>
        <w:rPr>
          <w:noProof/>
          <w:sz w:val="22"/>
          <w:szCs w:val="22"/>
        </w:rPr>
      </w:pPr>
      <w:bookmarkStart w:id="72" w:name="_ENREF_73"/>
      <w:r w:rsidRPr="008C300A">
        <w:rPr>
          <w:noProof/>
          <w:sz w:val="22"/>
          <w:szCs w:val="22"/>
        </w:rPr>
        <w:tab/>
        <w:t>73.</w:t>
      </w:r>
      <w:r w:rsidRPr="008C300A">
        <w:rPr>
          <w:noProof/>
          <w:sz w:val="22"/>
          <w:szCs w:val="22"/>
        </w:rPr>
        <w:tab/>
        <w:t xml:space="preserve">Choi DR, Lee DH, Choi C-M, Kim S-W, Suh C, Lee J-S. Erlotinib in first-line therapy for non-small cell lung cancer: a prospective phase II study. </w:t>
      </w:r>
      <w:r w:rsidRPr="008C300A">
        <w:rPr>
          <w:i/>
          <w:noProof/>
          <w:sz w:val="22"/>
          <w:szCs w:val="22"/>
        </w:rPr>
        <w:t>Anticancer Res</w:t>
      </w:r>
      <w:r w:rsidRPr="008C300A">
        <w:rPr>
          <w:noProof/>
          <w:sz w:val="22"/>
          <w:szCs w:val="22"/>
        </w:rPr>
        <w:t>. 2011;31(10):3457-3462.</w:t>
      </w:r>
      <w:bookmarkEnd w:id="72"/>
    </w:p>
    <w:p w:rsidR="0002496E" w:rsidRPr="008C300A" w:rsidRDefault="0002496E" w:rsidP="0002496E">
      <w:pPr>
        <w:rPr>
          <w:noProof/>
          <w:sz w:val="22"/>
          <w:szCs w:val="22"/>
        </w:rPr>
      </w:pPr>
      <w:bookmarkStart w:id="73" w:name="_ENREF_74"/>
      <w:r w:rsidRPr="008C300A">
        <w:rPr>
          <w:noProof/>
          <w:sz w:val="22"/>
          <w:szCs w:val="22"/>
        </w:rPr>
        <w:lastRenderedPageBreak/>
        <w:tab/>
        <w:t>74.</w:t>
      </w:r>
      <w:r w:rsidRPr="008C300A">
        <w:rPr>
          <w:noProof/>
          <w:sz w:val="22"/>
          <w:szCs w:val="22"/>
        </w:rPr>
        <w:tab/>
        <w:t>Chou TY, Chiu CH, Li LH</w:t>
      </w:r>
      <w:r w:rsidR="00F0167B" w:rsidRPr="008C300A">
        <w:rPr>
          <w:noProof/>
          <w:sz w:val="22"/>
          <w:szCs w:val="22"/>
        </w:rPr>
        <w:t>,</w:t>
      </w:r>
      <w:r w:rsidRPr="008C300A">
        <w:rPr>
          <w:noProof/>
          <w:sz w:val="22"/>
          <w:szCs w:val="22"/>
        </w:rPr>
        <w:t xml:space="preserve"> et al. Mutation in the tyrosine kinase domain of epidermal growth factor receptor is a predictive and prognostic factor for gefitinib treatment in patients with non-small cell lung cancer. </w:t>
      </w:r>
      <w:r w:rsidRPr="008C300A">
        <w:rPr>
          <w:i/>
          <w:noProof/>
          <w:sz w:val="22"/>
          <w:szCs w:val="22"/>
        </w:rPr>
        <w:t>Clin Cancer Res</w:t>
      </w:r>
      <w:r w:rsidRPr="008C300A">
        <w:rPr>
          <w:noProof/>
          <w:sz w:val="22"/>
          <w:szCs w:val="22"/>
        </w:rPr>
        <w:t>. 2005;11(10):3750-3757.</w:t>
      </w:r>
      <w:bookmarkEnd w:id="73"/>
    </w:p>
    <w:p w:rsidR="0002496E" w:rsidRPr="008C300A" w:rsidRDefault="0002496E" w:rsidP="0002496E">
      <w:pPr>
        <w:rPr>
          <w:noProof/>
          <w:sz w:val="22"/>
          <w:szCs w:val="22"/>
        </w:rPr>
      </w:pPr>
      <w:bookmarkStart w:id="74" w:name="_ENREF_75"/>
      <w:r w:rsidRPr="008C300A">
        <w:rPr>
          <w:noProof/>
          <w:sz w:val="22"/>
          <w:szCs w:val="22"/>
        </w:rPr>
        <w:tab/>
        <w:t>75.</w:t>
      </w:r>
      <w:r w:rsidRPr="008C300A">
        <w:rPr>
          <w:noProof/>
          <w:sz w:val="22"/>
          <w:szCs w:val="22"/>
        </w:rPr>
        <w:tab/>
        <w:t>Douillard JY, Shepherd FA, Hirsh V</w:t>
      </w:r>
      <w:r w:rsidR="00F0167B" w:rsidRPr="008C300A">
        <w:rPr>
          <w:noProof/>
          <w:sz w:val="22"/>
          <w:szCs w:val="22"/>
        </w:rPr>
        <w:t>,</w:t>
      </w:r>
      <w:r w:rsidRPr="008C300A">
        <w:rPr>
          <w:noProof/>
          <w:sz w:val="22"/>
          <w:szCs w:val="22"/>
        </w:rPr>
        <w:t xml:space="preserve"> et al. Molecular predictors of outcome with gefitinib and docetaxel in previously treated non-small-cell lung cancer: data from the randomized phase III INTEREST trial. </w:t>
      </w:r>
      <w:r w:rsidRPr="008C300A">
        <w:rPr>
          <w:i/>
          <w:noProof/>
          <w:sz w:val="22"/>
          <w:szCs w:val="22"/>
        </w:rPr>
        <w:t>J Clin Oncol</w:t>
      </w:r>
      <w:r w:rsidRPr="008C300A">
        <w:rPr>
          <w:noProof/>
          <w:sz w:val="22"/>
          <w:szCs w:val="22"/>
        </w:rPr>
        <w:t>. 2010;28(5):744-752.</w:t>
      </w:r>
      <w:bookmarkEnd w:id="74"/>
    </w:p>
    <w:p w:rsidR="0002496E" w:rsidRPr="008C300A" w:rsidRDefault="0002496E" w:rsidP="0002496E">
      <w:pPr>
        <w:rPr>
          <w:noProof/>
          <w:sz w:val="22"/>
          <w:szCs w:val="22"/>
        </w:rPr>
      </w:pPr>
      <w:bookmarkStart w:id="75" w:name="_ENREF_76"/>
      <w:r w:rsidRPr="008C300A">
        <w:rPr>
          <w:noProof/>
          <w:sz w:val="22"/>
          <w:szCs w:val="22"/>
        </w:rPr>
        <w:tab/>
        <w:t>76.</w:t>
      </w:r>
      <w:r w:rsidRPr="008C300A">
        <w:rPr>
          <w:noProof/>
          <w:sz w:val="22"/>
          <w:szCs w:val="22"/>
        </w:rPr>
        <w:tab/>
        <w:t xml:space="preserve">Endoh H, Yatabe Y, Kosaka T, Kuwano H, Mitsudomi T. PTEN and PIK3CA expression is associated with prolonged survival after gefitinib treatment in EGFR-mutated lung cancer patients. </w:t>
      </w:r>
      <w:r w:rsidRPr="008C300A">
        <w:rPr>
          <w:i/>
          <w:noProof/>
          <w:sz w:val="22"/>
          <w:szCs w:val="22"/>
        </w:rPr>
        <w:t>J Thorac Oncol</w:t>
      </w:r>
      <w:r w:rsidRPr="008C300A">
        <w:rPr>
          <w:noProof/>
          <w:sz w:val="22"/>
          <w:szCs w:val="22"/>
        </w:rPr>
        <w:t>. 2006;1(7):629-634.</w:t>
      </w:r>
      <w:bookmarkEnd w:id="75"/>
    </w:p>
    <w:p w:rsidR="0002496E" w:rsidRPr="008C300A" w:rsidRDefault="0002496E" w:rsidP="0002496E">
      <w:pPr>
        <w:rPr>
          <w:noProof/>
          <w:sz w:val="22"/>
          <w:szCs w:val="22"/>
        </w:rPr>
      </w:pPr>
      <w:bookmarkStart w:id="76" w:name="_ENREF_77"/>
      <w:r w:rsidRPr="008C300A">
        <w:rPr>
          <w:noProof/>
          <w:sz w:val="22"/>
          <w:szCs w:val="22"/>
        </w:rPr>
        <w:tab/>
        <w:t>77.</w:t>
      </w:r>
      <w:r w:rsidRPr="008C300A">
        <w:rPr>
          <w:noProof/>
          <w:sz w:val="22"/>
          <w:szCs w:val="22"/>
        </w:rPr>
        <w:tab/>
        <w:t>Han J-Y, Park K, Kim S-W</w:t>
      </w:r>
      <w:r w:rsidR="00F0167B" w:rsidRPr="008C300A">
        <w:rPr>
          <w:noProof/>
          <w:sz w:val="22"/>
          <w:szCs w:val="22"/>
        </w:rPr>
        <w:t>, et al. First-SIGNAL: f</w:t>
      </w:r>
      <w:r w:rsidRPr="008C300A">
        <w:rPr>
          <w:noProof/>
          <w:sz w:val="22"/>
          <w:szCs w:val="22"/>
        </w:rPr>
        <w:t>irst-</w:t>
      </w:r>
      <w:r w:rsidR="00F0167B" w:rsidRPr="008C300A">
        <w:rPr>
          <w:noProof/>
          <w:sz w:val="22"/>
          <w:szCs w:val="22"/>
        </w:rPr>
        <w:t>line s</w:t>
      </w:r>
      <w:r w:rsidRPr="008C300A">
        <w:rPr>
          <w:noProof/>
          <w:sz w:val="22"/>
          <w:szCs w:val="22"/>
        </w:rPr>
        <w:t>ingle-</w:t>
      </w:r>
      <w:r w:rsidR="00F0167B" w:rsidRPr="008C300A">
        <w:rPr>
          <w:noProof/>
          <w:sz w:val="22"/>
          <w:szCs w:val="22"/>
        </w:rPr>
        <w:t>a</w:t>
      </w:r>
      <w:r w:rsidRPr="008C300A">
        <w:rPr>
          <w:noProof/>
          <w:sz w:val="22"/>
          <w:szCs w:val="22"/>
        </w:rPr>
        <w:t xml:space="preserve">gent </w:t>
      </w:r>
      <w:r w:rsidR="00F0167B" w:rsidRPr="008C300A">
        <w:rPr>
          <w:noProof/>
          <w:sz w:val="22"/>
          <w:szCs w:val="22"/>
        </w:rPr>
        <w:t>iressa v</w:t>
      </w:r>
      <w:r w:rsidRPr="008C300A">
        <w:rPr>
          <w:noProof/>
          <w:sz w:val="22"/>
          <w:szCs w:val="22"/>
        </w:rPr>
        <w:t xml:space="preserve">ersus </w:t>
      </w:r>
      <w:r w:rsidR="00F0167B" w:rsidRPr="008C300A">
        <w:rPr>
          <w:noProof/>
          <w:sz w:val="22"/>
          <w:szCs w:val="22"/>
        </w:rPr>
        <w:t>g</w:t>
      </w:r>
      <w:r w:rsidRPr="008C300A">
        <w:rPr>
          <w:noProof/>
          <w:sz w:val="22"/>
          <w:szCs w:val="22"/>
        </w:rPr>
        <w:t xml:space="preserve">emcitabine and </w:t>
      </w:r>
      <w:r w:rsidR="00F0167B" w:rsidRPr="008C300A">
        <w:rPr>
          <w:noProof/>
          <w:sz w:val="22"/>
          <w:szCs w:val="22"/>
        </w:rPr>
        <w:t>c</w:t>
      </w:r>
      <w:r w:rsidRPr="008C300A">
        <w:rPr>
          <w:noProof/>
          <w:sz w:val="22"/>
          <w:szCs w:val="22"/>
        </w:rPr>
        <w:t xml:space="preserve">isplatin </w:t>
      </w:r>
      <w:r w:rsidR="00F0167B" w:rsidRPr="008C300A">
        <w:rPr>
          <w:noProof/>
          <w:sz w:val="22"/>
          <w:szCs w:val="22"/>
        </w:rPr>
        <w:t>t</w:t>
      </w:r>
      <w:r w:rsidRPr="008C300A">
        <w:rPr>
          <w:noProof/>
          <w:sz w:val="22"/>
          <w:szCs w:val="22"/>
        </w:rPr>
        <w:t xml:space="preserve">rial in </w:t>
      </w:r>
      <w:r w:rsidR="00F0167B" w:rsidRPr="008C300A">
        <w:rPr>
          <w:noProof/>
          <w:sz w:val="22"/>
          <w:szCs w:val="22"/>
        </w:rPr>
        <w:t>n</w:t>
      </w:r>
      <w:r w:rsidRPr="008C300A">
        <w:rPr>
          <w:noProof/>
          <w:sz w:val="22"/>
          <w:szCs w:val="22"/>
        </w:rPr>
        <w:t>ever-</w:t>
      </w:r>
      <w:r w:rsidR="00F0167B" w:rsidRPr="008C300A">
        <w:rPr>
          <w:noProof/>
          <w:sz w:val="22"/>
          <w:szCs w:val="22"/>
        </w:rPr>
        <w:t>smokers w</w:t>
      </w:r>
      <w:r w:rsidRPr="008C300A">
        <w:rPr>
          <w:noProof/>
          <w:sz w:val="22"/>
          <w:szCs w:val="22"/>
        </w:rPr>
        <w:t xml:space="preserve">ith </w:t>
      </w:r>
      <w:r w:rsidR="00F0167B" w:rsidRPr="008C300A">
        <w:rPr>
          <w:noProof/>
          <w:sz w:val="22"/>
          <w:szCs w:val="22"/>
        </w:rPr>
        <w:t>a</w:t>
      </w:r>
      <w:r w:rsidRPr="008C300A">
        <w:rPr>
          <w:noProof/>
          <w:sz w:val="22"/>
          <w:szCs w:val="22"/>
        </w:rPr>
        <w:t xml:space="preserve">denocarcinoma of the </w:t>
      </w:r>
      <w:r w:rsidR="00F0167B" w:rsidRPr="008C300A">
        <w:rPr>
          <w:noProof/>
          <w:sz w:val="22"/>
          <w:szCs w:val="22"/>
        </w:rPr>
        <w:t>l</w:t>
      </w:r>
      <w:r w:rsidRPr="008C300A">
        <w:rPr>
          <w:noProof/>
          <w:sz w:val="22"/>
          <w:szCs w:val="22"/>
        </w:rPr>
        <w:t xml:space="preserve">ung. </w:t>
      </w:r>
      <w:r w:rsidRPr="008C300A">
        <w:rPr>
          <w:i/>
          <w:noProof/>
          <w:sz w:val="22"/>
          <w:szCs w:val="22"/>
        </w:rPr>
        <w:t>J</w:t>
      </w:r>
      <w:r w:rsidR="00F0167B" w:rsidRPr="008C300A">
        <w:rPr>
          <w:i/>
          <w:noProof/>
          <w:sz w:val="22"/>
          <w:szCs w:val="22"/>
        </w:rPr>
        <w:t xml:space="preserve"> </w:t>
      </w:r>
      <w:r w:rsidRPr="008C300A">
        <w:rPr>
          <w:i/>
          <w:noProof/>
          <w:sz w:val="22"/>
          <w:szCs w:val="22"/>
        </w:rPr>
        <w:t>Clin</w:t>
      </w:r>
      <w:r w:rsidR="00F0167B" w:rsidRPr="008C300A">
        <w:rPr>
          <w:i/>
          <w:noProof/>
          <w:sz w:val="22"/>
          <w:szCs w:val="22"/>
        </w:rPr>
        <w:t xml:space="preserve"> </w:t>
      </w:r>
      <w:r w:rsidRPr="008C300A">
        <w:rPr>
          <w:i/>
          <w:noProof/>
          <w:sz w:val="22"/>
          <w:szCs w:val="22"/>
        </w:rPr>
        <w:t>Oncol</w:t>
      </w:r>
      <w:r w:rsidRPr="008C300A">
        <w:rPr>
          <w:noProof/>
          <w:sz w:val="22"/>
          <w:szCs w:val="22"/>
        </w:rPr>
        <w:t>. 2012</w:t>
      </w:r>
      <w:r w:rsidR="00F0167B" w:rsidRPr="008C300A">
        <w:rPr>
          <w:noProof/>
          <w:sz w:val="22"/>
          <w:szCs w:val="22"/>
        </w:rPr>
        <w:t>;30(10):1122-1128</w:t>
      </w:r>
      <w:r w:rsidRPr="008C300A">
        <w:rPr>
          <w:noProof/>
          <w:sz w:val="22"/>
          <w:szCs w:val="22"/>
        </w:rPr>
        <w:t>.</w:t>
      </w:r>
      <w:bookmarkEnd w:id="76"/>
    </w:p>
    <w:p w:rsidR="0002496E" w:rsidRPr="008C300A" w:rsidRDefault="0002496E" w:rsidP="0002496E">
      <w:pPr>
        <w:rPr>
          <w:noProof/>
          <w:sz w:val="22"/>
          <w:szCs w:val="22"/>
        </w:rPr>
      </w:pPr>
      <w:bookmarkStart w:id="77" w:name="_ENREF_78"/>
      <w:r w:rsidRPr="008C300A">
        <w:rPr>
          <w:noProof/>
          <w:sz w:val="22"/>
          <w:szCs w:val="22"/>
        </w:rPr>
        <w:tab/>
        <w:t>78.</w:t>
      </w:r>
      <w:r w:rsidRPr="008C300A">
        <w:rPr>
          <w:noProof/>
          <w:sz w:val="22"/>
          <w:szCs w:val="22"/>
        </w:rPr>
        <w:tab/>
        <w:t>Hirsch FR, Kabbinavar F, Eisen T</w:t>
      </w:r>
      <w:r w:rsidR="00F0167B" w:rsidRPr="008C300A">
        <w:rPr>
          <w:noProof/>
          <w:sz w:val="22"/>
          <w:szCs w:val="22"/>
        </w:rPr>
        <w:t>,</w:t>
      </w:r>
      <w:r w:rsidRPr="008C300A">
        <w:rPr>
          <w:noProof/>
          <w:sz w:val="22"/>
          <w:szCs w:val="22"/>
        </w:rPr>
        <w:t xml:space="preserve"> et al. A randomized, phase II, biomarker-selected study comparing erlotinib to erlotinib intercalated with chemotherapy in first-line therapy for advanced non-small-cell lung cancer. </w:t>
      </w:r>
      <w:r w:rsidRPr="008C300A">
        <w:rPr>
          <w:i/>
          <w:noProof/>
          <w:sz w:val="22"/>
          <w:szCs w:val="22"/>
        </w:rPr>
        <w:t>J Clin Oncol</w:t>
      </w:r>
      <w:r w:rsidRPr="008C300A">
        <w:rPr>
          <w:noProof/>
          <w:sz w:val="22"/>
          <w:szCs w:val="22"/>
        </w:rPr>
        <w:t>. 2011;29(26):3567-3573.</w:t>
      </w:r>
      <w:bookmarkEnd w:id="77"/>
    </w:p>
    <w:p w:rsidR="0002496E" w:rsidRPr="008C300A" w:rsidRDefault="0002496E" w:rsidP="0002496E">
      <w:pPr>
        <w:rPr>
          <w:noProof/>
          <w:sz w:val="22"/>
          <w:szCs w:val="22"/>
        </w:rPr>
      </w:pPr>
      <w:bookmarkStart w:id="78" w:name="_ENREF_79"/>
      <w:r w:rsidRPr="008C300A">
        <w:rPr>
          <w:noProof/>
          <w:sz w:val="22"/>
          <w:szCs w:val="22"/>
        </w:rPr>
        <w:tab/>
        <w:t>79.</w:t>
      </w:r>
      <w:r w:rsidRPr="008C300A">
        <w:rPr>
          <w:noProof/>
          <w:sz w:val="22"/>
          <w:szCs w:val="22"/>
        </w:rPr>
        <w:tab/>
        <w:t>Hsieh MH, Fang YF, Chang WC</w:t>
      </w:r>
      <w:r w:rsidR="00F0167B" w:rsidRPr="008C300A">
        <w:rPr>
          <w:noProof/>
          <w:sz w:val="22"/>
          <w:szCs w:val="22"/>
        </w:rPr>
        <w:t>,</w:t>
      </w:r>
      <w:r w:rsidRPr="008C300A">
        <w:rPr>
          <w:noProof/>
          <w:sz w:val="22"/>
          <w:szCs w:val="22"/>
        </w:rPr>
        <w:t xml:space="preserve"> et al. Complex mutation patterns of epidermal growth factor receptor gene associated with variable responses to gefitinib treatment in patients with non-small cell lung cancer. </w:t>
      </w:r>
      <w:r w:rsidRPr="008C300A">
        <w:rPr>
          <w:i/>
          <w:noProof/>
          <w:sz w:val="22"/>
          <w:szCs w:val="22"/>
        </w:rPr>
        <w:t>Lung Cancer</w:t>
      </w:r>
      <w:r w:rsidRPr="008C300A">
        <w:rPr>
          <w:noProof/>
          <w:sz w:val="22"/>
          <w:szCs w:val="22"/>
        </w:rPr>
        <w:t>. 2006;53(3):311-322.</w:t>
      </w:r>
      <w:bookmarkEnd w:id="78"/>
    </w:p>
    <w:p w:rsidR="0002496E" w:rsidRPr="008C300A" w:rsidRDefault="0002496E" w:rsidP="0002496E">
      <w:pPr>
        <w:rPr>
          <w:noProof/>
          <w:sz w:val="22"/>
          <w:szCs w:val="22"/>
        </w:rPr>
      </w:pPr>
      <w:bookmarkStart w:id="79" w:name="_ENREF_80"/>
      <w:r w:rsidRPr="008C300A">
        <w:rPr>
          <w:noProof/>
          <w:sz w:val="22"/>
          <w:szCs w:val="22"/>
        </w:rPr>
        <w:tab/>
        <w:t>80.</w:t>
      </w:r>
      <w:r w:rsidRPr="008C300A">
        <w:rPr>
          <w:noProof/>
          <w:sz w:val="22"/>
          <w:szCs w:val="22"/>
        </w:rPr>
        <w:tab/>
        <w:t>Jackman DM, Yeap BY, Lindeman NI</w:t>
      </w:r>
      <w:r w:rsidR="000417ED" w:rsidRPr="008C300A">
        <w:rPr>
          <w:noProof/>
          <w:sz w:val="22"/>
          <w:szCs w:val="22"/>
        </w:rPr>
        <w:t>,</w:t>
      </w:r>
      <w:r w:rsidRPr="008C300A">
        <w:rPr>
          <w:noProof/>
          <w:sz w:val="22"/>
          <w:szCs w:val="22"/>
        </w:rPr>
        <w:t xml:space="preserve"> et al. Phase II clinical trial of chemotherapy-naive patients &gt; or = 70 years of age treated with erlotinib for advanced non-small-cell lung cancer. </w:t>
      </w:r>
      <w:r w:rsidRPr="008C300A">
        <w:rPr>
          <w:i/>
          <w:noProof/>
          <w:sz w:val="22"/>
          <w:szCs w:val="22"/>
        </w:rPr>
        <w:t>J Clin Oncol</w:t>
      </w:r>
      <w:r w:rsidRPr="008C300A">
        <w:rPr>
          <w:noProof/>
          <w:sz w:val="22"/>
          <w:szCs w:val="22"/>
        </w:rPr>
        <w:t>. 2007;25(7):760-766.</w:t>
      </w:r>
      <w:bookmarkEnd w:id="79"/>
    </w:p>
    <w:p w:rsidR="0002496E" w:rsidRPr="008C300A" w:rsidRDefault="0002496E" w:rsidP="0002496E">
      <w:pPr>
        <w:rPr>
          <w:noProof/>
          <w:sz w:val="22"/>
          <w:szCs w:val="22"/>
        </w:rPr>
      </w:pPr>
      <w:bookmarkStart w:id="80" w:name="_ENREF_81"/>
      <w:r w:rsidRPr="008C300A">
        <w:rPr>
          <w:noProof/>
          <w:sz w:val="22"/>
          <w:szCs w:val="22"/>
        </w:rPr>
        <w:tab/>
        <w:t>81.</w:t>
      </w:r>
      <w:r w:rsidRPr="008C300A">
        <w:rPr>
          <w:noProof/>
          <w:sz w:val="22"/>
          <w:szCs w:val="22"/>
        </w:rPr>
        <w:tab/>
        <w:t>Jian G, Songwen Z, Ling Z</w:t>
      </w:r>
      <w:r w:rsidR="000417ED" w:rsidRPr="008C300A">
        <w:rPr>
          <w:noProof/>
          <w:sz w:val="22"/>
          <w:szCs w:val="22"/>
        </w:rPr>
        <w:t>,</w:t>
      </w:r>
      <w:r w:rsidRPr="008C300A">
        <w:rPr>
          <w:noProof/>
          <w:sz w:val="22"/>
          <w:szCs w:val="22"/>
        </w:rPr>
        <w:t xml:space="preserve"> et al. Prediction of epidermal growth factor receptor mutations in the plasma/pleural effusion to efficacy of gefitinib treatment in advanced non-small cell lung cancer. </w:t>
      </w:r>
      <w:r w:rsidRPr="008C300A">
        <w:rPr>
          <w:i/>
          <w:noProof/>
          <w:sz w:val="22"/>
          <w:szCs w:val="22"/>
        </w:rPr>
        <w:t>J Cancer Res Clin Oncol</w:t>
      </w:r>
      <w:r w:rsidRPr="008C300A">
        <w:rPr>
          <w:noProof/>
          <w:sz w:val="22"/>
          <w:szCs w:val="22"/>
        </w:rPr>
        <w:t>. 2010;136(9):1341-1347.</w:t>
      </w:r>
      <w:bookmarkEnd w:id="80"/>
    </w:p>
    <w:p w:rsidR="0002496E" w:rsidRPr="008C300A" w:rsidRDefault="0002496E" w:rsidP="0002496E">
      <w:pPr>
        <w:rPr>
          <w:noProof/>
          <w:sz w:val="22"/>
          <w:szCs w:val="22"/>
        </w:rPr>
      </w:pPr>
      <w:bookmarkStart w:id="81" w:name="_ENREF_82"/>
      <w:r w:rsidRPr="008C300A">
        <w:rPr>
          <w:noProof/>
          <w:sz w:val="22"/>
          <w:szCs w:val="22"/>
        </w:rPr>
        <w:tab/>
        <w:t>82.</w:t>
      </w:r>
      <w:r w:rsidRPr="008C300A">
        <w:rPr>
          <w:noProof/>
          <w:sz w:val="22"/>
          <w:szCs w:val="22"/>
        </w:rPr>
        <w:tab/>
        <w:t xml:space="preserve">Lee DH, Kim SW, Suh C, Han YH, Lee JS. Phase II study of erlotinib for chemotherapy-naive patients with advanced or metastatic non-small cell lung cancer who are ineligible for platinum doublets. </w:t>
      </w:r>
      <w:r w:rsidRPr="008C300A">
        <w:rPr>
          <w:i/>
          <w:noProof/>
          <w:sz w:val="22"/>
          <w:szCs w:val="22"/>
        </w:rPr>
        <w:t>Cancer Chemother Pharmacol</w:t>
      </w:r>
      <w:r w:rsidRPr="008C300A">
        <w:rPr>
          <w:noProof/>
          <w:sz w:val="22"/>
          <w:szCs w:val="22"/>
        </w:rPr>
        <w:t>. 2011;67(1):35-39.</w:t>
      </w:r>
      <w:bookmarkEnd w:id="81"/>
    </w:p>
    <w:p w:rsidR="0002496E" w:rsidRPr="008C300A" w:rsidRDefault="0002496E" w:rsidP="0002496E">
      <w:pPr>
        <w:rPr>
          <w:noProof/>
          <w:sz w:val="22"/>
          <w:szCs w:val="22"/>
        </w:rPr>
      </w:pPr>
      <w:bookmarkStart w:id="82" w:name="_ENREF_83"/>
      <w:r w:rsidRPr="008C300A">
        <w:rPr>
          <w:noProof/>
          <w:sz w:val="22"/>
          <w:szCs w:val="22"/>
        </w:rPr>
        <w:tab/>
        <w:t>83.</w:t>
      </w:r>
      <w:r w:rsidRPr="008C300A">
        <w:rPr>
          <w:noProof/>
          <w:sz w:val="22"/>
          <w:szCs w:val="22"/>
        </w:rPr>
        <w:tab/>
        <w:t>Miller VA, Riely GJ, Zakowski MF</w:t>
      </w:r>
      <w:r w:rsidR="000417ED" w:rsidRPr="008C300A">
        <w:rPr>
          <w:noProof/>
          <w:sz w:val="22"/>
          <w:szCs w:val="22"/>
        </w:rPr>
        <w:t>,</w:t>
      </w:r>
      <w:r w:rsidRPr="008C300A">
        <w:rPr>
          <w:noProof/>
          <w:sz w:val="22"/>
          <w:szCs w:val="22"/>
        </w:rPr>
        <w:t xml:space="preserve"> et al. Molecular characteristics of bronchioloalveolar carcinoma and adenocarcinoma, bronchioloalveolar carcinoma subtype, predict response to erlotinib. </w:t>
      </w:r>
      <w:r w:rsidRPr="008C300A">
        <w:rPr>
          <w:i/>
          <w:noProof/>
          <w:sz w:val="22"/>
          <w:szCs w:val="22"/>
        </w:rPr>
        <w:t>J Clin Oncol</w:t>
      </w:r>
      <w:r w:rsidRPr="008C300A">
        <w:rPr>
          <w:noProof/>
          <w:sz w:val="22"/>
          <w:szCs w:val="22"/>
        </w:rPr>
        <w:t>. 2008;26(9):1472-1478.</w:t>
      </w:r>
      <w:bookmarkEnd w:id="82"/>
    </w:p>
    <w:p w:rsidR="0002496E" w:rsidRPr="008C300A" w:rsidRDefault="0002496E" w:rsidP="0002496E">
      <w:pPr>
        <w:rPr>
          <w:noProof/>
          <w:sz w:val="22"/>
          <w:szCs w:val="22"/>
        </w:rPr>
      </w:pPr>
      <w:bookmarkStart w:id="83" w:name="_ENREF_84"/>
      <w:r w:rsidRPr="008C300A">
        <w:rPr>
          <w:noProof/>
          <w:sz w:val="22"/>
          <w:szCs w:val="22"/>
        </w:rPr>
        <w:tab/>
        <w:t>84.</w:t>
      </w:r>
      <w:r w:rsidRPr="008C300A">
        <w:rPr>
          <w:noProof/>
          <w:sz w:val="22"/>
          <w:szCs w:val="22"/>
        </w:rPr>
        <w:tab/>
        <w:t>Oshita F, Matsukuma S, Yoshihara M</w:t>
      </w:r>
      <w:r w:rsidR="000417ED" w:rsidRPr="008C300A">
        <w:rPr>
          <w:noProof/>
          <w:sz w:val="22"/>
          <w:szCs w:val="22"/>
        </w:rPr>
        <w:t>,</w:t>
      </w:r>
      <w:r w:rsidRPr="008C300A">
        <w:rPr>
          <w:noProof/>
          <w:sz w:val="22"/>
          <w:szCs w:val="22"/>
        </w:rPr>
        <w:t xml:space="preserve"> et al. Novel heteroduplex method using small cytology specimens with a remarkably high success rate for analysing EGFR gene mutations with a significant correlation to gefitinib efficacy in non-small-cell lung cancer. </w:t>
      </w:r>
      <w:r w:rsidRPr="008C300A">
        <w:rPr>
          <w:i/>
          <w:noProof/>
          <w:sz w:val="22"/>
          <w:szCs w:val="22"/>
        </w:rPr>
        <w:t>Br J Cancer</w:t>
      </w:r>
      <w:r w:rsidRPr="008C300A">
        <w:rPr>
          <w:noProof/>
          <w:sz w:val="22"/>
          <w:szCs w:val="22"/>
        </w:rPr>
        <w:t>. 2006;95(8):1070-1075.</w:t>
      </w:r>
      <w:bookmarkEnd w:id="83"/>
    </w:p>
    <w:p w:rsidR="0002496E" w:rsidRPr="008C300A" w:rsidRDefault="0002496E" w:rsidP="0002496E">
      <w:pPr>
        <w:rPr>
          <w:noProof/>
          <w:sz w:val="22"/>
          <w:szCs w:val="22"/>
        </w:rPr>
      </w:pPr>
      <w:bookmarkStart w:id="84" w:name="_ENREF_85"/>
      <w:r w:rsidRPr="008C300A">
        <w:rPr>
          <w:noProof/>
          <w:sz w:val="22"/>
          <w:szCs w:val="22"/>
        </w:rPr>
        <w:tab/>
        <w:t>85.</w:t>
      </w:r>
      <w:r w:rsidRPr="008C300A">
        <w:rPr>
          <w:noProof/>
          <w:sz w:val="22"/>
          <w:szCs w:val="22"/>
        </w:rPr>
        <w:tab/>
        <w:t>Sequist LV, Joshi VA, Janne PA</w:t>
      </w:r>
      <w:r w:rsidR="000417ED" w:rsidRPr="008C300A">
        <w:rPr>
          <w:noProof/>
          <w:sz w:val="22"/>
          <w:szCs w:val="22"/>
        </w:rPr>
        <w:t>,</w:t>
      </w:r>
      <w:r w:rsidRPr="008C300A">
        <w:rPr>
          <w:noProof/>
          <w:sz w:val="22"/>
          <w:szCs w:val="22"/>
        </w:rPr>
        <w:t xml:space="preserve"> et al. Response to treatment and survival of patients with non-small cell lung cancer undergoing somatic EGFR mutation testing. </w:t>
      </w:r>
      <w:r w:rsidRPr="008C300A">
        <w:rPr>
          <w:i/>
          <w:noProof/>
          <w:sz w:val="22"/>
          <w:szCs w:val="22"/>
        </w:rPr>
        <w:t>Oncologist</w:t>
      </w:r>
      <w:r w:rsidRPr="008C300A">
        <w:rPr>
          <w:noProof/>
          <w:sz w:val="22"/>
          <w:szCs w:val="22"/>
        </w:rPr>
        <w:t>. 2007;12(1):90-98.</w:t>
      </w:r>
      <w:bookmarkEnd w:id="84"/>
    </w:p>
    <w:p w:rsidR="0002496E" w:rsidRPr="008C300A" w:rsidRDefault="0002496E" w:rsidP="0002496E">
      <w:pPr>
        <w:rPr>
          <w:noProof/>
          <w:sz w:val="22"/>
          <w:szCs w:val="22"/>
        </w:rPr>
      </w:pPr>
      <w:bookmarkStart w:id="85" w:name="_ENREF_86"/>
      <w:r w:rsidRPr="008C300A">
        <w:rPr>
          <w:noProof/>
          <w:sz w:val="22"/>
          <w:szCs w:val="22"/>
        </w:rPr>
        <w:tab/>
        <w:t>86.</w:t>
      </w:r>
      <w:r w:rsidRPr="008C300A">
        <w:rPr>
          <w:noProof/>
          <w:sz w:val="22"/>
          <w:szCs w:val="22"/>
        </w:rPr>
        <w:tab/>
        <w:t>Tiseo M, Rossi G, Capelletti M</w:t>
      </w:r>
      <w:r w:rsidR="000417ED" w:rsidRPr="008C300A">
        <w:rPr>
          <w:noProof/>
          <w:sz w:val="22"/>
          <w:szCs w:val="22"/>
        </w:rPr>
        <w:t>,</w:t>
      </w:r>
      <w:r w:rsidRPr="008C300A">
        <w:rPr>
          <w:noProof/>
          <w:sz w:val="22"/>
          <w:szCs w:val="22"/>
        </w:rPr>
        <w:t xml:space="preserve"> et al. Predictors of gefitinib outcomes in advanced non-small cell lung cancer (NSCLC): study of a comprehensive panel of molecular markers. </w:t>
      </w:r>
      <w:r w:rsidRPr="008C300A">
        <w:rPr>
          <w:i/>
          <w:noProof/>
          <w:sz w:val="22"/>
          <w:szCs w:val="22"/>
        </w:rPr>
        <w:t>Lung Cancer</w:t>
      </w:r>
      <w:r w:rsidRPr="008C300A">
        <w:rPr>
          <w:noProof/>
          <w:sz w:val="22"/>
          <w:szCs w:val="22"/>
        </w:rPr>
        <w:t>. 2010;67(3):355-360.</w:t>
      </w:r>
      <w:bookmarkEnd w:id="85"/>
    </w:p>
    <w:p w:rsidR="0002496E" w:rsidRPr="008C300A" w:rsidRDefault="0002496E" w:rsidP="0002496E">
      <w:pPr>
        <w:rPr>
          <w:noProof/>
          <w:sz w:val="22"/>
          <w:szCs w:val="22"/>
        </w:rPr>
      </w:pPr>
      <w:bookmarkStart w:id="86" w:name="_ENREF_87"/>
      <w:r w:rsidRPr="008C300A">
        <w:rPr>
          <w:noProof/>
          <w:sz w:val="22"/>
          <w:szCs w:val="22"/>
        </w:rPr>
        <w:tab/>
        <w:t>87.</w:t>
      </w:r>
      <w:r w:rsidRPr="008C300A">
        <w:rPr>
          <w:noProof/>
          <w:sz w:val="22"/>
          <w:szCs w:val="22"/>
        </w:rPr>
        <w:tab/>
        <w:t>Yang CH, Yu CJ, Shih JY</w:t>
      </w:r>
      <w:r w:rsidR="000417ED" w:rsidRPr="008C300A">
        <w:rPr>
          <w:noProof/>
          <w:sz w:val="22"/>
          <w:szCs w:val="22"/>
        </w:rPr>
        <w:t>,</w:t>
      </w:r>
      <w:r w:rsidRPr="008C300A">
        <w:rPr>
          <w:noProof/>
          <w:sz w:val="22"/>
          <w:szCs w:val="22"/>
        </w:rPr>
        <w:t xml:space="preserve"> et al. Specific EGFR mutations predict treatment outcome of stage IIIB/IV patients with chemotherapy-naive non-small-cell lung cancer receiving first-line gefitinib monotherapy. </w:t>
      </w:r>
      <w:r w:rsidRPr="008C300A">
        <w:rPr>
          <w:i/>
          <w:noProof/>
          <w:sz w:val="22"/>
          <w:szCs w:val="22"/>
        </w:rPr>
        <w:t>J Clin Oncol</w:t>
      </w:r>
      <w:r w:rsidRPr="008C300A">
        <w:rPr>
          <w:noProof/>
          <w:sz w:val="22"/>
          <w:szCs w:val="22"/>
        </w:rPr>
        <w:t>. 2008;26(16):2745-2753.</w:t>
      </w:r>
      <w:bookmarkEnd w:id="86"/>
    </w:p>
    <w:p w:rsidR="0002496E" w:rsidRPr="008C300A" w:rsidRDefault="0002496E" w:rsidP="0002496E">
      <w:pPr>
        <w:rPr>
          <w:noProof/>
          <w:sz w:val="22"/>
          <w:szCs w:val="22"/>
        </w:rPr>
      </w:pPr>
      <w:bookmarkStart w:id="87" w:name="_ENREF_88"/>
      <w:r w:rsidRPr="008C300A">
        <w:rPr>
          <w:noProof/>
          <w:sz w:val="22"/>
          <w:szCs w:val="22"/>
        </w:rPr>
        <w:tab/>
        <w:t>88.</w:t>
      </w:r>
      <w:r w:rsidRPr="008C300A">
        <w:rPr>
          <w:noProof/>
          <w:sz w:val="22"/>
          <w:szCs w:val="22"/>
        </w:rPr>
        <w:tab/>
        <w:t>Park SH, Ha SY, Lee JI</w:t>
      </w:r>
      <w:r w:rsidR="000417ED" w:rsidRPr="008C300A">
        <w:rPr>
          <w:noProof/>
          <w:sz w:val="22"/>
          <w:szCs w:val="22"/>
        </w:rPr>
        <w:t>,</w:t>
      </w:r>
      <w:r w:rsidRPr="008C300A">
        <w:rPr>
          <w:noProof/>
          <w:sz w:val="22"/>
          <w:szCs w:val="22"/>
        </w:rPr>
        <w:t xml:space="preserve"> et al. Epidermal growth factor receptor mutations and the clinical outcome in male smokers with squamous cell carcinoma of lung. </w:t>
      </w:r>
      <w:r w:rsidRPr="008C300A">
        <w:rPr>
          <w:i/>
          <w:noProof/>
          <w:sz w:val="22"/>
          <w:szCs w:val="22"/>
        </w:rPr>
        <w:t>J Korean Med Sci</w:t>
      </w:r>
      <w:r w:rsidRPr="008C300A">
        <w:rPr>
          <w:noProof/>
          <w:sz w:val="22"/>
          <w:szCs w:val="22"/>
        </w:rPr>
        <w:t>. 2009;24(3):448-452.</w:t>
      </w:r>
      <w:bookmarkEnd w:id="87"/>
    </w:p>
    <w:p w:rsidR="0002496E" w:rsidRPr="008C300A" w:rsidRDefault="0002496E" w:rsidP="0002496E">
      <w:pPr>
        <w:rPr>
          <w:noProof/>
          <w:sz w:val="22"/>
          <w:szCs w:val="22"/>
        </w:rPr>
      </w:pPr>
      <w:bookmarkStart w:id="88" w:name="_ENREF_89"/>
      <w:r w:rsidRPr="008C300A">
        <w:rPr>
          <w:noProof/>
          <w:sz w:val="22"/>
          <w:szCs w:val="22"/>
        </w:rPr>
        <w:tab/>
        <w:t>89.</w:t>
      </w:r>
      <w:r w:rsidRPr="008C300A">
        <w:rPr>
          <w:noProof/>
          <w:sz w:val="22"/>
          <w:szCs w:val="22"/>
        </w:rPr>
        <w:tab/>
        <w:t>Argiris A, Hensing T, Yeldandi A</w:t>
      </w:r>
      <w:r w:rsidR="000417ED" w:rsidRPr="008C300A">
        <w:rPr>
          <w:noProof/>
          <w:sz w:val="22"/>
          <w:szCs w:val="22"/>
        </w:rPr>
        <w:t>,</w:t>
      </w:r>
      <w:r w:rsidRPr="008C300A">
        <w:rPr>
          <w:noProof/>
          <w:sz w:val="22"/>
          <w:szCs w:val="22"/>
        </w:rPr>
        <w:t xml:space="preserve"> et al. Combined analysis of molecular and clinical predictors of gefitinib activity in advanced non-small cell lung cancer: epidermal growth factor receptor mutations do not tell the whole story. </w:t>
      </w:r>
      <w:r w:rsidRPr="008C300A">
        <w:rPr>
          <w:i/>
          <w:noProof/>
          <w:sz w:val="22"/>
          <w:szCs w:val="22"/>
        </w:rPr>
        <w:t>J Thorac Oncol</w:t>
      </w:r>
      <w:r w:rsidRPr="008C300A">
        <w:rPr>
          <w:noProof/>
          <w:sz w:val="22"/>
          <w:szCs w:val="22"/>
        </w:rPr>
        <w:t>. 2006;1(1):52-60.</w:t>
      </w:r>
      <w:bookmarkEnd w:id="88"/>
    </w:p>
    <w:p w:rsidR="0002496E" w:rsidRPr="008C300A" w:rsidRDefault="0002496E" w:rsidP="0002496E">
      <w:pPr>
        <w:rPr>
          <w:noProof/>
          <w:sz w:val="22"/>
          <w:szCs w:val="22"/>
        </w:rPr>
      </w:pPr>
      <w:bookmarkStart w:id="89" w:name="_ENREF_90"/>
      <w:r w:rsidRPr="008C300A">
        <w:rPr>
          <w:noProof/>
          <w:sz w:val="22"/>
          <w:szCs w:val="22"/>
        </w:rPr>
        <w:lastRenderedPageBreak/>
        <w:tab/>
        <w:t>90.</w:t>
      </w:r>
      <w:r w:rsidRPr="008C300A">
        <w:rPr>
          <w:noProof/>
          <w:sz w:val="22"/>
          <w:szCs w:val="22"/>
        </w:rPr>
        <w:tab/>
        <w:t>Han SW, Kim TY, Hwang PG</w:t>
      </w:r>
      <w:r w:rsidR="000417ED" w:rsidRPr="008C300A">
        <w:rPr>
          <w:noProof/>
          <w:sz w:val="22"/>
          <w:szCs w:val="22"/>
        </w:rPr>
        <w:t>,</w:t>
      </w:r>
      <w:r w:rsidRPr="008C300A">
        <w:rPr>
          <w:noProof/>
          <w:sz w:val="22"/>
          <w:szCs w:val="22"/>
        </w:rPr>
        <w:t xml:space="preserve"> et al. Predictive and prognostic impact of epidermal growth factor receptor mutation in non-small-cell lung cancer patients treated with gefitinib. </w:t>
      </w:r>
      <w:r w:rsidRPr="008C300A">
        <w:rPr>
          <w:i/>
          <w:noProof/>
          <w:sz w:val="22"/>
          <w:szCs w:val="22"/>
        </w:rPr>
        <w:t>J Clin Oncol</w:t>
      </w:r>
      <w:r w:rsidRPr="008C300A">
        <w:rPr>
          <w:noProof/>
          <w:sz w:val="22"/>
          <w:szCs w:val="22"/>
        </w:rPr>
        <w:t>. 2005;23(11):2493-2501.</w:t>
      </w:r>
      <w:bookmarkEnd w:id="89"/>
    </w:p>
    <w:p w:rsidR="0002496E" w:rsidRPr="008C300A" w:rsidRDefault="0002496E" w:rsidP="0002496E">
      <w:pPr>
        <w:rPr>
          <w:noProof/>
          <w:sz w:val="22"/>
          <w:szCs w:val="22"/>
        </w:rPr>
      </w:pPr>
      <w:bookmarkStart w:id="90" w:name="_ENREF_91"/>
      <w:r w:rsidRPr="008C300A">
        <w:rPr>
          <w:noProof/>
          <w:sz w:val="22"/>
          <w:szCs w:val="22"/>
        </w:rPr>
        <w:tab/>
        <w:t>91.</w:t>
      </w:r>
      <w:r w:rsidRPr="008C300A">
        <w:rPr>
          <w:noProof/>
          <w:sz w:val="22"/>
          <w:szCs w:val="22"/>
        </w:rPr>
        <w:tab/>
        <w:t>Brugger W, Triller N, Blasinska-Morawiec M</w:t>
      </w:r>
      <w:r w:rsidR="000417ED" w:rsidRPr="008C300A">
        <w:rPr>
          <w:noProof/>
          <w:sz w:val="22"/>
          <w:szCs w:val="22"/>
        </w:rPr>
        <w:t>,</w:t>
      </w:r>
      <w:r w:rsidRPr="008C300A">
        <w:rPr>
          <w:noProof/>
          <w:sz w:val="22"/>
          <w:szCs w:val="22"/>
        </w:rPr>
        <w:t xml:space="preserve"> et al. Prospective molecular marker analyses of EGFR and KRAS from a randomized, placebo-controlled study of erlotinib maintenance therapy in advanced non-small-cell lung cancer. </w:t>
      </w:r>
      <w:r w:rsidRPr="008C300A">
        <w:rPr>
          <w:i/>
          <w:noProof/>
          <w:sz w:val="22"/>
          <w:szCs w:val="22"/>
        </w:rPr>
        <w:t xml:space="preserve">J </w:t>
      </w:r>
      <w:r w:rsidR="000417ED" w:rsidRPr="008C300A">
        <w:rPr>
          <w:i/>
          <w:noProof/>
          <w:sz w:val="22"/>
          <w:szCs w:val="22"/>
        </w:rPr>
        <w:t>C</w:t>
      </w:r>
      <w:r w:rsidRPr="008C300A">
        <w:rPr>
          <w:i/>
          <w:noProof/>
          <w:sz w:val="22"/>
          <w:szCs w:val="22"/>
        </w:rPr>
        <w:t>lin</w:t>
      </w:r>
      <w:r w:rsidR="000417ED" w:rsidRPr="008C300A">
        <w:rPr>
          <w:i/>
          <w:noProof/>
          <w:sz w:val="22"/>
          <w:szCs w:val="22"/>
        </w:rPr>
        <w:t xml:space="preserve"> O</w:t>
      </w:r>
      <w:r w:rsidRPr="008C300A">
        <w:rPr>
          <w:i/>
          <w:noProof/>
          <w:sz w:val="22"/>
          <w:szCs w:val="22"/>
        </w:rPr>
        <w:t>ncol</w:t>
      </w:r>
      <w:r w:rsidRPr="008C300A">
        <w:rPr>
          <w:noProof/>
          <w:sz w:val="22"/>
          <w:szCs w:val="22"/>
        </w:rPr>
        <w:t>. 2011;29(31):4113-4120.</w:t>
      </w:r>
      <w:bookmarkEnd w:id="90"/>
    </w:p>
    <w:p w:rsidR="0002496E" w:rsidRPr="008C300A" w:rsidRDefault="0002496E" w:rsidP="0002496E">
      <w:pPr>
        <w:rPr>
          <w:noProof/>
          <w:sz w:val="22"/>
          <w:szCs w:val="22"/>
        </w:rPr>
      </w:pPr>
      <w:bookmarkStart w:id="91" w:name="_ENREF_92"/>
      <w:r w:rsidRPr="008C300A">
        <w:rPr>
          <w:noProof/>
          <w:sz w:val="22"/>
          <w:szCs w:val="22"/>
        </w:rPr>
        <w:tab/>
        <w:t>92.</w:t>
      </w:r>
      <w:r w:rsidRPr="008C300A">
        <w:rPr>
          <w:noProof/>
          <w:sz w:val="22"/>
          <w:szCs w:val="22"/>
        </w:rPr>
        <w:tab/>
        <w:t>Kim ST, Uhm JE, Lee J</w:t>
      </w:r>
      <w:r w:rsidR="000417ED" w:rsidRPr="008C300A">
        <w:rPr>
          <w:noProof/>
          <w:sz w:val="22"/>
          <w:szCs w:val="22"/>
        </w:rPr>
        <w:t>,</w:t>
      </w:r>
      <w:r w:rsidRPr="008C300A">
        <w:rPr>
          <w:noProof/>
          <w:sz w:val="22"/>
          <w:szCs w:val="22"/>
        </w:rPr>
        <w:t xml:space="preserve"> et al. Randomized phase II study of gefitinib versus erlotinib in patients with advanced non-small cell lung cancer who failed previous chemotherapy. </w:t>
      </w:r>
      <w:r w:rsidRPr="008C300A">
        <w:rPr>
          <w:i/>
          <w:noProof/>
          <w:sz w:val="22"/>
          <w:szCs w:val="22"/>
        </w:rPr>
        <w:t>Lung Cancer</w:t>
      </w:r>
      <w:r w:rsidRPr="008C300A">
        <w:rPr>
          <w:noProof/>
          <w:sz w:val="22"/>
          <w:szCs w:val="22"/>
        </w:rPr>
        <w:t>. 2012;75(1):82-88.</w:t>
      </w:r>
      <w:bookmarkEnd w:id="91"/>
    </w:p>
    <w:p w:rsidR="0002496E" w:rsidRPr="008C300A" w:rsidRDefault="0002496E" w:rsidP="0002496E">
      <w:pPr>
        <w:rPr>
          <w:noProof/>
          <w:sz w:val="22"/>
          <w:szCs w:val="22"/>
        </w:rPr>
      </w:pPr>
      <w:bookmarkStart w:id="92" w:name="_ENREF_93"/>
      <w:r w:rsidRPr="008C300A">
        <w:rPr>
          <w:noProof/>
          <w:sz w:val="22"/>
          <w:szCs w:val="22"/>
        </w:rPr>
        <w:tab/>
        <w:t>93.</w:t>
      </w:r>
      <w:r w:rsidRPr="008C300A">
        <w:rPr>
          <w:noProof/>
          <w:sz w:val="22"/>
          <w:szCs w:val="22"/>
        </w:rPr>
        <w:tab/>
        <w:t>Fukuoka M, Wu YL, Thongprasert S</w:t>
      </w:r>
      <w:r w:rsidR="00766833" w:rsidRPr="008C300A">
        <w:rPr>
          <w:noProof/>
          <w:sz w:val="22"/>
          <w:szCs w:val="22"/>
        </w:rPr>
        <w:t>,</w:t>
      </w:r>
      <w:r w:rsidRPr="008C300A">
        <w:rPr>
          <w:noProof/>
          <w:sz w:val="22"/>
          <w:szCs w:val="22"/>
        </w:rPr>
        <w:t xml:space="preserve"> et al. Biomarker analyses and final overall survival results from a phase III, randomized, open-label, first-line study of gefitinib versus carboplatin/paclitaxel in clinically selected patients with advanced non-small-cell lung cancer in Asia (IPASS). </w:t>
      </w:r>
      <w:r w:rsidRPr="008C300A">
        <w:rPr>
          <w:i/>
          <w:noProof/>
          <w:sz w:val="22"/>
          <w:szCs w:val="22"/>
        </w:rPr>
        <w:t>J</w:t>
      </w:r>
      <w:r w:rsidR="00766833" w:rsidRPr="008C300A">
        <w:rPr>
          <w:i/>
          <w:noProof/>
          <w:sz w:val="22"/>
          <w:szCs w:val="22"/>
        </w:rPr>
        <w:t xml:space="preserve"> C</w:t>
      </w:r>
      <w:r w:rsidRPr="008C300A">
        <w:rPr>
          <w:i/>
          <w:noProof/>
          <w:sz w:val="22"/>
          <w:szCs w:val="22"/>
        </w:rPr>
        <w:t>lin</w:t>
      </w:r>
      <w:r w:rsidR="00766833" w:rsidRPr="008C300A">
        <w:rPr>
          <w:i/>
          <w:noProof/>
          <w:sz w:val="22"/>
          <w:szCs w:val="22"/>
        </w:rPr>
        <w:t xml:space="preserve"> O</w:t>
      </w:r>
      <w:r w:rsidRPr="008C300A">
        <w:rPr>
          <w:i/>
          <w:noProof/>
          <w:sz w:val="22"/>
          <w:szCs w:val="22"/>
        </w:rPr>
        <w:t>ncol</w:t>
      </w:r>
      <w:r w:rsidRPr="008C300A">
        <w:rPr>
          <w:noProof/>
          <w:sz w:val="22"/>
          <w:szCs w:val="22"/>
        </w:rPr>
        <w:t>. 2011;29(21):2866-2874.</w:t>
      </w:r>
      <w:bookmarkEnd w:id="92"/>
    </w:p>
    <w:p w:rsidR="0002496E" w:rsidRPr="008C300A" w:rsidRDefault="0002496E" w:rsidP="0002496E">
      <w:pPr>
        <w:rPr>
          <w:noProof/>
          <w:sz w:val="22"/>
          <w:szCs w:val="22"/>
        </w:rPr>
      </w:pPr>
      <w:bookmarkStart w:id="93" w:name="_ENREF_94"/>
      <w:r w:rsidRPr="008C300A">
        <w:rPr>
          <w:noProof/>
          <w:sz w:val="22"/>
          <w:szCs w:val="22"/>
        </w:rPr>
        <w:tab/>
        <w:t>94.</w:t>
      </w:r>
      <w:r w:rsidRPr="008C300A">
        <w:rPr>
          <w:noProof/>
          <w:sz w:val="22"/>
          <w:szCs w:val="22"/>
        </w:rPr>
        <w:tab/>
        <w:t>Inoue A, Kobayashi K, Usui K</w:t>
      </w:r>
      <w:r w:rsidR="00766833" w:rsidRPr="008C300A">
        <w:rPr>
          <w:noProof/>
          <w:sz w:val="22"/>
          <w:szCs w:val="22"/>
        </w:rPr>
        <w:t>,</w:t>
      </w:r>
      <w:r w:rsidRPr="008C300A">
        <w:rPr>
          <w:noProof/>
          <w:sz w:val="22"/>
          <w:szCs w:val="22"/>
        </w:rPr>
        <w:t xml:space="preserve"> et al. First-line gefitinib for patients with advanced non-small-cell lung cancer harboring epidermal growth factor receptor mutations without indication for chemotherapy. </w:t>
      </w:r>
      <w:r w:rsidRPr="008C300A">
        <w:rPr>
          <w:i/>
          <w:noProof/>
          <w:sz w:val="22"/>
          <w:szCs w:val="22"/>
        </w:rPr>
        <w:t>J Clin Oncol</w:t>
      </w:r>
      <w:r w:rsidRPr="008C300A">
        <w:rPr>
          <w:noProof/>
          <w:sz w:val="22"/>
          <w:szCs w:val="22"/>
        </w:rPr>
        <w:t>. 2009;27(9):1394-1400.</w:t>
      </w:r>
      <w:bookmarkEnd w:id="93"/>
    </w:p>
    <w:p w:rsidR="0002496E" w:rsidRPr="008C300A" w:rsidRDefault="0002496E" w:rsidP="0002496E">
      <w:pPr>
        <w:rPr>
          <w:noProof/>
          <w:sz w:val="22"/>
          <w:szCs w:val="22"/>
        </w:rPr>
      </w:pPr>
      <w:bookmarkStart w:id="94" w:name="_ENREF_95"/>
      <w:r w:rsidRPr="008C300A">
        <w:rPr>
          <w:noProof/>
          <w:sz w:val="22"/>
          <w:szCs w:val="22"/>
        </w:rPr>
        <w:tab/>
        <w:t>95.</w:t>
      </w:r>
      <w:r w:rsidRPr="008C300A">
        <w:rPr>
          <w:noProof/>
          <w:sz w:val="22"/>
          <w:szCs w:val="22"/>
        </w:rPr>
        <w:tab/>
        <w:t>Maemondo M, Inoue A, Kobayashi K</w:t>
      </w:r>
      <w:r w:rsidR="00766833" w:rsidRPr="008C300A">
        <w:rPr>
          <w:noProof/>
          <w:sz w:val="22"/>
          <w:szCs w:val="22"/>
        </w:rPr>
        <w:t>,</w:t>
      </w:r>
      <w:r w:rsidRPr="008C300A">
        <w:rPr>
          <w:noProof/>
          <w:sz w:val="22"/>
          <w:szCs w:val="22"/>
        </w:rPr>
        <w:t xml:space="preserve"> et al. Gefitinib or chemotherapy for non-small-cell lung cancer with mutated EGFR. </w:t>
      </w:r>
      <w:r w:rsidRPr="008C300A">
        <w:rPr>
          <w:i/>
          <w:noProof/>
          <w:sz w:val="22"/>
          <w:szCs w:val="22"/>
        </w:rPr>
        <w:t>N Engl J Med</w:t>
      </w:r>
      <w:r w:rsidRPr="008C300A">
        <w:rPr>
          <w:noProof/>
          <w:sz w:val="22"/>
          <w:szCs w:val="22"/>
        </w:rPr>
        <w:t>. 2010;362(25):2380-2388.</w:t>
      </w:r>
      <w:bookmarkEnd w:id="94"/>
    </w:p>
    <w:p w:rsidR="0002496E" w:rsidRPr="008C300A" w:rsidRDefault="0002496E" w:rsidP="0002496E">
      <w:pPr>
        <w:rPr>
          <w:noProof/>
          <w:sz w:val="22"/>
          <w:szCs w:val="22"/>
        </w:rPr>
      </w:pPr>
      <w:bookmarkStart w:id="95" w:name="_ENREF_96"/>
      <w:r w:rsidRPr="008C300A">
        <w:rPr>
          <w:noProof/>
          <w:sz w:val="22"/>
          <w:szCs w:val="22"/>
        </w:rPr>
        <w:tab/>
        <w:t>96.</w:t>
      </w:r>
      <w:r w:rsidRPr="008C300A">
        <w:rPr>
          <w:noProof/>
          <w:sz w:val="22"/>
          <w:szCs w:val="22"/>
        </w:rPr>
        <w:tab/>
        <w:t>Mitsudomi T, Morita S, Yatabe Y</w:t>
      </w:r>
      <w:r w:rsidR="00766833" w:rsidRPr="008C300A">
        <w:rPr>
          <w:noProof/>
          <w:sz w:val="22"/>
          <w:szCs w:val="22"/>
        </w:rPr>
        <w:t>,</w:t>
      </w:r>
      <w:r w:rsidRPr="008C300A">
        <w:rPr>
          <w:noProof/>
          <w:sz w:val="22"/>
          <w:szCs w:val="22"/>
        </w:rPr>
        <w:t xml:space="preserve"> et al. Gefitinib versus cisplatin plus docetaxel in patients with non-small-cell lung cancer harbouring mutations of the epidermal growth factor receptor (WJTOG3405): an open label, randomised phase 3 trial. </w:t>
      </w:r>
      <w:r w:rsidRPr="008C300A">
        <w:rPr>
          <w:i/>
          <w:noProof/>
          <w:sz w:val="22"/>
          <w:szCs w:val="22"/>
        </w:rPr>
        <w:t>Lancet Oncol</w:t>
      </w:r>
      <w:r w:rsidRPr="008C300A">
        <w:rPr>
          <w:noProof/>
          <w:sz w:val="22"/>
          <w:szCs w:val="22"/>
        </w:rPr>
        <w:t>. 2010;11(2):121-128.</w:t>
      </w:r>
      <w:bookmarkEnd w:id="95"/>
    </w:p>
    <w:p w:rsidR="0002496E" w:rsidRPr="008C300A" w:rsidRDefault="0002496E" w:rsidP="0002496E">
      <w:pPr>
        <w:rPr>
          <w:noProof/>
          <w:sz w:val="22"/>
          <w:szCs w:val="22"/>
        </w:rPr>
      </w:pPr>
      <w:bookmarkStart w:id="96" w:name="_ENREF_97"/>
      <w:r w:rsidRPr="008C300A">
        <w:rPr>
          <w:noProof/>
          <w:sz w:val="22"/>
          <w:szCs w:val="22"/>
        </w:rPr>
        <w:tab/>
        <w:t>97.</w:t>
      </w:r>
      <w:r w:rsidRPr="008C300A">
        <w:rPr>
          <w:noProof/>
          <w:sz w:val="22"/>
          <w:szCs w:val="22"/>
        </w:rPr>
        <w:tab/>
        <w:t xml:space="preserve">Rosell R, Carcereny E, Gervais R. Erlotinib versus standard chemotherapy as first-line treatment for European patients with advanced EGFR mutation-positive non-small-cell lung cancer (EURTAC): a multicentre, open-label, randomised phase 3 trial. </w:t>
      </w:r>
      <w:r w:rsidRPr="008C300A">
        <w:rPr>
          <w:i/>
          <w:noProof/>
          <w:sz w:val="22"/>
          <w:szCs w:val="22"/>
        </w:rPr>
        <w:t>Lancet Oncol</w:t>
      </w:r>
      <w:r w:rsidRPr="008C300A">
        <w:rPr>
          <w:noProof/>
          <w:sz w:val="22"/>
          <w:szCs w:val="22"/>
        </w:rPr>
        <w:t>. 2012.</w:t>
      </w:r>
      <w:bookmarkEnd w:id="96"/>
    </w:p>
    <w:p w:rsidR="0002496E" w:rsidRPr="008C300A" w:rsidRDefault="0002496E" w:rsidP="0002496E">
      <w:pPr>
        <w:rPr>
          <w:noProof/>
          <w:sz w:val="22"/>
          <w:szCs w:val="22"/>
        </w:rPr>
      </w:pPr>
      <w:bookmarkStart w:id="97" w:name="_ENREF_98"/>
      <w:r w:rsidRPr="008C300A">
        <w:rPr>
          <w:noProof/>
          <w:sz w:val="22"/>
          <w:szCs w:val="22"/>
        </w:rPr>
        <w:tab/>
        <w:t>98.</w:t>
      </w:r>
      <w:r w:rsidRPr="008C300A">
        <w:rPr>
          <w:noProof/>
          <w:sz w:val="22"/>
          <w:szCs w:val="22"/>
        </w:rPr>
        <w:tab/>
        <w:t>Zhou C, Wu Y-L, Chen G</w:t>
      </w:r>
      <w:r w:rsidR="00766833" w:rsidRPr="008C300A">
        <w:rPr>
          <w:noProof/>
          <w:sz w:val="22"/>
          <w:szCs w:val="22"/>
        </w:rPr>
        <w:t>,</w:t>
      </w:r>
      <w:r w:rsidRPr="008C300A">
        <w:rPr>
          <w:noProof/>
          <w:sz w:val="22"/>
          <w:szCs w:val="22"/>
        </w:rPr>
        <w:t xml:space="preserve"> et al. Erlotinib versus chemotherapy as first-line treatment for patients with advanced EGFR mutation-positive non-small-cell lung cancer (OPTIMAL, CTONG-0802): a multicentre, open-label, randomised, phase 3 study. </w:t>
      </w:r>
      <w:r w:rsidRPr="008C300A">
        <w:rPr>
          <w:i/>
          <w:noProof/>
          <w:sz w:val="22"/>
          <w:szCs w:val="22"/>
        </w:rPr>
        <w:t>Lancet Oncol</w:t>
      </w:r>
      <w:r w:rsidRPr="008C300A">
        <w:rPr>
          <w:noProof/>
          <w:sz w:val="22"/>
          <w:szCs w:val="22"/>
        </w:rPr>
        <w:t>. 2011;12(8):735-742.</w:t>
      </w:r>
      <w:bookmarkEnd w:id="97"/>
    </w:p>
    <w:p w:rsidR="0002496E" w:rsidRPr="008C300A" w:rsidRDefault="0002496E" w:rsidP="0002496E">
      <w:pPr>
        <w:rPr>
          <w:noProof/>
          <w:sz w:val="22"/>
          <w:szCs w:val="22"/>
        </w:rPr>
      </w:pPr>
      <w:bookmarkStart w:id="98" w:name="_ENREF_99"/>
      <w:r w:rsidRPr="008C300A">
        <w:rPr>
          <w:noProof/>
          <w:sz w:val="22"/>
          <w:szCs w:val="22"/>
        </w:rPr>
        <w:tab/>
        <w:t>99.</w:t>
      </w:r>
      <w:r w:rsidRPr="008C300A">
        <w:rPr>
          <w:noProof/>
          <w:sz w:val="22"/>
          <w:szCs w:val="22"/>
        </w:rPr>
        <w:tab/>
        <w:t>Horiike A, Kimura H, Nishio K</w:t>
      </w:r>
      <w:r w:rsidR="00766833" w:rsidRPr="008C300A">
        <w:rPr>
          <w:noProof/>
          <w:sz w:val="22"/>
          <w:szCs w:val="22"/>
        </w:rPr>
        <w:t>,</w:t>
      </w:r>
      <w:r w:rsidRPr="008C300A">
        <w:rPr>
          <w:noProof/>
          <w:sz w:val="22"/>
          <w:szCs w:val="22"/>
        </w:rPr>
        <w:t xml:space="preserve"> et al. Detection of epidermal growth factor receptor mutation in transbronchial needle aspirates of non-small cell lung cancer. </w:t>
      </w:r>
      <w:r w:rsidRPr="008C300A">
        <w:rPr>
          <w:i/>
          <w:noProof/>
          <w:sz w:val="22"/>
          <w:szCs w:val="22"/>
        </w:rPr>
        <w:t>Chest</w:t>
      </w:r>
      <w:r w:rsidRPr="008C300A">
        <w:rPr>
          <w:noProof/>
          <w:sz w:val="22"/>
          <w:szCs w:val="22"/>
        </w:rPr>
        <w:t>. 2007;131(6):1628-1634.</w:t>
      </w:r>
      <w:bookmarkEnd w:id="98"/>
    </w:p>
    <w:p w:rsidR="0002496E" w:rsidRPr="008C300A" w:rsidRDefault="0002496E" w:rsidP="0002496E">
      <w:pPr>
        <w:rPr>
          <w:noProof/>
          <w:sz w:val="22"/>
          <w:szCs w:val="22"/>
        </w:rPr>
      </w:pPr>
      <w:bookmarkStart w:id="99" w:name="_ENREF_100"/>
      <w:r w:rsidRPr="008C300A">
        <w:rPr>
          <w:noProof/>
          <w:sz w:val="22"/>
          <w:szCs w:val="22"/>
        </w:rPr>
        <w:tab/>
        <w:t>100.</w:t>
      </w:r>
      <w:r w:rsidRPr="008C300A">
        <w:rPr>
          <w:noProof/>
          <w:sz w:val="22"/>
          <w:szCs w:val="22"/>
        </w:rPr>
        <w:tab/>
        <w:t xml:space="preserve">Gombos Z, Danihel L, Puttaswamy K, Brose M. A comparative study of EGFR mutation screening methods in non-small cell carcinoma of lung. </w:t>
      </w:r>
      <w:r w:rsidRPr="008C300A">
        <w:rPr>
          <w:i/>
          <w:noProof/>
          <w:sz w:val="22"/>
          <w:szCs w:val="22"/>
        </w:rPr>
        <w:t>Bratisl Lek Listy</w:t>
      </w:r>
      <w:r w:rsidRPr="008C300A">
        <w:rPr>
          <w:noProof/>
          <w:sz w:val="22"/>
          <w:szCs w:val="22"/>
        </w:rPr>
        <w:t>. 2010;111(7):365-368.</w:t>
      </w:r>
      <w:bookmarkEnd w:id="99"/>
    </w:p>
    <w:p w:rsidR="0002496E" w:rsidRPr="008C300A" w:rsidRDefault="0002496E" w:rsidP="0002496E">
      <w:pPr>
        <w:rPr>
          <w:noProof/>
          <w:sz w:val="22"/>
          <w:szCs w:val="22"/>
        </w:rPr>
      </w:pPr>
      <w:bookmarkStart w:id="100" w:name="_ENREF_101"/>
      <w:r w:rsidRPr="008C300A">
        <w:rPr>
          <w:noProof/>
          <w:sz w:val="22"/>
          <w:szCs w:val="22"/>
        </w:rPr>
        <w:tab/>
        <w:t>101.</w:t>
      </w:r>
      <w:r w:rsidRPr="008C300A">
        <w:rPr>
          <w:noProof/>
          <w:sz w:val="22"/>
          <w:szCs w:val="22"/>
        </w:rPr>
        <w:tab/>
        <w:t xml:space="preserve">Yatabe Y, Hida T, Horio Y, Kosaka T, Takahashi T, Mitsudomi T. A rapid, sensitive assay to detect EGFR mutation in small biopsy specimens from lung cancer. </w:t>
      </w:r>
      <w:r w:rsidRPr="008C300A">
        <w:rPr>
          <w:i/>
          <w:noProof/>
          <w:sz w:val="22"/>
          <w:szCs w:val="22"/>
        </w:rPr>
        <w:t>J Mol Diagn</w:t>
      </w:r>
      <w:r w:rsidRPr="008C300A">
        <w:rPr>
          <w:noProof/>
          <w:sz w:val="22"/>
          <w:szCs w:val="22"/>
        </w:rPr>
        <w:t>. 2006;8(3):335-341.</w:t>
      </w:r>
      <w:bookmarkEnd w:id="100"/>
    </w:p>
    <w:p w:rsidR="0002496E" w:rsidRPr="008C300A" w:rsidRDefault="0002496E" w:rsidP="0002496E">
      <w:pPr>
        <w:rPr>
          <w:noProof/>
          <w:sz w:val="22"/>
          <w:szCs w:val="22"/>
        </w:rPr>
      </w:pPr>
      <w:bookmarkStart w:id="101" w:name="_ENREF_102"/>
      <w:r w:rsidRPr="008C300A">
        <w:rPr>
          <w:noProof/>
          <w:sz w:val="22"/>
          <w:szCs w:val="22"/>
        </w:rPr>
        <w:tab/>
        <w:t>102.</w:t>
      </w:r>
      <w:r w:rsidRPr="008C300A">
        <w:rPr>
          <w:noProof/>
          <w:sz w:val="22"/>
          <w:szCs w:val="22"/>
        </w:rPr>
        <w:tab/>
        <w:t>Naoki K, Soejima K, Okamoto H</w:t>
      </w:r>
      <w:r w:rsidR="00766833" w:rsidRPr="008C300A">
        <w:rPr>
          <w:noProof/>
          <w:sz w:val="22"/>
          <w:szCs w:val="22"/>
        </w:rPr>
        <w:t>,</w:t>
      </w:r>
      <w:r w:rsidRPr="008C300A">
        <w:rPr>
          <w:noProof/>
          <w:sz w:val="22"/>
          <w:szCs w:val="22"/>
        </w:rPr>
        <w:t xml:space="preserve"> et al. The PCR-invader method (structure-specific 5' nuclease-based method), a sensitive method for detecting EGFR gene mutations in lung cancer specimens; comparison with direct sequencing. </w:t>
      </w:r>
      <w:r w:rsidRPr="008C300A">
        <w:rPr>
          <w:i/>
          <w:noProof/>
          <w:sz w:val="22"/>
          <w:szCs w:val="22"/>
        </w:rPr>
        <w:t>Int J Clin Oncol</w:t>
      </w:r>
      <w:r w:rsidRPr="008C300A">
        <w:rPr>
          <w:noProof/>
          <w:sz w:val="22"/>
          <w:szCs w:val="22"/>
        </w:rPr>
        <w:t>. 2011;16(4):335-344.</w:t>
      </w:r>
      <w:bookmarkEnd w:id="101"/>
    </w:p>
    <w:p w:rsidR="0002496E" w:rsidRPr="008C300A" w:rsidRDefault="0002496E" w:rsidP="0002496E">
      <w:pPr>
        <w:rPr>
          <w:noProof/>
          <w:sz w:val="22"/>
          <w:szCs w:val="22"/>
        </w:rPr>
      </w:pPr>
      <w:bookmarkStart w:id="102" w:name="_ENREF_103"/>
      <w:r w:rsidRPr="008C300A">
        <w:rPr>
          <w:noProof/>
          <w:sz w:val="22"/>
          <w:szCs w:val="22"/>
        </w:rPr>
        <w:tab/>
        <w:t>103.</w:t>
      </w:r>
      <w:r w:rsidRPr="008C300A">
        <w:rPr>
          <w:noProof/>
          <w:sz w:val="22"/>
          <w:szCs w:val="22"/>
        </w:rPr>
        <w:tab/>
        <w:t xml:space="preserve">Dufort S, Richard MJ, Lantuejoul S, de Fraipont F. Pyrosequencing, a method approved to detect the two major EGFR mutations for anti EGFR therapy in NSCLC. </w:t>
      </w:r>
      <w:r w:rsidRPr="008C300A">
        <w:rPr>
          <w:i/>
          <w:noProof/>
          <w:sz w:val="22"/>
          <w:szCs w:val="22"/>
        </w:rPr>
        <w:t>J</w:t>
      </w:r>
      <w:r w:rsidR="00766833" w:rsidRPr="008C300A">
        <w:rPr>
          <w:i/>
          <w:noProof/>
          <w:sz w:val="22"/>
          <w:szCs w:val="22"/>
        </w:rPr>
        <w:t xml:space="preserve"> E</w:t>
      </w:r>
      <w:r w:rsidRPr="008C300A">
        <w:rPr>
          <w:i/>
          <w:noProof/>
          <w:sz w:val="22"/>
          <w:szCs w:val="22"/>
        </w:rPr>
        <w:t>xp</w:t>
      </w:r>
      <w:r w:rsidR="00766833" w:rsidRPr="008C300A">
        <w:rPr>
          <w:i/>
          <w:noProof/>
          <w:sz w:val="22"/>
          <w:szCs w:val="22"/>
        </w:rPr>
        <w:t xml:space="preserve"> Cl</w:t>
      </w:r>
      <w:r w:rsidRPr="008C300A">
        <w:rPr>
          <w:i/>
          <w:noProof/>
          <w:sz w:val="22"/>
          <w:szCs w:val="22"/>
        </w:rPr>
        <w:t>in</w:t>
      </w:r>
      <w:r w:rsidR="00766833" w:rsidRPr="008C300A">
        <w:rPr>
          <w:i/>
          <w:noProof/>
          <w:sz w:val="22"/>
          <w:szCs w:val="22"/>
        </w:rPr>
        <w:t xml:space="preserve"> C</w:t>
      </w:r>
      <w:r w:rsidRPr="008C300A">
        <w:rPr>
          <w:i/>
          <w:noProof/>
          <w:sz w:val="22"/>
          <w:szCs w:val="22"/>
        </w:rPr>
        <w:t>ancer</w:t>
      </w:r>
      <w:r w:rsidR="00766833" w:rsidRPr="008C300A">
        <w:rPr>
          <w:i/>
          <w:noProof/>
          <w:sz w:val="22"/>
          <w:szCs w:val="22"/>
        </w:rPr>
        <w:t xml:space="preserve"> R</w:t>
      </w:r>
      <w:r w:rsidRPr="008C300A">
        <w:rPr>
          <w:i/>
          <w:noProof/>
          <w:sz w:val="22"/>
          <w:szCs w:val="22"/>
        </w:rPr>
        <w:t>es</w:t>
      </w:r>
      <w:r w:rsidRPr="008C300A">
        <w:rPr>
          <w:noProof/>
          <w:sz w:val="22"/>
          <w:szCs w:val="22"/>
        </w:rPr>
        <w:t>. 2011;30:57.</w:t>
      </w:r>
      <w:bookmarkEnd w:id="102"/>
    </w:p>
    <w:p w:rsidR="0002496E" w:rsidRPr="008C300A" w:rsidRDefault="0002496E" w:rsidP="0002496E">
      <w:pPr>
        <w:rPr>
          <w:noProof/>
          <w:sz w:val="22"/>
          <w:szCs w:val="22"/>
        </w:rPr>
      </w:pPr>
      <w:bookmarkStart w:id="103" w:name="_ENREF_104"/>
      <w:r w:rsidRPr="008C300A">
        <w:rPr>
          <w:noProof/>
          <w:sz w:val="22"/>
          <w:szCs w:val="22"/>
        </w:rPr>
        <w:tab/>
        <w:t>104.</w:t>
      </w:r>
      <w:r w:rsidRPr="008C300A">
        <w:rPr>
          <w:noProof/>
          <w:sz w:val="22"/>
          <w:szCs w:val="22"/>
        </w:rPr>
        <w:tab/>
        <w:t>Querings S, Altmuller J, Ansen S</w:t>
      </w:r>
      <w:r w:rsidR="00766833" w:rsidRPr="008C300A">
        <w:rPr>
          <w:noProof/>
          <w:sz w:val="22"/>
          <w:szCs w:val="22"/>
        </w:rPr>
        <w:t>,</w:t>
      </w:r>
      <w:r w:rsidRPr="008C300A">
        <w:rPr>
          <w:noProof/>
          <w:sz w:val="22"/>
          <w:szCs w:val="22"/>
        </w:rPr>
        <w:t xml:space="preserve"> et al. Benchmarking of mutation diagnostics in clinical lung cancer specimens. </w:t>
      </w:r>
      <w:r w:rsidRPr="008C300A">
        <w:rPr>
          <w:i/>
          <w:noProof/>
          <w:sz w:val="22"/>
          <w:szCs w:val="22"/>
        </w:rPr>
        <w:t>PLoS O</w:t>
      </w:r>
      <w:r w:rsidR="00766833" w:rsidRPr="008C300A">
        <w:rPr>
          <w:i/>
          <w:noProof/>
          <w:sz w:val="22"/>
          <w:szCs w:val="22"/>
        </w:rPr>
        <w:t>NE</w:t>
      </w:r>
      <w:r w:rsidRPr="008C300A">
        <w:rPr>
          <w:noProof/>
          <w:sz w:val="22"/>
          <w:szCs w:val="22"/>
        </w:rPr>
        <w:t>. 2011;6(5):e19601.</w:t>
      </w:r>
      <w:bookmarkEnd w:id="103"/>
    </w:p>
    <w:p w:rsidR="0002496E" w:rsidRPr="008C300A" w:rsidRDefault="0002496E" w:rsidP="0002496E">
      <w:pPr>
        <w:rPr>
          <w:noProof/>
          <w:sz w:val="22"/>
          <w:szCs w:val="22"/>
        </w:rPr>
      </w:pPr>
      <w:bookmarkStart w:id="104" w:name="_ENREF_105"/>
      <w:r w:rsidRPr="008C300A">
        <w:rPr>
          <w:noProof/>
          <w:sz w:val="22"/>
          <w:szCs w:val="22"/>
        </w:rPr>
        <w:tab/>
        <w:t>105.</w:t>
      </w:r>
      <w:r w:rsidRPr="008C300A">
        <w:rPr>
          <w:noProof/>
          <w:sz w:val="22"/>
          <w:szCs w:val="22"/>
        </w:rPr>
        <w:tab/>
        <w:t>Cohen V, Agulnik JS, Jarry J</w:t>
      </w:r>
      <w:r w:rsidR="00766833" w:rsidRPr="008C300A">
        <w:rPr>
          <w:noProof/>
          <w:sz w:val="22"/>
          <w:szCs w:val="22"/>
        </w:rPr>
        <w:t>,</w:t>
      </w:r>
      <w:r w:rsidRPr="008C300A">
        <w:rPr>
          <w:noProof/>
          <w:sz w:val="22"/>
          <w:szCs w:val="22"/>
        </w:rPr>
        <w:t xml:space="preserve"> et al. Evaluation of denaturing high-performance liquid chromatography as a rapid detection method for identification of epidermal growth factor receptor mutations in nonsmall-cell lung cancer. </w:t>
      </w:r>
      <w:r w:rsidRPr="008C300A">
        <w:rPr>
          <w:i/>
          <w:noProof/>
          <w:sz w:val="22"/>
          <w:szCs w:val="22"/>
        </w:rPr>
        <w:t>Cancer</w:t>
      </w:r>
      <w:r w:rsidRPr="008C300A">
        <w:rPr>
          <w:noProof/>
          <w:sz w:val="22"/>
          <w:szCs w:val="22"/>
        </w:rPr>
        <w:t>. 2006;107(12):2858-2865.</w:t>
      </w:r>
      <w:bookmarkEnd w:id="104"/>
    </w:p>
    <w:p w:rsidR="0002496E" w:rsidRPr="008C300A" w:rsidRDefault="0002496E" w:rsidP="0002496E">
      <w:pPr>
        <w:rPr>
          <w:noProof/>
          <w:sz w:val="22"/>
          <w:szCs w:val="22"/>
        </w:rPr>
      </w:pPr>
      <w:bookmarkStart w:id="105" w:name="_ENREF_106"/>
      <w:r w:rsidRPr="008C300A">
        <w:rPr>
          <w:noProof/>
          <w:sz w:val="22"/>
          <w:szCs w:val="22"/>
        </w:rPr>
        <w:tab/>
        <w:t>106.</w:t>
      </w:r>
      <w:r w:rsidRPr="008C300A">
        <w:rPr>
          <w:noProof/>
          <w:sz w:val="22"/>
          <w:szCs w:val="22"/>
        </w:rPr>
        <w:tab/>
        <w:t>Sueoka N, Sato A, Eguchi H</w:t>
      </w:r>
      <w:r w:rsidR="00766833" w:rsidRPr="008C300A">
        <w:rPr>
          <w:noProof/>
          <w:sz w:val="22"/>
          <w:szCs w:val="22"/>
        </w:rPr>
        <w:t>,</w:t>
      </w:r>
      <w:r w:rsidRPr="008C300A">
        <w:rPr>
          <w:noProof/>
          <w:sz w:val="22"/>
          <w:szCs w:val="22"/>
        </w:rPr>
        <w:t xml:space="preserve"> et al. Mutation profile of EGFR gene detected by denaturing high-performance liquid chromatography in Japanese lung cancer patients. </w:t>
      </w:r>
      <w:r w:rsidRPr="008C300A">
        <w:rPr>
          <w:i/>
          <w:noProof/>
          <w:sz w:val="22"/>
          <w:szCs w:val="22"/>
        </w:rPr>
        <w:t>J Cancer Res Clin Oncol</w:t>
      </w:r>
      <w:r w:rsidRPr="008C300A">
        <w:rPr>
          <w:noProof/>
          <w:sz w:val="22"/>
          <w:szCs w:val="22"/>
        </w:rPr>
        <w:t>. 2007;133(2):93-102.</w:t>
      </w:r>
      <w:bookmarkEnd w:id="105"/>
    </w:p>
    <w:p w:rsidR="0002496E" w:rsidRPr="008C300A" w:rsidRDefault="0002496E" w:rsidP="0002496E">
      <w:pPr>
        <w:rPr>
          <w:noProof/>
          <w:sz w:val="22"/>
          <w:szCs w:val="22"/>
        </w:rPr>
      </w:pPr>
      <w:bookmarkStart w:id="106" w:name="_ENREF_107"/>
      <w:r w:rsidRPr="008C300A">
        <w:rPr>
          <w:noProof/>
          <w:sz w:val="22"/>
          <w:szCs w:val="22"/>
        </w:rPr>
        <w:tab/>
        <w:t>107.</w:t>
      </w:r>
      <w:r w:rsidRPr="008C300A">
        <w:rPr>
          <w:noProof/>
          <w:sz w:val="22"/>
          <w:szCs w:val="22"/>
        </w:rPr>
        <w:tab/>
        <w:t>Marchetti A, Martella C, Felicioni L</w:t>
      </w:r>
      <w:r w:rsidR="00766833" w:rsidRPr="008C300A">
        <w:rPr>
          <w:noProof/>
          <w:sz w:val="22"/>
          <w:szCs w:val="22"/>
        </w:rPr>
        <w:t>,</w:t>
      </w:r>
      <w:r w:rsidRPr="008C300A">
        <w:rPr>
          <w:noProof/>
          <w:sz w:val="22"/>
          <w:szCs w:val="22"/>
        </w:rPr>
        <w:t xml:space="preserve"> et al. EGFR mutations in non-small-cell lung cancer: analysis of a large series of cases and development of a rapid and sensitive method for diagnostic screening with potential implications on pharmacologic treatment. </w:t>
      </w:r>
      <w:r w:rsidRPr="008C300A">
        <w:rPr>
          <w:i/>
          <w:noProof/>
          <w:sz w:val="22"/>
          <w:szCs w:val="22"/>
        </w:rPr>
        <w:t>J Clin Oncol</w:t>
      </w:r>
      <w:r w:rsidRPr="008C300A">
        <w:rPr>
          <w:noProof/>
          <w:sz w:val="22"/>
          <w:szCs w:val="22"/>
        </w:rPr>
        <w:t>. 2005;23(4):857-865.</w:t>
      </w:r>
      <w:bookmarkEnd w:id="106"/>
    </w:p>
    <w:p w:rsidR="0002496E" w:rsidRPr="008C300A" w:rsidRDefault="0002496E" w:rsidP="0002496E">
      <w:pPr>
        <w:rPr>
          <w:noProof/>
          <w:sz w:val="22"/>
          <w:szCs w:val="22"/>
        </w:rPr>
      </w:pPr>
      <w:bookmarkStart w:id="107" w:name="_ENREF_108"/>
      <w:r w:rsidRPr="008C300A">
        <w:rPr>
          <w:noProof/>
          <w:sz w:val="22"/>
          <w:szCs w:val="22"/>
        </w:rPr>
        <w:lastRenderedPageBreak/>
        <w:tab/>
        <w:t>108.</w:t>
      </w:r>
      <w:r w:rsidRPr="008C300A">
        <w:rPr>
          <w:noProof/>
          <w:sz w:val="22"/>
          <w:szCs w:val="22"/>
        </w:rPr>
        <w:tab/>
        <w:t xml:space="preserve">Do H, Krypuy M, Mitchell PL, Fox SB, Dobrovic A. High resolution melting analysis for rapid and sensitive EGFR and KRAS mutation detection in formalin fixed paraffin embedded biopsies. </w:t>
      </w:r>
      <w:r w:rsidRPr="008C300A">
        <w:rPr>
          <w:i/>
          <w:noProof/>
          <w:sz w:val="22"/>
          <w:szCs w:val="22"/>
        </w:rPr>
        <w:t>BMC Cancer</w:t>
      </w:r>
      <w:r w:rsidRPr="008C300A">
        <w:rPr>
          <w:noProof/>
          <w:sz w:val="22"/>
          <w:szCs w:val="22"/>
        </w:rPr>
        <w:t>. 2008;8:142.</w:t>
      </w:r>
      <w:bookmarkEnd w:id="107"/>
    </w:p>
    <w:p w:rsidR="0002496E" w:rsidRPr="008C300A" w:rsidRDefault="0002496E" w:rsidP="0002496E">
      <w:pPr>
        <w:rPr>
          <w:noProof/>
          <w:sz w:val="22"/>
          <w:szCs w:val="22"/>
        </w:rPr>
      </w:pPr>
      <w:bookmarkStart w:id="108" w:name="_ENREF_109"/>
      <w:r w:rsidRPr="008C300A">
        <w:rPr>
          <w:noProof/>
          <w:sz w:val="22"/>
          <w:szCs w:val="22"/>
        </w:rPr>
        <w:tab/>
        <w:t>109.</w:t>
      </w:r>
      <w:r w:rsidRPr="008C300A">
        <w:rPr>
          <w:noProof/>
          <w:sz w:val="22"/>
          <w:szCs w:val="22"/>
        </w:rPr>
        <w:tab/>
        <w:t xml:space="preserve">Hlinkova K, Babal P, Berzinec P, Majer I, Ilencikova D. Rapid and efficient detection of EGFR mutations in problematic cytologic specimens by high-resolution melting analysis. </w:t>
      </w:r>
      <w:r w:rsidRPr="008C300A">
        <w:rPr>
          <w:i/>
          <w:noProof/>
          <w:sz w:val="22"/>
          <w:szCs w:val="22"/>
        </w:rPr>
        <w:t>Mol Diagn Ther</w:t>
      </w:r>
      <w:r w:rsidRPr="008C300A">
        <w:rPr>
          <w:noProof/>
          <w:sz w:val="22"/>
          <w:szCs w:val="22"/>
        </w:rPr>
        <w:t>. 2011;15(1):21-29.</w:t>
      </w:r>
      <w:bookmarkEnd w:id="108"/>
    </w:p>
    <w:p w:rsidR="0002496E" w:rsidRPr="008C300A" w:rsidRDefault="0002496E" w:rsidP="0002496E">
      <w:pPr>
        <w:rPr>
          <w:noProof/>
          <w:sz w:val="22"/>
          <w:szCs w:val="22"/>
        </w:rPr>
      </w:pPr>
      <w:bookmarkStart w:id="109" w:name="_ENREF_110"/>
      <w:r w:rsidRPr="008C300A">
        <w:rPr>
          <w:noProof/>
          <w:sz w:val="22"/>
          <w:szCs w:val="22"/>
        </w:rPr>
        <w:tab/>
        <w:t>110.</w:t>
      </w:r>
      <w:r w:rsidRPr="008C300A">
        <w:rPr>
          <w:noProof/>
          <w:sz w:val="22"/>
          <w:szCs w:val="22"/>
        </w:rPr>
        <w:tab/>
        <w:t>Heideman DAM, Thunnissen FB, Doeleman M</w:t>
      </w:r>
      <w:r w:rsidR="00766833" w:rsidRPr="008C300A">
        <w:rPr>
          <w:noProof/>
          <w:sz w:val="22"/>
          <w:szCs w:val="22"/>
        </w:rPr>
        <w:t>,</w:t>
      </w:r>
      <w:r w:rsidRPr="008C300A">
        <w:rPr>
          <w:noProof/>
          <w:sz w:val="22"/>
          <w:szCs w:val="22"/>
        </w:rPr>
        <w:t xml:space="preserve"> et al. A panel of high resolution melting (HRM) technology-based assays with direct sequencing possibility for effective mutation screening of EGFR and K-ras genes. </w:t>
      </w:r>
      <w:r w:rsidRPr="008C300A">
        <w:rPr>
          <w:i/>
          <w:noProof/>
          <w:sz w:val="22"/>
          <w:szCs w:val="22"/>
        </w:rPr>
        <w:t>Cell Oncol</w:t>
      </w:r>
      <w:r w:rsidRPr="008C300A">
        <w:rPr>
          <w:noProof/>
          <w:sz w:val="22"/>
          <w:szCs w:val="22"/>
        </w:rPr>
        <w:t>. 2009;31(5):329-333.</w:t>
      </w:r>
      <w:bookmarkEnd w:id="109"/>
    </w:p>
    <w:p w:rsidR="0002496E" w:rsidRPr="008C300A" w:rsidRDefault="0002496E" w:rsidP="0002496E">
      <w:pPr>
        <w:rPr>
          <w:noProof/>
          <w:sz w:val="22"/>
          <w:szCs w:val="22"/>
        </w:rPr>
      </w:pPr>
      <w:bookmarkStart w:id="110" w:name="_ENREF_111"/>
      <w:r w:rsidRPr="008C300A">
        <w:rPr>
          <w:noProof/>
          <w:sz w:val="22"/>
          <w:szCs w:val="22"/>
        </w:rPr>
        <w:tab/>
        <w:t>111.</w:t>
      </w:r>
      <w:r w:rsidRPr="008C300A">
        <w:rPr>
          <w:noProof/>
          <w:sz w:val="22"/>
          <w:szCs w:val="22"/>
        </w:rPr>
        <w:tab/>
        <w:t>Nakajima T, Yasufuku K, Suzuki M</w:t>
      </w:r>
      <w:r w:rsidR="00766833" w:rsidRPr="008C300A">
        <w:rPr>
          <w:noProof/>
          <w:sz w:val="22"/>
          <w:szCs w:val="22"/>
        </w:rPr>
        <w:t>,</w:t>
      </w:r>
      <w:r w:rsidRPr="008C300A">
        <w:rPr>
          <w:noProof/>
          <w:sz w:val="22"/>
          <w:szCs w:val="22"/>
        </w:rPr>
        <w:t xml:space="preserve"> et al. Assessment of epidermal growth factor receptor mutation by endobronchial ultrasound-guided transbronchial needle aspiration. </w:t>
      </w:r>
      <w:r w:rsidRPr="008C300A">
        <w:rPr>
          <w:i/>
          <w:noProof/>
          <w:sz w:val="22"/>
          <w:szCs w:val="22"/>
        </w:rPr>
        <w:t>Chest</w:t>
      </w:r>
      <w:r w:rsidRPr="008C300A">
        <w:rPr>
          <w:noProof/>
          <w:sz w:val="22"/>
          <w:szCs w:val="22"/>
        </w:rPr>
        <w:t>. 2007;132(2):597-602.</w:t>
      </w:r>
      <w:bookmarkEnd w:id="110"/>
    </w:p>
    <w:p w:rsidR="0002496E" w:rsidRPr="008C300A" w:rsidRDefault="0002496E" w:rsidP="0002496E">
      <w:pPr>
        <w:rPr>
          <w:noProof/>
          <w:sz w:val="22"/>
          <w:szCs w:val="22"/>
        </w:rPr>
      </w:pPr>
      <w:bookmarkStart w:id="111" w:name="_ENREF_112"/>
      <w:r w:rsidRPr="008C300A">
        <w:rPr>
          <w:noProof/>
          <w:sz w:val="22"/>
          <w:szCs w:val="22"/>
        </w:rPr>
        <w:tab/>
        <w:t>112.</w:t>
      </w:r>
      <w:r w:rsidRPr="008C300A">
        <w:rPr>
          <w:noProof/>
          <w:sz w:val="22"/>
          <w:szCs w:val="22"/>
        </w:rPr>
        <w:tab/>
        <w:t>Miyamae Y, Shimizu K, Hirato J</w:t>
      </w:r>
      <w:r w:rsidR="00766833" w:rsidRPr="008C300A">
        <w:rPr>
          <w:noProof/>
          <w:sz w:val="22"/>
          <w:szCs w:val="22"/>
        </w:rPr>
        <w:t>,</w:t>
      </w:r>
      <w:r w:rsidRPr="008C300A">
        <w:rPr>
          <w:noProof/>
          <w:sz w:val="22"/>
          <w:szCs w:val="22"/>
        </w:rPr>
        <w:t xml:space="preserve"> et al. Significance of epidermal growth factor receptor gene mutations in squamous cell lung carcinoma. </w:t>
      </w:r>
      <w:r w:rsidRPr="008C300A">
        <w:rPr>
          <w:i/>
          <w:noProof/>
          <w:sz w:val="22"/>
          <w:szCs w:val="22"/>
        </w:rPr>
        <w:t>Oncol</w:t>
      </w:r>
      <w:r w:rsidR="00766833" w:rsidRPr="008C300A">
        <w:rPr>
          <w:i/>
          <w:noProof/>
          <w:sz w:val="22"/>
          <w:szCs w:val="22"/>
        </w:rPr>
        <w:t xml:space="preserve"> R</w:t>
      </w:r>
      <w:r w:rsidRPr="008C300A">
        <w:rPr>
          <w:i/>
          <w:noProof/>
          <w:sz w:val="22"/>
          <w:szCs w:val="22"/>
        </w:rPr>
        <w:t>ep</w:t>
      </w:r>
      <w:r w:rsidRPr="008C300A">
        <w:rPr>
          <w:noProof/>
          <w:sz w:val="22"/>
          <w:szCs w:val="22"/>
        </w:rPr>
        <w:t>. 2011;25(4):921-928.</w:t>
      </w:r>
      <w:bookmarkEnd w:id="111"/>
    </w:p>
    <w:p w:rsidR="0002496E" w:rsidRPr="008C300A" w:rsidRDefault="0002496E" w:rsidP="0002496E">
      <w:pPr>
        <w:rPr>
          <w:noProof/>
          <w:sz w:val="22"/>
          <w:szCs w:val="22"/>
        </w:rPr>
      </w:pPr>
      <w:bookmarkStart w:id="112" w:name="_ENREF_113"/>
      <w:r w:rsidRPr="008C300A">
        <w:rPr>
          <w:noProof/>
          <w:sz w:val="22"/>
          <w:szCs w:val="22"/>
        </w:rPr>
        <w:tab/>
        <w:t>113.</w:t>
      </w:r>
      <w:r w:rsidRPr="008C300A">
        <w:rPr>
          <w:noProof/>
          <w:sz w:val="22"/>
          <w:szCs w:val="22"/>
        </w:rPr>
        <w:tab/>
        <w:t>Soh J, Toyooka S, Aoe K</w:t>
      </w:r>
      <w:r w:rsidR="00766833" w:rsidRPr="008C300A">
        <w:rPr>
          <w:noProof/>
          <w:sz w:val="22"/>
          <w:szCs w:val="22"/>
        </w:rPr>
        <w:t>,</w:t>
      </w:r>
      <w:r w:rsidRPr="008C300A">
        <w:rPr>
          <w:noProof/>
          <w:sz w:val="22"/>
          <w:szCs w:val="22"/>
        </w:rPr>
        <w:t xml:space="preserve"> et al. Usefulness of EGFR mutation screening in pleural fluid to predict the clinical outcome of gefitinib treated patients with lung cancer. </w:t>
      </w:r>
      <w:r w:rsidRPr="008C300A">
        <w:rPr>
          <w:i/>
          <w:noProof/>
          <w:sz w:val="22"/>
          <w:szCs w:val="22"/>
        </w:rPr>
        <w:t>Int J Cancer</w:t>
      </w:r>
      <w:r w:rsidRPr="008C300A">
        <w:rPr>
          <w:noProof/>
          <w:sz w:val="22"/>
          <w:szCs w:val="22"/>
        </w:rPr>
        <w:t>. 2006;119(10):2353-2358.</w:t>
      </w:r>
      <w:bookmarkEnd w:id="112"/>
    </w:p>
    <w:p w:rsidR="0002496E" w:rsidRPr="008C300A" w:rsidRDefault="0002496E" w:rsidP="0002496E">
      <w:pPr>
        <w:rPr>
          <w:noProof/>
          <w:sz w:val="22"/>
          <w:szCs w:val="22"/>
        </w:rPr>
      </w:pPr>
      <w:bookmarkStart w:id="113" w:name="_ENREF_114"/>
      <w:r w:rsidRPr="008C300A">
        <w:rPr>
          <w:noProof/>
          <w:sz w:val="22"/>
          <w:szCs w:val="22"/>
        </w:rPr>
        <w:tab/>
        <w:t>114.</w:t>
      </w:r>
      <w:r w:rsidRPr="008C300A">
        <w:rPr>
          <w:noProof/>
          <w:sz w:val="22"/>
          <w:szCs w:val="22"/>
        </w:rPr>
        <w:tab/>
        <w:t>Santis G, Angell R, Nickless G</w:t>
      </w:r>
      <w:r w:rsidR="00766833" w:rsidRPr="008C300A">
        <w:rPr>
          <w:noProof/>
          <w:sz w:val="22"/>
          <w:szCs w:val="22"/>
        </w:rPr>
        <w:t>,</w:t>
      </w:r>
      <w:r w:rsidRPr="008C300A">
        <w:rPr>
          <w:noProof/>
          <w:sz w:val="22"/>
          <w:szCs w:val="22"/>
        </w:rPr>
        <w:t xml:space="preserve"> et al. Screening for EGFR and KRAS mutations in endobronchial ultrasound derived transbronchial needle aspirates in non-small cell lung cancer using COLD-PCR. </w:t>
      </w:r>
      <w:r w:rsidRPr="008C300A">
        <w:rPr>
          <w:i/>
          <w:noProof/>
          <w:sz w:val="22"/>
          <w:szCs w:val="22"/>
        </w:rPr>
        <w:t>PLoS O</w:t>
      </w:r>
      <w:r w:rsidR="00766833" w:rsidRPr="008C300A">
        <w:rPr>
          <w:i/>
          <w:noProof/>
          <w:sz w:val="22"/>
          <w:szCs w:val="22"/>
        </w:rPr>
        <w:t>NE</w:t>
      </w:r>
      <w:r w:rsidRPr="008C300A">
        <w:rPr>
          <w:noProof/>
          <w:sz w:val="22"/>
          <w:szCs w:val="22"/>
        </w:rPr>
        <w:t>. 2011;6(9):e25191.</w:t>
      </w:r>
      <w:bookmarkEnd w:id="113"/>
    </w:p>
    <w:p w:rsidR="0002496E" w:rsidRPr="008C300A" w:rsidRDefault="0002496E" w:rsidP="0002496E">
      <w:pPr>
        <w:rPr>
          <w:noProof/>
          <w:sz w:val="22"/>
          <w:szCs w:val="22"/>
        </w:rPr>
      </w:pPr>
      <w:bookmarkStart w:id="114" w:name="_ENREF_115"/>
      <w:r w:rsidRPr="008C300A">
        <w:rPr>
          <w:noProof/>
          <w:sz w:val="22"/>
          <w:szCs w:val="22"/>
        </w:rPr>
        <w:tab/>
        <w:t>115.</w:t>
      </w:r>
      <w:r w:rsidRPr="008C300A">
        <w:rPr>
          <w:noProof/>
          <w:sz w:val="22"/>
          <w:szCs w:val="22"/>
        </w:rPr>
        <w:tab/>
        <w:t>Hoshi K, Takakura H, Mitani Y</w:t>
      </w:r>
      <w:r w:rsidR="00766833" w:rsidRPr="008C300A">
        <w:rPr>
          <w:noProof/>
          <w:sz w:val="22"/>
          <w:szCs w:val="22"/>
        </w:rPr>
        <w:t>,</w:t>
      </w:r>
      <w:r w:rsidRPr="008C300A">
        <w:rPr>
          <w:noProof/>
          <w:sz w:val="22"/>
          <w:szCs w:val="22"/>
        </w:rPr>
        <w:t xml:space="preserve"> et al. Rapid detection of epidermal growth factor receptor mutations in lung cancer by the SMart-Amplification Process. </w:t>
      </w:r>
      <w:r w:rsidRPr="008C300A">
        <w:rPr>
          <w:i/>
          <w:noProof/>
          <w:sz w:val="22"/>
          <w:szCs w:val="22"/>
        </w:rPr>
        <w:t>Clin Cancer Res</w:t>
      </w:r>
      <w:r w:rsidRPr="008C300A">
        <w:rPr>
          <w:noProof/>
          <w:sz w:val="22"/>
          <w:szCs w:val="22"/>
        </w:rPr>
        <w:t>. 2007;13(17):4974-4983.</w:t>
      </w:r>
      <w:bookmarkEnd w:id="114"/>
    </w:p>
    <w:p w:rsidR="0002496E" w:rsidRPr="008C300A" w:rsidRDefault="0002496E" w:rsidP="0002496E">
      <w:pPr>
        <w:rPr>
          <w:noProof/>
          <w:sz w:val="22"/>
          <w:szCs w:val="22"/>
        </w:rPr>
      </w:pPr>
      <w:bookmarkStart w:id="115" w:name="_ENREF_116"/>
      <w:r w:rsidRPr="008C300A">
        <w:rPr>
          <w:noProof/>
          <w:sz w:val="22"/>
          <w:szCs w:val="22"/>
        </w:rPr>
        <w:tab/>
        <w:t>116.</w:t>
      </w:r>
      <w:r w:rsidRPr="008C300A">
        <w:rPr>
          <w:noProof/>
          <w:sz w:val="22"/>
          <w:szCs w:val="22"/>
        </w:rPr>
        <w:tab/>
        <w:t>Miyamae Y, Shimizu K, Mitani Y</w:t>
      </w:r>
      <w:r w:rsidR="00766833" w:rsidRPr="008C300A">
        <w:rPr>
          <w:noProof/>
          <w:sz w:val="22"/>
          <w:szCs w:val="22"/>
        </w:rPr>
        <w:t>,</w:t>
      </w:r>
      <w:r w:rsidRPr="008C300A">
        <w:rPr>
          <w:noProof/>
          <w:sz w:val="22"/>
          <w:szCs w:val="22"/>
        </w:rPr>
        <w:t xml:space="preserve"> et al. Mutation detection of epidermal growth factor receptor and KRAS genes using the smart amplification process version 2 from formalin-fixed, paraffin-embedded lung cancer tissue. </w:t>
      </w:r>
      <w:r w:rsidRPr="008C300A">
        <w:rPr>
          <w:i/>
          <w:noProof/>
          <w:sz w:val="22"/>
          <w:szCs w:val="22"/>
        </w:rPr>
        <w:t>J Mol Diagn</w:t>
      </w:r>
      <w:r w:rsidRPr="008C300A">
        <w:rPr>
          <w:noProof/>
          <w:sz w:val="22"/>
          <w:szCs w:val="22"/>
        </w:rPr>
        <w:t>. 2010;12(2):257-264.</w:t>
      </w:r>
      <w:bookmarkEnd w:id="115"/>
    </w:p>
    <w:p w:rsidR="0002496E" w:rsidRPr="008C300A" w:rsidRDefault="0002496E" w:rsidP="0002496E">
      <w:pPr>
        <w:rPr>
          <w:noProof/>
          <w:sz w:val="22"/>
          <w:szCs w:val="22"/>
        </w:rPr>
      </w:pPr>
      <w:bookmarkStart w:id="116" w:name="_ENREF_117"/>
      <w:r w:rsidRPr="008C300A">
        <w:rPr>
          <w:noProof/>
          <w:sz w:val="22"/>
          <w:szCs w:val="22"/>
        </w:rPr>
        <w:tab/>
        <w:t>117.</w:t>
      </w:r>
      <w:r w:rsidRPr="008C300A">
        <w:rPr>
          <w:noProof/>
          <w:sz w:val="22"/>
          <w:szCs w:val="22"/>
        </w:rPr>
        <w:tab/>
        <w:t>Kim KS, Jeong JY, Kim YC</w:t>
      </w:r>
      <w:r w:rsidR="00766833" w:rsidRPr="008C300A">
        <w:rPr>
          <w:noProof/>
          <w:sz w:val="22"/>
          <w:szCs w:val="22"/>
        </w:rPr>
        <w:t>,</w:t>
      </w:r>
      <w:r w:rsidRPr="008C300A">
        <w:rPr>
          <w:noProof/>
          <w:sz w:val="22"/>
          <w:szCs w:val="22"/>
        </w:rPr>
        <w:t xml:space="preserve"> et al. Predictors of the response to gefitinib in refractory non-small cell lung cancer. </w:t>
      </w:r>
      <w:r w:rsidRPr="008C300A">
        <w:rPr>
          <w:i/>
          <w:noProof/>
          <w:sz w:val="22"/>
          <w:szCs w:val="22"/>
        </w:rPr>
        <w:t>Clin Cancer Res</w:t>
      </w:r>
      <w:r w:rsidRPr="008C300A">
        <w:rPr>
          <w:noProof/>
          <w:sz w:val="22"/>
          <w:szCs w:val="22"/>
        </w:rPr>
        <w:t>. 2005;11(6):2244-2251.</w:t>
      </w:r>
      <w:bookmarkEnd w:id="116"/>
    </w:p>
    <w:p w:rsidR="0002496E" w:rsidRPr="008C300A" w:rsidRDefault="0002496E" w:rsidP="0002496E">
      <w:pPr>
        <w:rPr>
          <w:noProof/>
          <w:sz w:val="22"/>
          <w:szCs w:val="22"/>
        </w:rPr>
      </w:pPr>
      <w:bookmarkStart w:id="117" w:name="_ENREF_118"/>
      <w:r w:rsidRPr="008C300A">
        <w:rPr>
          <w:noProof/>
          <w:sz w:val="22"/>
          <w:szCs w:val="22"/>
        </w:rPr>
        <w:tab/>
        <w:t>118.</w:t>
      </w:r>
      <w:r w:rsidRPr="008C300A">
        <w:rPr>
          <w:noProof/>
          <w:sz w:val="22"/>
          <w:szCs w:val="22"/>
        </w:rPr>
        <w:tab/>
        <w:t>Sholl LM, Xiao Y, Joshi V</w:t>
      </w:r>
      <w:r w:rsidR="00766833" w:rsidRPr="008C300A">
        <w:rPr>
          <w:noProof/>
          <w:sz w:val="22"/>
          <w:szCs w:val="22"/>
        </w:rPr>
        <w:t>,</w:t>
      </w:r>
      <w:r w:rsidRPr="008C300A">
        <w:rPr>
          <w:noProof/>
          <w:sz w:val="22"/>
          <w:szCs w:val="22"/>
        </w:rPr>
        <w:t xml:space="preserve"> et al. EGFR mutation is a better predictor of response to tyrosine kinase inhibitors in non-small cell lung carcinoma than FISH, CISH, and immunohistochemistry. </w:t>
      </w:r>
      <w:r w:rsidRPr="008C300A">
        <w:rPr>
          <w:i/>
          <w:noProof/>
          <w:sz w:val="22"/>
          <w:szCs w:val="22"/>
        </w:rPr>
        <w:t>Am J Clin Pathol</w:t>
      </w:r>
      <w:r w:rsidRPr="008C300A">
        <w:rPr>
          <w:noProof/>
          <w:sz w:val="22"/>
          <w:szCs w:val="22"/>
        </w:rPr>
        <w:t>. 2010;133(6):922-934.</w:t>
      </w:r>
      <w:bookmarkEnd w:id="117"/>
    </w:p>
    <w:p w:rsidR="0002496E" w:rsidRPr="008C300A" w:rsidRDefault="0002496E" w:rsidP="0002496E">
      <w:pPr>
        <w:rPr>
          <w:noProof/>
          <w:sz w:val="22"/>
          <w:szCs w:val="22"/>
        </w:rPr>
      </w:pPr>
      <w:bookmarkStart w:id="118" w:name="_ENREF_119"/>
      <w:r w:rsidRPr="008C300A">
        <w:rPr>
          <w:noProof/>
          <w:sz w:val="22"/>
          <w:szCs w:val="22"/>
        </w:rPr>
        <w:tab/>
        <w:t>119.</w:t>
      </w:r>
      <w:r w:rsidRPr="008C300A">
        <w:rPr>
          <w:noProof/>
          <w:sz w:val="22"/>
          <w:szCs w:val="22"/>
        </w:rPr>
        <w:tab/>
        <w:t>Lara-Guerra H, Waddell TK, Salvarrey MA</w:t>
      </w:r>
      <w:r w:rsidR="00766833" w:rsidRPr="008C300A">
        <w:rPr>
          <w:noProof/>
          <w:sz w:val="22"/>
          <w:szCs w:val="22"/>
        </w:rPr>
        <w:t>,</w:t>
      </w:r>
      <w:r w:rsidRPr="008C300A">
        <w:rPr>
          <w:noProof/>
          <w:sz w:val="22"/>
          <w:szCs w:val="22"/>
        </w:rPr>
        <w:t xml:space="preserve"> et al. Phase II study of preoperative gefitinib in clinical stage I non-small-cell lung cancer. </w:t>
      </w:r>
      <w:r w:rsidRPr="008C300A">
        <w:rPr>
          <w:i/>
          <w:noProof/>
          <w:sz w:val="22"/>
          <w:szCs w:val="22"/>
        </w:rPr>
        <w:t>J Clin Oncol</w:t>
      </w:r>
      <w:r w:rsidRPr="008C300A">
        <w:rPr>
          <w:noProof/>
          <w:sz w:val="22"/>
          <w:szCs w:val="22"/>
        </w:rPr>
        <w:t>. 2009;27(36):6229-6236.</w:t>
      </w:r>
      <w:bookmarkEnd w:id="118"/>
    </w:p>
    <w:p w:rsidR="0002496E" w:rsidRPr="008C300A" w:rsidRDefault="0002496E" w:rsidP="0002496E">
      <w:pPr>
        <w:rPr>
          <w:noProof/>
          <w:sz w:val="22"/>
          <w:szCs w:val="22"/>
        </w:rPr>
      </w:pPr>
      <w:bookmarkStart w:id="119" w:name="_ENREF_120"/>
      <w:r w:rsidRPr="008C300A">
        <w:rPr>
          <w:noProof/>
          <w:sz w:val="22"/>
          <w:szCs w:val="22"/>
        </w:rPr>
        <w:tab/>
        <w:t>120.</w:t>
      </w:r>
      <w:r w:rsidRPr="008C300A">
        <w:rPr>
          <w:noProof/>
          <w:sz w:val="22"/>
          <w:szCs w:val="22"/>
        </w:rPr>
        <w:tab/>
        <w:t>Pinter F, Papay J, Almasi A</w:t>
      </w:r>
      <w:r w:rsidR="00766833" w:rsidRPr="008C300A">
        <w:rPr>
          <w:noProof/>
          <w:sz w:val="22"/>
          <w:szCs w:val="22"/>
        </w:rPr>
        <w:t>,</w:t>
      </w:r>
      <w:r w:rsidRPr="008C300A">
        <w:rPr>
          <w:noProof/>
          <w:sz w:val="22"/>
          <w:szCs w:val="22"/>
        </w:rPr>
        <w:t xml:space="preserve"> et al. Epidermal growth factor receptor (EGFR) high gene copy number and activating mutations in lung adenocarcinomas are not consistently accompanied by positivity for EGFR protein by standard immunohistochemistry. </w:t>
      </w:r>
      <w:r w:rsidRPr="008C300A">
        <w:rPr>
          <w:i/>
          <w:noProof/>
          <w:sz w:val="22"/>
          <w:szCs w:val="22"/>
        </w:rPr>
        <w:t>J Mol Diagn</w:t>
      </w:r>
      <w:r w:rsidRPr="008C300A">
        <w:rPr>
          <w:noProof/>
          <w:sz w:val="22"/>
          <w:szCs w:val="22"/>
        </w:rPr>
        <w:t>. 2008;10(2):160-168.</w:t>
      </w:r>
      <w:bookmarkEnd w:id="119"/>
    </w:p>
    <w:p w:rsidR="0002496E" w:rsidRPr="008C300A" w:rsidRDefault="0002496E" w:rsidP="0002496E">
      <w:pPr>
        <w:rPr>
          <w:noProof/>
          <w:sz w:val="22"/>
          <w:szCs w:val="22"/>
        </w:rPr>
      </w:pPr>
      <w:bookmarkStart w:id="120" w:name="_ENREF_121"/>
      <w:r w:rsidRPr="008C300A">
        <w:rPr>
          <w:noProof/>
          <w:sz w:val="22"/>
          <w:szCs w:val="22"/>
        </w:rPr>
        <w:tab/>
        <w:t>121.</w:t>
      </w:r>
      <w:r w:rsidRPr="008C300A">
        <w:rPr>
          <w:noProof/>
          <w:sz w:val="22"/>
          <w:szCs w:val="22"/>
        </w:rPr>
        <w:tab/>
        <w:t>Sequist LV, Martins RG, Spigel D</w:t>
      </w:r>
      <w:r w:rsidR="00766833" w:rsidRPr="008C300A">
        <w:rPr>
          <w:noProof/>
          <w:sz w:val="22"/>
          <w:szCs w:val="22"/>
        </w:rPr>
        <w:t>,</w:t>
      </w:r>
      <w:r w:rsidRPr="008C300A">
        <w:rPr>
          <w:noProof/>
          <w:sz w:val="22"/>
          <w:szCs w:val="22"/>
        </w:rPr>
        <w:t xml:space="preserve"> et al. First-line gefitinib in patients with advanced non-small-cell lung cancer harboring somatic EGFR mutations. </w:t>
      </w:r>
      <w:r w:rsidRPr="008C300A">
        <w:rPr>
          <w:i/>
          <w:noProof/>
          <w:sz w:val="22"/>
          <w:szCs w:val="22"/>
        </w:rPr>
        <w:t>J Clin Oncol</w:t>
      </w:r>
      <w:r w:rsidRPr="008C300A">
        <w:rPr>
          <w:noProof/>
          <w:sz w:val="22"/>
          <w:szCs w:val="22"/>
        </w:rPr>
        <w:t>. 2008;26(15):2442-2449.</w:t>
      </w:r>
      <w:bookmarkEnd w:id="120"/>
    </w:p>
    <w:p w:rsidR="0002496E" w:rsidRPr="008C300A" w:rsidRDefault="0002496E" w:rsidP="0002496E">
      <w:pPr>
        <w:rPr>
          <w:noProof/>
          <w:sz w:val="22"/>
          <w:szCs w:val="22"/>
        </w:rPr>
      </w:pPr>
      <w:bookmarkStart w:id="121" w:name="_ENREF_122"/>
      <w:r w:rsidRPr="008C300A">
        <w:rPr>
          <w:noProof/>
          <w:sz w:val="22"/>
          <w:szCs w:val="22"/>
        </w:rPr>
        <w:tab/>
        <w:t>122.</w:t>
      </w:r>
      <w:r w:rsidRPr="008C300A">
        <w:rPr>
          <w:noProof/>
          <w:sz w:val="22"/>
          <w:szCs w:val="22"/>
        </w:rPr>
        <w:tab/>
        <w:t>Sone T, Kasahara K, Kimura H</w:t>
      </w:r>
      <w:r w:rsidR="00766833" w:rsidRPr="008C300A">
        <w:rPr>
          <w:noProof/>
          <w:sz w:val="22"/>
          <w:szCs w:val="22"/>
        </w:rPr>
        <w:t>,</w:t>
      </w:r>
      <w:r w:rsidRPr="008C300A">
        <w:rPr>
          <w:noProof/>
          <w:sz w:val="22"/>
          <w:szCs w:val="22"/>
        </w:rPr>
        <w:t xml:space="preserve"> et al. Comparative analysis of epidermal growth factor receptor mutations and gene amplification as predictors of gefitinib efficacy in Japanese patients with nonsmall cell lung cancer. </w:t>
      </w:r>
      <w:r w:rsidRPr="008C300A">
        <w:rPr>
          <w:i/>
          <w:noProof/>
          <w:sz w:val="22"/>
          <w:szCs w:val="22"/>
        </w:rPr>
        <w:t>Cancer</w:t>
      </w:r>
      <w:r w:rsidRPr="008C300A">
        <w:rPr>
          <w:noProof/>
          <w:sz w:val="22"/>
          <w:szCs w:val="22"/>
        </w:rPr>
        <w:t>. 2007;109(9):1836-1844.</w:t>
      </w:r>
      <w:bookmarkEnd w:id="121"/>
    </w:p>
    <w:p w:rsidR="0002496E" w:rsidRPr="008C300A" w:rsidRDefault="0002496E" w:rsidP="0002496E">
      <w:pPr>
        <w:rPr>
          <w:noProof/>
          <w:sz w:val="22"/>
          <w:szCs w:val="22"/>
        </w:rPr>
      </w:pPr>
      <w:bookmarkStart w:id="122" w:name="_ENREF_123"/>
      <w:r w:rsidRPr="008C300A">
        <w:rPr>
          <w:noProof/>
          <w:sz w:val="22"/>
          <w:szCs w:val="22"/>
        </w:rPr>
        <w:tab/>
        <w:t>123.</w:t>
      </w:r>
      <w:r w:rsidRPr="008C300A">
        <w:rPr>
          <w:noProof/>
          <w:sz w:val="22"/>
          <w:szCs w:val="22"/>
        </w:rPr>
        <w:tab/>
        <w:t>Zhu CQ, da Cunha Santos G, Ding K</w:t>
      </w:r>
      <w:r w:rsidR="00766833" w:rsidRPr="008C300A">
        <w:rPr>
          <w:noProof/>
          <w:sz w:val="22"/>
          <w:szCs w:val="22"/>
        </w:rPr>
        <w:t>,</w:t>
      </w:r>
      <w:r w:rsidRPr="008C300A">
        <w:rPr>
          <w:noProof/>
          <w:sz w:val="22"/>
          <w:szCs w:val="22"/>
        </w:rPr>
        <w:t xml:space="preserve"> et al. Role of KRAS and EGFR as biomarkers of response to erlotinib in National Cancer Institute of Canada Clinical Trials Group Study BR.21. </w:t>
      </w:r>
      <w:r w:rsidRPr="008C300A">
        <w:rPr>
          <w:i/>
          <w:noProof/>
          <w:sz w:val="22"/>
          <w:szCs w:val="22"/>
        </w:rPr>
        <w:t>J Clin Oncol</w:t>
      </w:r>
      <w:r w:rsidRPr="008C300A">
        <w:rPr>
          <w:noProof/>
          <w:sz w:val="22"/>
          <w:szCs w:val="22"/>
        </w:rPr>
        <w:t>. 2008;26(26):4268-4275.</w:t>
      </w:r>
      <w:bookmarkEnd w:id="122"/>
    </w:p>
    <w:p w:rsidR="0002496E" w:rsidRPr="008C300A" w:rsidRDefault="0002496E" w:rsidP="0002496E">
      <w:pPr>
        <w:rPr>
          <w:noProof/>
          <w:sz w:val="22"/>
          <w:szCs w:val="22"/>
        </w:rPr>
      </w:pPr>
      <w:bookmarkStart w:id="123" w:name="_ENREF_124"/>
      <w:r w:rsidRPr="008C300A">
        <w:rPr>
          <w:noProof/>
          <w:sz w:val="22"/>
          <w:szCs w:val="22"/>
        </w:rPr>
        <w:tab/>
        <w:t>124.</w:t>
      </w:r>
      <w:r w:rsidRPr="008C300A">
        <w:rPr>
          <w:noProof/>
          <w:sz w:val="22"/>
          <w:szCs w:val="22"/>
        </w:rPr>
        <w:tab/>
        <w:t>Ichihara S, Toyooka S, Fujiwara Y</w:t>
      </w:r>
      <w:r w:rsidR="00766833" w:rsidRPr="008C300A">
        <w:rPr>
          <w:noProof/>
          <w:sz w:val="22"/>
          <w:szCs w:val="22"/>
        </w:rPr>
        <w:t>,</w:t>
      </w:r>
      <w:r w:rsidRPr="008C300A">
        <w:rPr>
          <w:noProof/>
          <w:sz w:val="22"/>
          <w:szCs w:val="22"/>
        </w:rPr>
        <w:t xml:space="preserve"> et al. The impact of epidermal growth factor receptor gene status on gefitinib-treated Japanese patients with non-small-cell lung cancer. </w:t>
      </w:r>
      <w:r w:rsidRPr="008C300A">
        <w:rPr>
          <w:i/>
          <w:noProof/>
          <w:sz w:val="22"/>
          <w:szCs w:val="22"/>
        </w:rPr>
        <w:t>Int J Cancer</w:t>
      </w:r>
      <w:r w:rsidRPr="008C300A">
        <w:rPr>
          <w:noProof/>
          <w:sz w:val="22"/>
          <w:szCs w:val="22"/>
        </w:rPr>
        <w:t>. 2007;120(6):1239-1247.</w:t>
      </w:r>
      <w:bookmarkEnd w:id="123"/>
    </w:p>
    <w:p w:rsidR="0002496E" w:rsidRPr="008C300A" w:rsidRDefault="0002496E" w:rsidP="0002496E">
      <w:pPr>
        <w:rPr>
          <w:noProof/>
          <w:sz w:val="22"/>
          <w:szCs w:val="22"/>
        </w:rPr>
      </w:pPr>
      <w:bookmarkStart w:id="124" w:name="_ENREF_125"/>
      <w:r w:rsidRPr="008C300A">
        <w:rPr>
          <w:noProof/>
          <w:sz w:val="22"/>
          <w:szCs w:val="22"/>
        </w:rPr>
        <w:tab/>
        <w:t>125.</w:t>
      </w:r>
      <w:r w:rsidRPr="008C300A">
        <w:rPr>
          <w:noProof/>
          <w:sz w:val="22"/>
          <w:szCs w:val="22"/>
        </w:rPr>
        <w:tab/>
        <w:t>Inukai M, Toyooka S, Ito S</w:t>
      </w:r>
      <w:r w:rsidR="00766833" w:rsidRPr="008C300A">
        <w:rPr>
          <w:noProof/>
          <w:sz w:val="22"/>
          <w:szCs w:val="22"/>
        </w:rPr>
        <w:t>,</w:t>
      </w:r>
      <w:r w:rsidRPr="008C300A">
        <w:rPr>
          <w:noProof/>
          <w:sz w:val="22"/>
          <w:szCs w:val="22"/>
        </w:rPr>
        <w:t xml:space="preserve"> et al. Presence of epidermal growth factor receptor gene T790M mutation as a minor clone in non-small cell lung cancer. </w:t>
      </w:r>
      <w:r w:rsidRPr="008C300A">
        <w:rPr>
          <w:i/>
          <w:noProof/>
          <w:sz w:val="22"/>
          <w:szCs w:val="22"/>
        </w:rPr>
        <w:t>Cancer Res</w:t>
      </w:r>
      <w:r w:rsidRPr="008C300A">
        <w:rPr>
          <w:noProof/>
          <w:sz w:val="22"/>
          <w:szCs w:val="22"/>
        </w:rPr>
        <w:t>. 2006;66(16):7854-7858.</w:t>
      </w:r>
      <w:bookmarkEnd w:id="124"/>
    </w:p>
    <w:p w:rsidR="0002496E" w:rsidRPr="008C300A" w:rsidRDefault="0002496E" w:rsidP="0002496E">
      <w:pPr>
        <w:rPr>
          <w:noProof/>
          <w:sz w:val="22"/>
          <w:szCs w:val="22"/>
        </w:rPr>
      </w:pPr>
      <w:bookmarkStart w:id="125" w:name="_ENREF_126"/>
      <w:r w:rsidRPr="008C300A">
        <w:rPr>
          <w:noProof/>
          <w:sz w:val="22"/>
          <w:szCs w:val="22"/>
        </w:rPr>
        <w:lastRenderedPageBreak/>
        <w:tab/>
        <w:t>126.</w:t>
      </w:r>
      <w:r w:rsidRPr="008C300A">
        <w:rPr>
          <w:noProof/>
          <w:sz w:val="22"/>
          <w:szCs w:val="22"/>
        </w:rPr>
        <w:tab/>
        <w:t>Jackman DM, Miller VA, Cioffredi LA</w:t>
      </w:r>
      <w:r w:rsidR="00766833" w:rsidRPr="008C300A">
        <w:rPr>
          <w:noProof/>
          <w:sz w:val="22"/>
          <w:szCs w:val="22"/>
        </w:rPr>
        <w:t>,</w:t>
      </w:r>
      <w:r w:rsidRPr="008C300A">
        <w:rPr>
          <w:noProof/>
          <w:sz w:val="22"/>
          <w:szCs w:val="22"/>
        </w:rPr>
        <w:t xml:space="preserve"> et al. Impact of epidermal growth factor receptor and KRAS mutations on clinical outcomes in previously untreated non-small cell lung cancer patients: results of an online tumor registry of clinical trials. </w:t>
      </w:r>
      <w:r w:rsidRPr="008C300A">
        <w:rPr>
          <w:i/>
          <w:noProof/>
          <w:sz w:val="22"/>
          <w:szCs w:val="22"/>
        </w:rPr>
        <w:t>Clin Cancer Res</w:t>
      </w:r>
      <w:r w:rsidRPr="008C300A">
        <w:rPr>
          <w:noProof/>
          <w:sz w:val="22"/>
          <w:szCs w:val="22"/>
        </w:rPr>
        <w:t>. 2009;15(16):5267-5273.</w:t>
      </w:r>
      <w:bookmarkEnd w:id="125"/>
    </w:p>
    <w:p w:rsidR="0002496E" w:rsidRPr="008C300A" w:rsidRDefault="0002496E" w:rsidP="0002496E">
      <w:pPr>
        <w:rPr>
          <w:noProof/>
          <w:sz w:val="22"/>
          <w:szCs w:val="22"/>
        </w:rPr>
      </w:pPr>
      <w:bookmarkStart w:id="126" w:name="_ENREF_127"/>
      <w:r w:rsidRPr="008C300A">
        <w:rPr>
          <w:noProof/>
          <w:sz w:val="22"/>
          <w:szCs w:val="22"/>
        </w:rPr>
        <w:tab/>
        <w:t>127.</w:t>
      </w:r>
      <w:r w:rsidRPr="008C300A">
        <w:rPr>
          <w:noProof/>
          <w:sz w:val="22"/>
          <w:szCs w:val="22"/>
        </w:rPr>
        <w:tab/>
        <w:t>van Zandwijk N, Mathy A, Boerrigter L</w:t>
      </w:r>
      <w:r w:rsidR="00766833" w:rsidRPr="008C300A">
        <w:rPr>
          <w:noProof/>
          <w:sz w:val="22"/>
          <w:szCs w:val="22"/>
        </w:rPr>
        <w:t>,</w:t>
      </w:r>
      <w:r w:rsidRPr="008C300A">
        <w:rPr>
          <w:noProof/>
          <w:sz w:val="22"/>
          <w:szCs w:val="22"/>
        </w:rPr>
        <w:t xml:space="preserve"> et al. EGFR and KRAS mutations as criteria for treatment with tyrosine kinase inhibitors: retro- and prospective observations in non-small-cell lung cancer. </w:t>
      </w:r>
      <w:r w:rsidRPr="008C300A">
        <w:rPr>
          <w:i/>
          <w:noProof/>
          <w:sz w:val="22"/>
          <w:szCs w:val="22"/>
        </w:rPr>
        <w:t>Ann Oncol</w:t>
      </w:r>
      <w:r w:rsidRPr="008C300A">
        <w:rPr>
          <w:noProof/>
          <w:sz w:val="22"/>
          <w:szCs w:val="22"/>
        </w:rPr>
        <w:t>. 2007;18(1):99-103.</w:t>
      </w:r>
      <w:bookmarkEnd w:id="126"/>
    </w:p>
    <w:p w:rsidR="0002496E" w:rsidRPr="008C300A" w:rsidRDefault="0002496E" w:rsidP="0002496E">
      <w:pPr>
        <w:rPr>
          <w:noProof/>
          <w:sz w:val="22"/>
          <w:szCs w:val="22"/>
        </w:rPr>
      </w:pPr>
      <w:bookmarkStart w:id="127" w:name="_ENREF_128"/>
      <w:r w:rsidRPr="008C300A">
        <w:rPr>
          <w:noProof/>
          <w:sz w:val="22"/>
          <w:szCs w:val="22"/>
        </w:rPr>
        <w:tab/>
        <w:t>128.</w:t>
      </w:r>
      <w:r w:rsidRPr="008C300A">
        <w:rPr>
          <w:noProof/>
          <w:sz w:val="22"/>
          <w:szCs w:val="22"/>
        </w:rPr>
        <w:tab/>
        <w:t>Chen HJ, Mok TS, Chen ZH</w:t>
      </w:r>
      <w:r w:rsidR="00766833" w:rsidRPr="008C300A">
        <w:rPr>
          <w:noProof/>
          <w:sz w:val="22"/>
          <w:szCs w:val="22"/>
        </w:rPr>
        <w:t>,</w:t>
      </w:r>
      <w:r w:rsidRPr="008C300A">
        <w:rPr>
          <w:noProof/>
          <w:sz w:val="22"/>
          <w:szCs w:val="22"/>
        </w:rPr>
        <w:t xml:space="preserve"> et al. Clinicopathologic and molecular features of epidermal growth factor receptor T790M mutation and c-MET amplification in tyrosine kinase inhibitor-resistant Chinese non-small cell lung cancer. </w:t>
      </w:r>
      <w:r w:rsidRPr="008C300A">
        <w:rPr>
          <w:i/>
          <w:noProof/>
          <w:sz w:val="22"/>
          <w:szCs w:val="22"/>
        </w:rPr>
        <w:t>Pathol Oncol Res</w:t>
      </w:r>
      <w:r w:rsidRPr="008C300A">
        <w:rPr>
          <w:noProof/>
          <w:sz w:val="22"/>
          <w:szCs w:val="22"/>
        </w:rPr>
        <w:t>. 2009;15(4):651-658.</w:t>
      </w:r>
      <w:bookmarkEnd w:id="127"/>
    </w:p>
    <w:p w:rsidR="0002496E" w:rsidRPr="008C300A" w:rsidRDefault="0002496E" w:rsidP="0002496E">
      <w:pPr>
        <w:rPr>
          <w:noProof/>
          <w:sz w:val="22"/>
          <w:szCs w:val="22"/>
        </w:rPr>
      </w:pPr>
      <w:bookmarkStart w:id="128" w:name="_ENREF_129"/>
      <w:r w:rsidRPr="008C300A">
        <w:rPr>
          <w:noProof/>
          <w:sz w:val="22"/>
          <w:szCs w:val="22"/>
        </w:rPr>
        <w:tab/>
        <w:t>129.</w:t>
      </w:r>
      <w:r w:rsidRPr="008C300A">
        <w:rPr>
          <w:noProof/>
          <w:sz w:val="22"/>
          <w:szCs w:val="22"/>
        </w:rPr>
        <w:tab/>
        <w:t>Kosaka T, Yatabe Y, Endoh H</w:t>
      </w:r>
      <w:r w:rsidR="00766833" w:rsidRPr="008C300A">
        <w:rPr>
          <w:noProof/>
          <w:sz w:val="22"/>
          <w:szCs w:val="22"/>
        </w:rPr>
        <w:t>,</w:t>
      </w:r>
      <w:r w:rsidRPr="008C300A">
        <w:rPr>
          <w:noProof/>
          <w:sz w:val="22"/>
          <w:szCs w:val="22"/>
        </w:rPr>
        <w:t xml:space="preserve"> et al. Analysis of epidermal growth factor receptor gene mutation in patients with non-small cell lung cancer and acquired resistance to gefitinib. </w:t>
      </w:r>
      <w:r w:rsidRPr="008C300A">
        <w:rPr>
          <w:i/>
          <w:noProof/>
          <w:sz w:val="22"/>
          <w:szCs w:val="22"/>
        </w:rPr>
        <w:t>Clin Cancer Res</w:t>
      </w:r>
      <w:r w:rsidRPr="008C300A">
        <w:rPr>
          <w:noProof/>
          <w:sz w:val="22"/>
          <w:szCs w:val="22"/>
        </w:rPr>
        <w:t>. 2006;12(19):5764-5769.</w:t>
      </w:r>
      <w:bookmarkEnd w:id="128"/>
    </w:p>
    <w:p w:rsidR="0002496E" w:rsidRPr="008C300A" w:rsidRDefault="0002496E" w:rsidP="0002496E">
      <w:pPr>
        <w:rPr>
          <w:noProof/>
          <w:sz w:val="22"/>
          <w:szCs w:val="22"/>
        </w:rPr>
      </w:pPr>
      <w:bookmarkStart w:id="129" w:name="_ENREF_130"/>
      <w:r w:rsidRPr="008C300A">
        <w:rPr>
          <w:noProof/>
          <w:sz w:val="22"/>
          <w:szCs w:val="22"/>
        </w:rPr>
        <w:tab/>
        <w:t>130.</w:t>
      </w:r>
      <w:r w:rsidRPr="008C300A">
        <w:rPr>
          <w:noProof/>
          <w:sz w:val="22"/>
          <w:szCs w:val="22"/>
        </w:rPr>
        <w:tab/>
        <w:t>Onitsuka T, Uramoto H, Nose N</w:t>
      </w:r>
      <w:r w:rsidR="00766833" w:rsidRPr="008C300A">
        <w:rPr>
          <w:noProof/>
          <w:sz w:val="22"/>
          <w:szCs w:val="22"/>
        </w:rPr>
        <w:t>,</w:t>
      </w:r>
      <w:r w:rsidRPr="008C300A">
        <w:rPr>
          <w:noProof/>
          <w:sz w:val="22"/>
          <w:szCs w:val="22"/>
        </w:rPr>
        <w:t xml:space="preserve"> et al. Acquired resistance to gefitinib: the contribution of mechanisms other than the T790M, MET, and HGF status. </w:t>
      </w:r>
      <w:r w:rsidRPr="008C300A">
        <w:rPr>
          <w:i/>
          <w:noProof/>
          <w:sz w:val="22"/>
          <w:szCs w:val="22"/>
        </w:rPr>
        <w:t>Lung Cancer</w:t>
      </w:r>
      <w:r w:rsidRPr="008C300A">
        <w:rPr>
          <w:noProof/>
          <w:sz w:val="22"/>
          <w:szCs w:val="22"/>
        </w:rPr>
        <w:t>. 2010;68(2):198-203.</w:t>
      </w:r>
      <w:bookmarkEnd w:id="129"/>
    </w:p>
    <w:p w:rsidR="0002496E" w:rsidRPr="008C300A" w:rsidRDefault="0002496E" w:rsidP="0002496E">
      <w:pPr>
        <w:rPr>
          <w:noProof/>
          <w:sz w:val="22"/>
          <w:szCs w:val="22"/>
        </w:rPr>
      </w:pPr>
      <w:bookmarkStart w:id="130" w:name="_ENREF_131"/>
      <w:r w:rsidRPr="008C300A">
        <w:rPr>
          <w:noProof/>
          <w:sz w:val="22"/>
          <w:szCs w:val="22"/>
        </w:rPr>
        <w:tab/>
        <w:t>131.</w:t>
      </w:r>
      <w:r w:rsidRPr="008C300A">
        <w:rPr>
          <w:noProof/>
          <w:sz w:val="22"/>
          <w:szCs w:val="22"/>
        </w:rPr>
        <w:tab/>
        <w:t>Oxnard GR, Arcila ME, Sima CS</w:t>
      </w:r>
      <w:r w:rsidR="00766833" w:rsidRPr="008C300A">
        <w:rPr>
          <w:noProof/>
          <w:sz w:val="22"/>
          <w:szCs w:val="22"/>
        </w:rPr>
        <w:t>,</w:t>
      </w:r>
      <w:r w:rsidRPr="008C300A">
        <w:rPr>
          <w:noProof/>
          <w:sz w:val="22"/>
          <w:szCs w:val="22"/>
        </w:rPr>
        <w:t xml:space="preserve"> et al. Acquired resistance to EGFR tyrosine kinase inhibitors in EGFR-mutant lung cancer: distinct natural history of patients with tumors harboring the T790M mutation. </w:t>
      </w:r>
      <w:r w:rsidRPr="008C300A">
        <w:rPr>
          <w:i/>
          <w:noProof/>
          <w:sz w:val="22"/>
          <w:szCs w:val="22"/>
        </w:rPr>
        <w:t>Clin Cancer Res</w:t>
      </w:r>
      <w:r w:rsidRPr="008C300A">
        <w:rPr>
          <w:noProof/>
          <w:sz w:val="22"/>
          <w:szCs w:val="22"/>
        </w:rPr>
        <w:t>. 2011;17(6):1616-1622.</w:t>
      </w:r>
      <w:bookmarkEnd w:id="130"/>
    </w:p>
    <w:p w:rsidR="0002496E" w:rsidRPr="008C300A" w:rsidRDefault="0002496E" w:rsidP="0002496E">
      <w:pPr>
        <w:rPr>
          <w:noProof/>
          <w:sz w:val="22"/>
          <w:szCs w:val="22"/>
        </w:rPr>
      </w:pPr>
      <w:bookmarkStart w:id="131" w:name="_ENREF_132"/>
      <w:r w:rsidRPr="008C300A">
        <w:rPr>
          <w:noProof/>
          <w:sz w:val="22"/>
          <w:szCs w:val="22"/>
        </w:rPr>
        <w:tab/>
        <w:t>132.</w:t>
      </w:r>
      <w:r w:rsidRPr="008C300A">
        <w:rPr>
          <w:noProof/>
          <w:sz w:val="22"/>
          <w:szCs w:val="22"/>
        </w:rPr>
        <w:tab/>
        <w:t>Mino-Kenudson M, Chirieac LR, Law K</w:t>
      </w:r>
      <w:r w:rsidR="00766833" w:rsidRPr="008C300A">
        <w:rPr>
          <w:noProof/>
          <w:sz w:val="22"/>
          <w:szCs w:val="22"/>
        </w:rPr>
        <w:t>,</w:t>
      </w:r>
      <w:r w:rsidRPr="008C300A">
        <w:rPr>
          <w:noProof/>
          <w:sz w:val="22"/>
          <w:szCs w:val="22"/>
        </w:rPr>
        <w:t xml:space="preserve"> et al. A novel, highly sensitive antibody allows for the routine detection of ALK-rearranged lung adenocarcinomas by standard immunohistochemistry. </w:t>
      </w:r>
      <w:r w:rsidRPr="008C300A">
        <w:rPr>
          <w:i/>
          <w:noProof/>
          <w:sz w:val="22"/>
          <w:szCs w:val="22"/>
        </w:rPr>
        <w:t>Clin Cancer Res</w:t>
      </w:r>
      <w:r w:rsidRPr="008C300A">
        <w:rPr>
          <w:noProof/>
          <w:sz w:val="22"/>
          <w:szCs w:val="22"/>
        </w:rPr>
        <w:t>. 2010;16(5):1561-1571.</w:t>
      </w:r>
      <w:bookmarkEnd w:id="131"/>
    </w:p>
    <w:p w:rsidR="0002496E" w:rsidRPr="008C300A" w:rsidRDefault="0002496E" w:rsidP="0002496E">
      <w:pPr>
        <w:rPr>
          <w:noProof/>
          <w:sz w:val="22"/>
          <w:szCs w:val="22"/>
        </w:rPr>
      </w:pPr>
      <w:bookmarkStart w:id="132" w:name="_ENREF_133"/>
      <w:r w:rsidRPr="008C300A">
        <w:rPr>
          <w:noProof/>
          <w:sz w:val="22"/>
          <w:szCs w:val="22"/>
        </w:rPr>
        <w:tab/>
        <w:t>133.</w:t>
      </w:r>
      <w:r w:rsidRPr="008C300A">
        <w:rPr>
          <w:noProof/>
          <w:sz w:val="22"/>
          <w:szCs w:val="22"/>
        </w:rPr>
        <w:tab/>
        <w:t>Yi ES, Boland JM, Maleszewski JJ</w:t>
      </w:r>
      <w:r w:rsidR="00766833" w:rsidRPr="008C300A">
        <w:rPr>
          <w:noProof/>
          <w:sz w:val="22"/>
          <w:szCs w:val="22"/>
        </w:rPr>
        <w:t>,</w:t>
      </w:r>
      <w:r w:rsidRPr="008C300A">
        <w:rPr>
          <w:noProof/>
          <w:sz w:val="22"/>
          <w:szCs w:val="22"/>
        </w:rPr>
        <w:t xml:space="preserve"> et al. Correlation of IHC and FISH for ALK gene rearrangement in non-small cell lung carcinoma: IHC score algorithm for FISH. </w:t>
      </w:r>
      <w:r w:rsidRPr="008C300A">
        <w:rPr>
          <w:i/>
          <w:noProof/>
          <w:sz w:val="22"/>
          <w:szCs w:val="22"/>
        </w:rPr>
        <w:t>J</w:t>
      </w:r>
      <w:r w:rsidR="00766833" w:rsidRPr="008C300A">
        <w:rPr>
          <w:i/>
          <w:noProof/>
          <w:sz w:val="22"/>
          <w:szCs w:val="22"/>
        </w:rPr>
        <w:t xml:space="preserve"> T</w:t>
      </w:r>
      <w:r w:rsidRPr="008C300A">
        <w:rPr>
          <w:i/>
          <w:noProof/>
          <w:sz w:val="22"/>
          <w:szCs w:val="22"/>
        </w:rPr>
        <w:t>horac</w:t>
      </w:r>
      <w:r w:rsidR="00766833" w:rsidRPr="008C300A">
        <w:rPr>
          <w:i/>
          <w:noProof/>
          <w:sz w:val="22"/>
          <w:szCs w:val="22"/>
        </w:rPr>
        <w:t xml:space="preserve"> O</w:t>
      </w:r>
      <w:r w:rsidRPr="008C300A">
        <w:rPr>
          <w:i/>
          <w:noProof/>
          <w:sz w:val="22"/>
          <w:szCs w:val="22"/>
        </w:rPr>
        <w:t>ncol</w:t>
      </w:r>
      <w:r w:rsidRPr="008C300A">
        <w:rPr>
          <w:noProof/>
          <w:sz w:val="22"/>
          <w:szCs w:val="22"/>
        </w:rPr>
        <w:t>. 2011;6(3):459-465.</w:t>
      </w:r>
      <w:bookmarkEnd w:id="132"/>
    </w:p>
    <w:p w:rsidR="0002496E" w:rsidRPr="008C300A" w:rsidRDefault="0002496E" w:rsidP="0002496E">
      <w:pPr>
        <w:rPr>
          <w:noProof/>
          <w:sz w:val="22"/>
          <w:szCs w:val="22"/>
        </w:rPr>
      </w:pPr>
      <w:bookmarkStart w:id="133" w:name="_ENREF_134"/>
      <w:r w:rsidRPr="008C300A">
        <w:rPr>
          <w:noProof/>
          <w:sz w:val="22"/>
          <w:szCs w:val="22"/>
        </w:rPr>
        <w:tab/>
        <w:t>134.</w:t>
      </w:r>
      <w:r w:rsidRPr="008C300A">
        <w:rPr>
          <w:noProof/>
          <w:sz w:val="22"/>
          <w:szCs w:val="22"/>
        </w:rPr>
        <w:tab/>
        <w:t>Inamura K, Takeuchi K, Togashi Y</w:t>
      </w:r>
      <w:r w:rsidR="00766833" w:rsidRPr="008C300A">
        <w:rPr>
          <w:noProof/>
          <w:sz w:val="22"/>
          <w:szCs w:val="22"/>
        </w:rPr>
        <w:t>,</w:t>
      </w:r>
      <w:r w:rsidRPr="008C300A">
        <w:rPr>
          <w:noProof/>
          <w:sz w:val="22"/>
          <w:szCs w:val="22"/>
        </w:rPr>
        <w:t xml:space="preserve"> et al. EML4-ALK fusion is linked to histological characteristics in a subset of lung cancers. </w:t>
      </w:r>
      <w:r w:rsidRPr="008C300A">
        <w:rPr>
          <w:i/>
          <w:noProof/>
          <w:sz w:val="22"/>
          <w:szCs w:val="22"/>
        </w:rPr>
        <w:t>J Thorac Oncol</w:t>
      </w:r>
      <w:r w:rsidRPr="008C300A">
        <w:rPr>
          <w:noProof/>
          <w:sz w:val="22"/>
          <w:szCs w:val="22"/>
        </w:rPr>
        <w:t>. 2008;3(1):13-17.</w:t>
      </w:r>
      <w:bookmarkEnd w:id="133"/>
    </w:p>
    <w:p w:rsidR="0002496E" w:rsidRPr="008C300A" w:rsidRDefault="0002496E" w:rsidP="0002496E">
      <w:pPr>
        <w:rPr>
          <w:noProof/>
          <w:sz w:val="22"/>
          <w:szCs w:val="22"/>
        </w:rPr>
      </w:pPr>
      <w:bookmarkStart w:id="134" w:name="_ENREF_135"/>
      <w:r w:rsidRPr="008C300A">
        <w:rPr>
          <w:noProof/>
          <w:sz w:val="22"/>
          <w:szCs w:val="22"/>
        </w:rPr>
        <w:tab/>
        <w:t>135.</w:t>
      </w:r>
      <w:r w:rsidRPr="008C300A">
        <w:rPr>
          <w:noProof/>
          <w:sz w:val="22"/>
          <w:szCs w:val="22"/>
        </w:rPr>
        <w:tab/>
        <w:t>Sanders HR, Li HR, Bruey JM</w:t>
      </w:r>
      <w:r w:rsidR="00766833" w:rsidRPr="008C300A">
        <w:rPr>
          <w:noProof/>
          <w:sz w:val="22"/>
          <w:szCs w:val="22"/>
        </w:rPr>
        <w:t>,</w:t>
      </w:r>
      <w:r w:rsidRPr="008C300A">
        <w:rPr>
          <w:noProof/>
          <w:sz w:val="22"/>
          <w:szCs w:val="22"/>
        </w:rPr>
        <w:t xml:space="preserve"> et al. Exon scanning by reverse transcriptase-polymerase chain reaction for detection of known and novel EML4-ALK fusion variants in non-small cell lung cancer. </w:t>
      </w:r>
      <w:r w:rsidRPr="008C300A">
        <w:rPr>
          <w:i/>
          <w:noProof/>
          <w:sz w:val="22"/>
          <w:szCs w:val="22"/>
        </w:rPr>
        <w:t>Cancer Genet</w:t>
      </w:r>
      <w:r w:rsidRPr="008C300A">
        <w:rPr>
          <w:noProof/>
          <w:sz w:val="22"/>
          <w:szCs w:val="22"/>
        </w:rPr>
        <w:t>. 2011;204(1):45-52.</w:t>
      </w:r>
      <w:bookmarkEnd w:id="134"/>
    </w:p>
    <w:p w:rsidR="0002496E" w:rsidRPr="008C300A" w:rsidRDefault="0002496E" w:rsidP="0002496E">
      <w:pPr>
        <w:rPr>
          <w:noProof/>
          <w:sz w:val="22"/>
          <w:szCs w:val="22"/>
        </w:rPr>
      </w:pPr>
    </w:p>
    <w:p w:rsidR="000A3427" w:rsidRPr="008C300A" w:rsidRDefault="000A3427" w:rsidP="001E29E8">
      <w:pPr>
        <w:rPr>
          <w:sz w:val="22"/>
          <w:szCs w:val="22"/>
        </w:rPr>
      </w:pPr>
    </w:p>
    <w:p w:rsidR="000A3427" w:rsidRPr="008C300A" w:rsidRDefault="000A3427">
      <w:pPr>
        <w:rPr>
          <w:sz w:val="22"/>
          <w:szCs w:val="22"/>
        </w:rPr>
      </w:pPr>
      <w:r w:rsidRPr="008C300A">
        <w:rPr>
          <w:sz w:val="22"/>
          <w:szCs w:val="22"/>
        </w:rPr>
        <w:br w:type="page"/>
      </w:r>
    </w:p>
    <w:p w:rsidR="009B5C96" w:rsidRPr="00510E37" w:rsidRDefault="00EC69D8" w:rsidP="001E29E8">
      <w:pPr>
        <w:rPr>
          <w:sz w:val="22"/>
          <w:szCs w:val="22"/>
        </w:rPr>
      </w:pPr>
      <w:r w:rsidRPr="00EC69D8">
        <w:rPr>
          <w:b/>
          <w:noProof/>
          <w:sz w:val="22"/>
          <w:szCs w:val="22"/>
        </w:rPr>
        <w:lastRenderedPageBreak/>
        <w:pict>
          <v:roundrect id="_x0000_s1029" style="position:absolute;margin-left:-60.3pt;margin-top:109.25pt;width:108pt;height:23.4pt;rotation:270;z-index:251646464" arcsize="10923f" fillcolor="#ccecff">
            <v:textbox style="layout-flow:vertical;mso-layout-flow-alt:bottom-to-top;mso-next-textbox:#_x0000_s1029;mso-column-margin:2mm" inset="3.6pt,,3.6pt">
              <w:txbxContent>
                <w:p w:rsidR="008C300A" w:rsidRDefault="008C300A" w:rsidP="001E29E8">
                  <w:pPr>
                    <w:pStyle w:val="Heading2"/>
                    <w:keepNext/>
                    <w:rPr>
                      <w:rFonts w:ascii="Calibri" w:hAnsi="Calibri"/>
                    </w:rPr>
                  </w:pPr>
                  <w:r>
                    <w:rPr>
                      <w:rFonts w:ascii="Calibri" w:hAnsi="Calibri"/>
                    </w:rPr>
                    <w:t>Identification</w:t>
                  </w:r>
                </w:p>
              </w:txbxContent>
            </v:textbox>
          </v:roundrect>
        </w:pict>
      </w:r>
      <w:r w:rsidRPr="00EC69D8">
        <w:rPr>
          <w:b/>
          <w:noProof/>
          <w:sz w:val="22"/>
          <w:szCs w:val="22"/>
        </w:rPr>
        <w:pict>
          <v:roundrect id="_x0000_s1028" style="position:absolute;margin-left:-60.3pt;margin-top:361.25pt;width:108pt;height:23.4pt;rotation:270;z-index:251647488" arcsize="10923f" fillcolor="#ccecff">
            <v:textbox style="layout-flow:vertical;mso-layout-flow-alt:bottom-to-top;mso-next-textbox:#_x0000_s1028;mso-column-margin:2mm" inset="3.6pt,,3.6pt">
              <w:txbxContent>
                <w:p w:rsidR="008C300A" w:rsidRPr="00E91976" w:rsidRDefault="008C300A" w:rsidP="001E29E8">
                  <w:pPr>
                    <w:pStyle w:val="Heading2"/>
                    <w:keepNext/>
                    <w:rPr>
                      <w:rFonts w:ascii="Calibri" w:hAnsi="Calibri"/>
                      <w:sz w:val="22"/>
                      <w:szCs w:val="22"/>
                    </w:rPr>
                  </w:pPr>
                  <w:r w:rsidRPr="00403AEB">
                    <w:rPr>
                      <w:rFonts w:ascii="Calibri" w:hAnsi="Calibri"/>
                    </w:rPr>
                    <w:t>Eligibility</w:t>
                  </w:r>
                </w:p>
              </w:txbxContent>
            </v:textbox>
          </v:roundrect>
        </w:pict>
      </w:r>
      <w:r w:rsidRPr="00EC69D8">
        <w:rPr>
          <w:b/>
          <w:noProof/>
          <w:sz w:val="22"/>
          <w:szCs w:val="22"/>
        </w:rPr>
        <w:pict>
          <v:roundrect id="_x0000_s1026" style="position:absolute;margin-left:-60.3pt;margin-top:235.25pt;width:108pt;height:23.4pt;rotation:270;z-index:251648512" arcsize="10923f" fillcolor="#ccecff">
            <v:textbox style="layout-flow:vertical;mso-layout-flow-alt:bottom-to-top;mso-next-textbox:#_x0000_s1026;mso-column-margin:2mm" inset="3.6pt,,3.6pt">
              <w:txbxContent>
                <w:p w:rsidR="008C300A" w:rsidRDefault="008C300A" w:rsidP="001E29E8">
                  <w:pPr>
                    <w:pStyle w:val="Heading2"/>
                    <w:keepNext/>
                    <w:rPr>
                      <w:rFonts w:ascii="Calibri" w:hAnsi="Calibri"/>
                    </w:rPr>
                  </w:pPr>
                  <w:r>
                    <w:rPr>
                      <w:rFonts w:ascii="Calibri" w:hAnsi="Calibri"/>
                    </w:rPr>
                    <w:t>Screening</w:t>
                  </w:r>
                </w:p>
              </w:txbxContent>
            </v:textbox>
          </v:roundrect>
        </w:pict>
      </w:r>
      <w:r w:rsidR="00144329" w:rsidRPr="00510E37">
        <w:rPr>
          <w:b/>
          <w:noProof/>
          <w:sz w:val="22"/>
          <w:szCs w:val="22"/>
        </w:rPr>
        <w:t>Figure 1</w:t>
      </w:r>
      <w:r w:rsidR="009B5C96" w:rsidRPr="00510E37">
        <w:rPr>
          <w:b/>
          <w:noProof/>
          <w:sz w:val="22"/>
          <w:szCs w:val="22"/>
        </w:rPr>
        <w:t xml:space="preserve"> </w:t>
      </w:r>
    </w:p>
    <w:p w:rsidR="009B5C96" w:rsidRPr="00884891" w:rsidRDefault="009B5C96" w:rsidP="001E29E8">
      <w:pPr>
        <w:rPr>
          <w:rFonts w:ascii="Century Gothic" w:hAnsi="Century Gothic"/>
          <w:b/>
          <w:noProof/>
          <w:szCs w:val="20"/>
        </w:rPr>
      </w:pPr>
    </w:p>
    <w:p w:rsidR="009B5C96" w:rsidRDefault="009B5C96" w:rsidP="000A233D">
      <w:pPr>
        <w:rPr>
          <w:rFonts w:ascii="Century Gothic" w:hAnsi="Century Gothic"/>
          <w:sz w:val="20"/>
          <w:szCs w:val="20"/>
        </w:rPr>
      </w:pPr>
    </w:p>
    <w:p w:rsidR="009B5C96" w:rsidRPr="001E29E8" w:rsidRDefault="00EC69D8" w:rsidP="000A233D">
      <w:pPr>
        <w:rPr>
          <w:rFonts w:ascii="Century Gothic" w:hAnsi="Century Gothic"/>
          <w:sz w:val="20"/>
          <w:szCs w:val="20"/>
        </w:rPr>
      </w:pPr>
      <w:r>
        <w:rPr>
          <w:rFonts w:ascii="Century Gothic" w:hAnsi="Century Gothic"/>
          <w:noProof/>
          <w:sz w:val="20"/>
          <w:szCs w:val="20"/>
        </w:rPr>
        <w:pict>
          <v:rect id="_x0000_s1046" style="position:absolute;margin-left:307pt;margin-top:434.05pt;width:146.7pt;height:97.2pt;z-index:251649536">
            <v:stroke>
              <o:left v:ext="view" joinstyle="miter"/>
              <o:top v:ext="view" joinstyle="miter"/>
              <o:right v:ext="view" joinstyle="miter"/>
              <o:bottom v:ext="view" joinstyle="miter"/>
            </v:stroke>
            <v:textbox style="mso-next-textbox:#_x0000_s1046;mso-column-margin:2mm" inset=",7.2pt,,7.2pt">
              <w:txbxContent>
                <w:p w:rsidR="008C300A" w:rsidRDefault="008C300A" w:rsidP="00941482">
                  <w:pPr>
                    <w:rPr>
                      <w:rFonts w:ascii="Calibri" w:hAnsi="Calibri"/>
                      <w:sz w:val="22"/>
                      <w:szCs w:val="22"/>
                    </w:rPr>
                  </w:pPr>
                  <w:r>
                    <w:rPr>
                      <w:rFonts w:ascii="Calibri" w:hAnsi="Calibri"/>
                      <w:sz w:val="22"/>
                      <w:szCs w:val="22"/>
                    </w:rPr>
                    <w:t>Articles excluded, with reasons (n</w:t>
                  </w:r>
                  <w:r w:rsidRPr="00941482">
                    <w:rPr>
                      <w:rFonts w:ascii="Calibri" w:hAnsi="Calibri"/>
                      <w:sz w:val="22"/>
                      <w:szCs w:val="22"/>
                    </w:rPr>
                    <w:t xml:space="preserve">= </w:t>
                  </w:r>
                  <w:r>
                    <w:rPr>
                      <w:rFonts w:ascii="Calibri" w:hAnsi="Calibri"/>
                      <w:sz w:val="22"/>
                      <w:szCs w:val="22"/>
                    </w:rPr>
                    <w:t>151)</w:t>
                  </w:r>
                </w:p>
                <w:p w:rsidR="008C300A" w:rsidRDefault="008C300A" w:rsidP="00941482">
                  <w:pPr>
                    <w:rPr>
                      <w:rFonts w:ascii="Calibri" w:hAnsi="Calibri"/>
                      <w:sz w:val="22"/>
                      <w:szCs w:val="22"/>
                    </w:rPr>
                  </w:pPr>
                </w:p>
                <w:p w:rsidR="008C300A" w:rsidRDefault="008C300A" w:rsidP="00941482">
                  <w:pPr>
                    <w:rPr>
                      <w:rFonts w:ascii="Calibri" w:hAnsi="Calibri"/>
                      <w:sz w:val="22"/>
                      <w:szCs w:val="22"/>
                    </w:rPr>
                  </w:pPr>
                  <w:r>
                    <w:rPr>
                      <w:rFonts w:ascii="Calibri" w:hAnsi="Calibri"/>
                      <w:sz w:val="22"/>
                      <w:szCs w:val="22"/>
                    </w:rPr>
                    <w:t xml:space="preserve">Non-comparator studies, </w:t>
                  </w:r>
                </w:p>
                <w:p w:rsidR="008C300A" w:rsidRDefault="008C300A" w:rsidP="00941482">
                  <w:pPr>
                    <w:rPr>
                      <w:rFonts w:ascii="Calibri" w:hAnsi="Calibri"/>
                      <w:sz w:val="22"/>
                      <w:szCs w:val="22"/>
                    </w:rPr>
                  </w:pPr>
                  <w:r>
                    <w:rPr>
                      <w:rFonts w:ascii="Calibri" w:hAnsi="Calibri"/>
                      <w:sz w:val="22"/>
                      <w:szCs w:val="22"/>
                    </w:rPr>
                    <w:t xml:space="preserve">Reviews or duplicate data, </w:t>
                  </w:r>
                </w:p>
                <w:p w:rsidR="008C300A" w:rsidRDefault="008C300A" w:rsidP="00941482">
                  <w:pPr>
                    <w:rPr>
                      <w:rFonts w:ascii="Calibri" w:hAnsi="Calibri"/>
                      <w:sz w:val="22"/>
                      <w:szCs w:val="22"/>
                    </w:rPr>
                  </w:pPr>
                  <w:r>
                    <w:rPr>
                      <w:rFonts w:ascii="Calibri" w:hAnsi="Calibri"/>
                      <w:sz w:val="22"/>
                      <w:szCs w:val="22"/>
                    </w:rPr>
                    <w:t xml:space="preserve">No relevant data </w:t>
                  </w:r>
                </w:p>
                <w:p w:rsidR="008C300A" w:rsidRDefault="008C300A" w:rsidP="00C47E7B">
                  <w:pPr>
                    <w:jc w:val="center"/>
                    <w:rPr>
                      <w:rFonts w:ascii="Calibri" w:hAnsi="Calibri"/>
                      <w:sz w:val="22"/>
                      <w:szCs w:val="22"/>
                    </w:rPr>
                  </w:pPr>
                </w:p>
              </w:txbxContent>
            </v:textbox>
          </v:rect>
        </w:pict>
      </w:r>
      <w:r>
        <w:rPr>
          <w:rFonts w:ascii="Century Gothic" w:hAnsi="Century Gothic"/>
          <w:noProof/>
          <w:sz w:val="20"/>
          <w:szCs w:val="20"/>
        </w:rPr>
        <w:pict>
          <v:shapetype id="_x0000_t32" coordsize="21600,21600" o:spt="32" o:oned="t" path="m,l21600,21600e" filled="f">
            <v:path arrowok="t" fillok="f" o:connecttype="none"/>
            <o:lock v:ext="edit" shapetype="t"/>
          </v:shapetype>
          <v:shape id="_x0000_s1048" type="#_x0000_t32" style="position:absolute;margin-left:257.15pt;margin-top:498.5pt;width:37.6pt;height:.05pt;z-index:251650560;mso-wrap-distance-left:2.88pt;mso-wrap-distance-top:2.88pt;mso-wrap-distance-right:2.88pt;mso-wrap-distance-bottom:2.88pt" o:connectortype="straight">
            <v:stroke endarrow="block"/>
            <v:shadow color="#ccc"/>
          </v:shape>
        </w:pict>
      </w:r>
      <w:r>
        <w:rPr>
          <w:rFonts w:ascii="Century Gothic" w:hAnsi="Century Gothic"/>
          <w:noProof/>
          <w:sz w:val="20"/>
          <w:szCs w:val="20"/>
        </w:rPr>
        <w:pict>
          <v:shape id="_x0000_s1044" type="#_x0000_t32" style="position:absolute;margin-left:268.4pt;margin-top:314.35pt;width:54.45pt;height:.05pt;z-index:251651584;mso-wrap-distance-left:2.88pt;mso-wrap-distance-top:2.88pt;mso-wrap-distance-right:2.88pt;mso-wrap-distance-bottom:2.88pt" o:connectortype="straight">
            <v:stroke endarrow="block"/>
            <v:shadow color="#ccc"/>
          </v:shape>
        </w:pict>
      </w:r>
      <w:r>
        <w:rPr>
          <w:rFonts w:ascii="Century Gothic" w:hAnsi="Century Gothic"/>
          <w:noProof/>
          <w:sz w:val="20"/>
          <w:szCs w:val="20"/>
        </w:rPr>
        <w:pict>
          <v:shape id="_x0000_s1037" type="#_x0000_t32" style="position:absolute;margin-left:268.4pt;margin-top:221.65pt;width:54.45pt;height:0;z-index:251652608;mso-wrap-distance-left:2.88pt;mso-wrap-distance-top:2.88pt;mso-wrap-distance-right:2.88pt;mso-wrap-distance-bottom:2.88pt" o:connectortype="straight">
            <v:stroke endarrow="block"/>
            <v:shadow color="#ccc"/>
          </v:shape>
        </w:pict>
      </w:r>
      <w:r>
        <w:rPr>
          <w:rFonts w:ascii="Century Gothic" w:hAnsi="Century Gothic"/>
          <w:noProof/>
          <w:sz w:val="20"/>
          <w:szCs w:val="20"/>
        </w:rPr>
        <w:pict>
          <v:rect id="_x0000_s1034" style="position:absolute;margin-left:88.75pt;margin-top:125.2pt;width:218.25pt;height:45pt;z-index:251653632">
            <v:stroke>
              <o:left v:ext="view" joinstyle="miter"/>
              <o:top v:ext="view" joinstyle="miter"/>
              <o:right v:ext="view" joinstyle="miter"/>
              <o:bottom v:ext="view" joinstyle="miter"/>
            </v:stroke>
            <v:textbox style="mso-next-textbox:#_x0000_s1034;mso-column-margin:2mm" inset=",7.2pt,,7.2pt">
              <w:txbxContent>
                <w:p w:rsidR="008C300A" w:rsidRDefault="008C300A" w:rsidP="00D3024C">
                  <w:pPr>
                    <w:jc w:val="center"/>
                    <w:rPr>
                      <w:rFonts w:ascii="Calibri" w:hAnsi="Calibri"/>
                      <w:sz w:val="22"/>
                      <w:szCs w:val="22"/>
                    </w:rPr>
                  </w:pPr>
                  <w:r>
                    <w:rPr>
                      <w:rFonts w:ascii="Calibri" w:hAnsi="Calibri"/>
                      <w:sz w:val="22"/>
                      <w:szCs w:val="22"/>
                    </w:rPr>
                    <w:t xml:space="preserve">Records after duplicates removed </w:t>
                  </w:r>
                  <w:r>
                    <w:rPr>
                      <w:rFonts w:ascii="Calibri" w:hAnsi="Calibri"/>
                      <w:sz w:val="22"/>
                      <w:szCs w:val="22"/>
                    </w:rPr>
                    <w:br/>
                    <w:t>(n =1533)</w:t>
                  </w:r>
                </w:p>
              </w:txbxContent>
            </v:textbox>
          </v:rect>
        </w:pict>
      </w:r>
      <w:r>
        <w:rPr>
          <w:rFonts w:ascii="Century Gothic" w:hAnsi="Century Gothic"/>
          <w:noProof/>
          <w:sz w:val="20"/>
          <w:szCs w:val="20"/>
        </w:rPr>
        <w:pict>
          <v:shape id="_x0000_s1032" type="#_x0000_t32" style="position:absolute;margin-left:141.75pt;margin-top:80.25pt;width:0;height:36pt;z-index:251654656;mso-wrap-distance-left:2.88pt;mso-wrap-distance-top:2.88pt;mso-wrap-distance-right:2.88pt;mso-wrap-distance-bottom:2.88pt" o:connectortype="straight">
            <v:stroke endarrow="block"/>
            <v:shadow color="#ccc"/>
          </v:shape>
        </w:pict>
      </w:r>
      <w:r>
        <w:rPr>
          <w:rFonts w:ascii="Century Gothic" w:hAnsi="Century Gothic"/>
          <w:noProof/>
          <w:sz w:val="20"/>
          <w:szCs w:val="20"/>
        </w:rPr>
        <w:pict>
          <v:shape id="_x0000_s1033" type="#_x0000_t32" style="position:absolute;margin-left:268.4pt;margin-top:80.5pt;width:0;height:36pt;z-index:251655680;mso-wrap-distance-left:2.88pt;mso-wrap-distance-top:2.88pt;mso-wrap-distance-right:2.88pt;mso-wrap-distance-bottom:2.88pt" o:connectortype="straight">
            <v:stroke endarrow="block"/>
            <v:shadow color="#ccc"/>
          </v:shape>
        </w:pict>
      </w:r>
      <w:r>
        <w:rPr>
          <w:rFonts w:ascii="Century Gothic" w:hAnsi="Century Gothic"/>
          <w:noProof/>
          <w:sz w:val="20"/>
          <w:szCs w:val="20"/>
        </w:rPr>
        <w:pict>
          <v:rect id="_x0000_s1031" style="position:absolute;margin-left:217.3pt;margin-top:26.5pt;width:175.5pt;height:54pt;z-index:251656704">
            <v:stroke>
              <o:left v:ext="view" joinstyle="miter"/>
              <o:top v:ext="view" joinstyle="miter"/>
              <o:right v:ext="view" joinstyle="miter"/>
              <o:bottom v:ext="view" joinstyle="miter"/>
            </v:stroke>
            <v:textbox style="mso-next-textbox:#_x0000_s1031;mso-column-margin:2mm" inset=",7.2pt,,7.2pt">
              <w:txbxContent>
                <w:p w:rsidR="008C300A" w:rsidRDefault="008C300A" w:rsidP="00D3024C">
                  <w:pPr>
                    <w:jc w:val="center"/>
                    <w:rPr>
                      <w:rFonts w:ascii="Calibri" w:hAnsi="Calibri"/>
                      <w:sz w:val="22"/>
                      <w:szCs w:val="22"/>
                    </w:rPr>
                  </w:pPr>
                  <w:r>
                    <w:rPr>
                      <w:rFonts w:ascii="Calibri" w:hAnsi="Calibri"/>
                      <w:sz w:val="22"/>
                      <w:szCs w:val="22"/>
                    </w:rPr>
                    <w:t xml:space="preserve">Additional records identified through other sources </w:t>
                  </w:r>
                  <w:r>
                    <w:rPr>
                      <w:rFonts w:ascii="Calibri" w:hAnsi="Calibri"/>
                      <w:sz w:val="22"/>
                      <w:szCs w:val="22"/>
                    </w:rPr>
                    <w:br/>
                    <w:t>(n = 165)</w:t>
                  </w:r>
                </w:p>
              </w:txbxContent>
            </v:textbox>
          </v:rect>
        </w:pict>
      </w:r>
      <w:r>
        <w:rPr>
          <w:rFonts w:ascii="Century Gothic" w:hAnsi="Century Gothic"/>
          <w:noProof/>
          <w:sz w:val="20"/>
          <w:szCs w:val="20"/>
        </w:rPr>
        <w:pict>
          <v:rect id="_x0000_s1030" style="position:absolute;margin-left:15.9pt;margin-top:26.5pt;width:175.5pt;height:53.75pt;z-index:251657728">
            <v:stroke>
              <o:left v:ext="view" joinstyle="miter"/>
              <o:top v:ext="view" joinstyle="miter"/>
              <o:right v:ext="view" joinstyle="miter"/>
              <o:bottom v:ext="view" joinstyle="miter"/>
            </v:stroke>
            <v:textbox style="mso-next-textbox:#_x0000_s1030;mso-column-margin:2mm" inset=",7.2pt,,7.2pt">
              <w:txbxContent>
                <w:p w:rsidR="008C300A" w:rsidRDefault="008C300A" w:rsidP="00D3024C">
                  <w:pPr>
                    <w:jc w:val="center"/>
                    <w:rPr>
                      <w:rFonts w:ascii="Calibri" w:hAnsi="Calibri"/>
                      <w:sz w:val="22"/>
                      <w:szCs w:val="22"/>
                    </w:rPr>
                  </w:pPr>
                  <w:r>
                    <w:rPr>
                      <w:rFonts w:ascii="Calibri" w:hAnsi="Calibri"/>
                      <w:sz w:val="22"/>
                      <w:szCs w:val="22"/>
                    </w:rPr>
                    <w:t xml:space="preserve">Records identified through database searching </w:t>
                  </w:r>
                  <w:r>
                    <w:rPr>
                      <w:rFonts w:ascii="Calibri" w:hAnsi="Calibri"/>
                      <w:sz w:val="22"/>
                      <w:szCs w:val="22"/>
                    </w:rPr>
                    <w:br/>
                    <w:t>(n = 1424)</w:t>
                  </w:r>
                </w:p>
              </w:txbxContent>
            </v:textbox>
          </v:rect>
        </w:pict>
      </w:r>
      <w:r>
        <w:rPr>
          <w:rFonts w:ascii="Century Gothic" w:hAnsi="Century Gothic"/>
          <w:noProof/>
          <w:sz w:val="20"/>
          <w:szCs w:val="20"/>
        </w:rPr>
        <w:pict>
          <v:rect id="_x0000_s1045" style="position:absolute;margin-left:94.65pt;margin-top:476pt;width:162.5pt;height:51pt;z-index:-251657728">
            <v:stroke>
              <o:left v:ext="view" joinstyle="miter"/>
              <o:top v:ext="view" joinstyle="miter"/>
              <o:right v:ext="view" joinstyle="miter"/>
              <o:bottom v:ext="view" joinstyle="miter"/>
            </v:stroke>
            <v:textbox style="mso-next-textbox:#_x0000_s1045;mso-column-margin:2mm" inset=",7.2pt,,7.2pt">
              <w:txbxContent>
                <w:p w:rsidR="008C300A" w:rsidRDefault="008C300A" w:rsidP="00D3024C">
                  <w:pPr>
                    <w:jc w:val="center"/>
                    <w:rPr>
                      <w:rFonts w:ascii="Calibri" w:hAnsi="Calibri"/>
                      <w:sz w:val="22"/>
                      <w:szCs w:val="22"/>
                    </w:rPr>
                  </w:pPr>
                  <w:r>
                    <w:rPr>
                      <w:rFonts w:ascii="Calibri" w:hAnsi="Calibri"/>
                      <w:sz w:val="22"/>
                      <w:szCs w:val="22"/>
                    </w:rPr>
                    <w:t>Studies included for final grading</w:t>
                  </w:r>
                </w:p>
                <w:p w:rsidR="008C300A" w:rsidRPr="00941482" w:rsidRDefault="008C300A" w:rsidP="00D3024C">
                  <w:pPr>
                    <w:jc w:val="center"/>
                    <w:rPr>
                      <w:rFonts w:ascii="Calibri" w:hAnsi="Calibri"/>
                      <w:sz w:val="22"/>
                      <w:szCs w:val="22"/>
                    </w:rPr>
                  </w:pPr>
                  <w:r w:rsidRPr="00941482">
                    <w:rPr>
                      <w:rFonts w:ascii="Calibri" w:hAnsi="Calibri"/>
                      <w:sz w:val="22"/>
                      <w:szCs w:val="22"/>
                    </w:rPr>
                    <w:t>(n =</w:t>
                  </w:r>
                  <w:r>
                    <w:rPr>
                      <w:rFonts w:ascii="Calibri" w:hAnsi="Calibri"/>
                      <w:sz w:val="22"/>
                      <w:szCs w:val="22"/>
                    </w:rPr>
                    <w:t>127</w:t>
                  </w:r>
                  <w:r w:rsidRPr="00941482">
                    <w:rPr>
                      <w:rFonts w:ascii="Calibri" w:hAnsi="Calibri"/>
                      <w:sz w:val="22"/>
                      <w:szCs w:val="22"/>
                    </w:rPr>
                    <w:t>)</w:t>
                  </w:r>
                </w:p>
              </w:txbxContent>
            </v:textbox>
          </v:rect>
        </w:pict>
      </w:r>
      <w:r>
        <w:rPr>
          <w:rFonts w:ascii="Century Gothic" w:hAnsi="Century Gothic"/>
          <w:noProof/>
          <w:sz w:val="20"/>
          <w:szCs w:val="20"/>
        </w:rPr>
        <w:pict>
          <v:shape id="_x0000_s1047" type="#_x0000_t32" style="position:absolute;margin-left:179.1pt;margin-top:446.8pt;width:.05pt;height:21.75pt;z-index:251659776;mso-wrap-distance-left:2.88pt;mso-wrap-distance-top:2.88pt;mso-wrap-distance-right:2.88pt;mso-wrap-distance-bottom:2.88pt" o:connectortype="straight">
            <v:stroke endarrow="block"/>
            <v:shadow color="#ccc"/>
          </v:shape>
        </w:pict>
      </w:r>
      <w:r>
        <w:rPr>
          <w:rFonts w:ascii="Century Gothic" w:hAnsi="Century Gothic"/>
          <w:noProof/>
          <w:sz w:val="20"/>
          <w:szCs w:val="20"/>
        </w:rPr>
        <w:pict>
          <v:rect id="_x0000_s1041" style="position:absolute;margin-left:76.2pt;margin-top:400.35pt;width:201.75pt;height:46.45pt;z-index:251660800">
            <v:stroke>
              <o:left v:ext="view" joinstyle="miter"/>
              <o:top v:ext="view" joinstyle="miter"/>
              <o:right v:ext="view" joinstyle="miter"/>
              <o:bottom v:ext="view" joinstyle="miter"/>
            </v:stroke>
            <v:textbox style="mso-next-textbox:#_x0000_s1041;mso-column-margin:2mm" inset=",7.2pt,,7.2pt">
              <w:txbxContent>
                <w:p w:rsidR="008C300A" w:rsidRDefault="008C300A" w:rsidP="00D3024C">
                  <w:pPr>
                    <w:jc w:val="center"/>
                    <w:rPr>
                      <w:rFonts w:ascii="Calibri" w:hAnsi="Calibri"/>
                      <w:sz w:val="22"/>
                      <w:szCs w:val="22"/>
                    </w:rPr>
                  </w:pPr>
                  <w:r>
                    <w:rPr>
                      <w:rFonts w:ascii="Calibri" w:hAnsi="Calibri"/>
                      <w:sz w:val="22"/>
                      <w:szCs w:val="22"/>
                    </w:rPr>
                    <w:t xml:space="preserve">Studies included in qualitative synthesis </w:t>
                  </w:r>
                  <w:r>
                    <w:rPr>
                      <w:rFonts w:ascii="Calibri" w:hAnsi="Calibri"/>
                      <w:sz w:val="22"/>
                      <w:szCs w:val="22"/>
                    </w:rPr>
                    <w:br/>
                    <w:t>(n = 278)</w:t>
                  </w:r>
                </w:p>
              </w:txbxContent>
            </v:textbox>
          </v:rect>
        </w:pict>
      </w:r>
      <w:r>
        <w:rPr>
          <w:rFonts w:ascii="Century Gothic" w:hAnsi="Century Gothic"/>
          <w:noProof/>
          <w:sz w:val="20"/>
          <w:szCs w:val="20"/>
        </w:rPr>
        <w:pict>
          <v:shape id="_x0000_s1035" type="#_x0000_t32" style="position:absolute;margin-left:201pt;margin-top:170.2pt;width:.05pt;height:21.75pt;z-index:251661824;mso-wrap-distance-left:2.88pt;mso-wrap-distance-top:2.88pt;mso-wrap-distance-right:2.88pt;mso-wrap-distance-bottom:2.88pt" o:connectortype="straight">
            <v:stroke endarrow="block"/>
            <v:shadow color="#ccc"/>
          </v:shape>
        </w:pict>
      </w:r>
      <w:r>
        <w:rPr>
          <w:rFonts w:ascii="Century Gothic" w:hAnsi="Century Gothic"/>
          <w:noProof/>
          <w:sz w:val="20"/>
          <w:szCs w:val="20"/>
        </w:rPr>
        <w:pict>
          <v:shape id="_x0000_s1042" type="#_x0000_t32" style="position:absolute;margin-left:200.95pt;margin-top:243.35pt;width:0;height:28.9pt;z-index:251662848;mso-wrap-distance-left:2.88pt;mso-wrap-distance-top:2.88pt;mso-wrap-distance-right:2.88pt;mso-wrap-distance-bottom:2.88pt" o:connectortype="straight">
            <v:stroke endarrow="block"/>
            <v:shadow color="#ccc"/>
          </v:shape>
        </w:pict>
      </w:r>
      <w:r>
        <w:rPr>
          <w:rFonts w:ascii="Century Gothic" w:hAnsi="Century Gothic"/>
          <w:noProof/>
          <w:sz w:val="20"/>
          <w:szCs w:val="20"/>
        </w:rPr>
        <w:pict>
          <v:shape id="_x0000_s1043" type="#_x0000_t32" style="position:absolute;margin-left:200.95pt;margin-top:335.4pt;width:.05pt;height:42.75pt;z-index:251663872;mso-wrap-distance-left:2.88pt;mso-wrap-distance-top:2.88pt;mso-wrap-distance-right:2.88pt;mso-wrap-distance-bottom:2.88pt" o:connectortype="straight">
            <v:stroke endarrow="block"/>
            <v:shadow color="#ccc"/>
          </v:shape>
        </w:pict>
      </w:r>
      <w:r>
        <w:rPr>
          <w:rFonts w:ascii="Century Gothic" w:hAnsi="Century Gothic"/>
          <w:noProof/>
          <w:sz w:val="20"/>
          <w:szCs w:val="20"/>
        </w:rPr>
        <w:pict>
          <v:rect id="_x0000_s1039" style="position:absolute;margin-left:136.85pt;margin-top:281.4pt;width:131.55pt;height:54pt;z-index:251664896">
            <v:stroke>
              <o:left v:ext="view" joinstyle="miter"/>
              <o:top v:ext="view" joinstyle="miter"/>
              <o:right v:ext="view" joinstyle="miter"/>
              <o:bottom v:ext="view" joinstyle="miter"/>
            </v:stroke>
            <v:textbox style="mso-next-textbox:#_x0000_s1039;mso-column-margin:2mm" inset=",7.2pt,,7.2pt">
              <w:txbxContent>
                <w:p w:rsidR="008C300A" w:rsidRDefault="008C300A" w:rsidP="00D3024C">
                  <w:pPr>
                    <w:jc w:val="center"/>
                    <w:rPr>
                      <w:rFonts w:ascii="Calibri" w:hAnsi="Calibri"/>
                      <w:sz w:val="22"/>
                      <w:szCs w:val="22"/>
                    </w:rPr>
                  </w:pPr>
                  <w:r>
                    <w:rPr>
                      <w:rFonts w:ascii="Calibri" w:hAnsi="Calibri"/>
                      <w:sz w:val="22"/>
                      <w:szCs w:val="22"/>
                    </w:rPr>
                    <w:t xml:space="preserve">Full-text articles assessed for eligibility </w:t>
                  </w:r>
                  <w:r>
                    <w:rPr>
                      <w:rFonts w:ascii="Calibri" w:hAnsi="Calibri"/>
                      <w:sz w:val="22"/>
                      <w:szCs w:val="22"/>
                    </w:rPr>
                    <w:br/>
                    <w:t>(n =521)</w:t>
                  </w:r>
                </w:p>
              </w:txbxContent>
            </v:textbox>
          </v:rect>
        </w:pict>
      </w:r>
      <w:r>
        <w:rPr>
          <w:rFonts w:ascii="Century Gothic" w:hAnsi="Century Gothic"/>
          <w:noProof/>
          <w:sz w:val="20"/>
          <w:szCs w:val="20"/>
        </w:rPr>
        <w:pict>
          <v:rect id="_x0000_s1036" style="position:absolute;margin-left:135.25pt;margin-top:198.35pt;width:131.5pt;height:45pt;z-index:251665920">
            <v:stroke>
              <o:left v:ext="view" joinstyle="miter"/>
              <o:top v:ext="view" joinstyle="miter"/>
              <o:right v:ext="view" joinstyle="miter"/>
              <o:bottom v:ext="view" joinstyle="miter"/>
            </v:stroke>
            <v:textbox style="mso-next-textbox:#_x0000_s1036;mso-column-margin:2mm" inset=",7.2pt,,7.2pt">
              <w:txbxContent>
                <w:p w:rsidR="008C300A" w:rsidRDefault="008C300A" w:rsidP="00D3024C">
                  <w:pPr>
                    <w:jc w:val="center"/>
                    <w:rPr>
                      <w:rFonts w:ascii="Calibri" w:hAnsi="Calibri"/>
                      <w:sz w:val="22"/>
                      <w:szCs w:val="22"/>
                    </w:rPr>
                  </w:pPr>
                  <w:r>
                    <w:rPr>
                      <w:rFonts w:ascii="Calibri" w:hAnsi="Calibri"/>
                      <w:sz w:val="22"/>
                      <w:szCs w:val="22"/>
                    </w:rPr>
                    <w:t xml:space="preserve">Records screened </w:t>
                  </w:r>
                  <w:r>
                    <w:rPr>
                      <w:rFonts w:ascii="Calibri" w:hAnsi="Calibri"/>
                      <w:sz w:val="22"/>
                      <w:szCs w:val="22"/>
                    </w:rPr>
                    <w:br/>
                    <w:t>(n = 1533)</w:t>
                  </w:r>
                </w:p>
              </w:txbxContent>
            </v:textbox>
          </v:rect>
        </w:pict>
      </w:r>
      <w:r w:rsidRPr="00EC69D8">
        <w:rPr>
          <w:rFonts w:ascii="Century Gothic" w:hAnsi="Century Gothic"/>
          <w:b/>
          <w:noProof/>
          <w:szCs w:val="20"/>
          <w:highlight w:val="yellow"/>
        </w:rPr>
        <w:pict>
          <v:roundrect id="_x0000_s1027" style="position:absolute;margin-left:-71.45pt;margin-top:454.4pt;width:130.3pt;height:23.4pt;rotation:270;z-index:251666944" arcsize="10923f" fillcolor="#ccecff">
            <v:textbox style="layout-flow:vertical;mso-layout-flow-alt:bottom-to-top;mso-next-textbox:#_x0000_s1027;mso-column-margin:2mm" inset="3.6pt,,3.6pt">
              <w:txbxContent>
                <w:p w:rsidR="008C300A" w:rsidRDefault="008C300A" w:rsidP="001E29E8">
                  <w:pPr>
                    <w:pStyle w:val="Heading2"/>
                    <w:keepNext/>
                    <w:rPr>
                      <w:rFonts w:ascii="Calibri" w:hAnsi="Calibri"/>
                    </w:rPr>
                  </w:pPr>
                  <w:r>
                    <w:rPr>
                      <w:rFonts w:ascii="Calibri" w:hAnsi="Calibri"/>
                    </w:rPr>
                    <w:t>Included</w:t>
                  </w:r>
                </w:p>
              </w:txbxContent>
            </v:textbox>
          </v:roundrect>
        </w:pict>
      </w:r>
      <w:r>
        <w:rPr>
          <w:rFonts w:ascii="Century Gothic" w:hAnsi="Century Gothic"/>
          <w:noProof/>
          <w:sz w:val="20"/>
          <w:szCs w:val="20"/>
        </w:rPr>
        <w:pict>
          <v:rect id="_x0000_s1038" style="position:absolute;margin-left:339.95pt;margin-top:200.05pt;width:113.75pt;height:45pt;z-index:251667968">
            <v:stroke>
              <o:left v:ext="view" joinstyle="miter"/>
              <o:top v:ext="view" joinstyle="miter"/>
              <o:right v:ext="view" joinstyle="miter"/>
              <o:bottom v:ext="view" joinstyle="miter"/>
            </v:stroke>
            <v:textbox style="mso-next-textbox:#_x0000_s1038;mso-column-margin:2mm" inset=",7.2pt,,7.2pt">
              <w:txbxContent>
                <w:p w:rsidR="008C300A" w:rsidRDefault="008C300A" w:rsidP="00D3024C">
                  <w:pPr>
                    <w:jc w:val="center"/>
                    <w:rPr>
                      <w:rFonts w:ascii="Calibri" w:hAnsi="Calibri"/>
                      <w:sz w:val="22"/>
                      <w:szCs w:val="22"/>
                    </w:rPr>
                  </w:pPr>
                  <w:r>
                    <w:rPr>
                      <w:rFonts w:ascii="Calibri" w:hAnsi="Calibri"/>
                      <w:sz w:val="22"/>
                      <w:szCs w:val="22"/>
                    </w:rPr>
                    <w:t xml:space="preserve">Records excluded </w:t>
                  </w:r>
                  <w:r>
                    <w:rPr>
                      <w:rFonts w:ascii="Calibri" w:hAnsi="Calibri"/>
                      <w:sz w:val="22"/>
                      <w:szCs w:val="22"/>
                    </w:rPr>
                    <w:br/>
                    <w:t>(n =1012)</w:t>
                  </w:r>
                </w:p>
              </w:txbxContent>
            </v:textbox>
          </v:rect>
        </w:pict>
      </w:r>
      <w:r>
        <w:rPr>
          <w:rFonts w:ascii="Century Gothic" w:hAnsi="Century Gothic"/>
          <w:noProof/>
          <w:sz w:val="20"/>
          <w:szCs w:val="20"/>
        </w:rPr>
        <w:pict>
          <v:rect id="_x0000_s1040" style="position:absolute;margin-left:330.05pt;margin-top:283.95pt;width:137.1pt;height:117pt;z-index:251668992">
            <v:stroke>
              <o:left v:ext="view" joinstyle="miter"/>
              <o:top v:ext="view" joinstyle="miter"/>
              <o:right v:ext="view" joinstyle="miter"/>
              <o:bottom v:ext="view" joinstyle="miter"/>
            </v:stroke>
            <v:textbox style="mso-next-textbox:#_x0000_s1040;mso-column-margin:2mm" inset=",7.2pt,,7.2pt">
              <w:txbxContent>
                <w:p w:rsidR="008C300A" w:rsidRDefault="008C300A" w:rsidP="00D3024C">
                  <w:pPr>
                    <w:jc w:val="center"/>
                    <w:rPr>
                      <w:rFonts w:ascii="Calibri" w:hAnsi="Calibri"/>
                      <w:sz w:val="22"/>
                      <w:szCs w:val="22"/>
                    </w:rPr>
                  </w:pPr>
                  <w:r>
                    <w:rPr>
                      <w:rFonts w:ascii="Calibri" w:hAnsi="Calibri"/>
                      <w:sz w:val="22"/>
                      <w:szCs w:val="22"/>
                    </w:rPr>
                    <w:t xml:space="preserve">Full-text articles excluded, with reasons </w:t>
                  </w:r>
                  <w:r>
                    <w:rPr>
                      <w:rFonts w:ascii="Calibri" w:hAnsi="Calibri"/>
                      <w:sz w:val="22"/>
                      <w:szCs w:val="22"/>
                    </w:rPr>
                    <w:br/>
                    <w:t>(n =243)</w:t>
                  </w:r>
                </w:p>
                <w:p w:rsidR="008C300A" w:rsidRDefault="008C300A" w:rsidP="00D3024C">
                  <w:pPr>
                    <w:jc w:val="center"/>
                    <w:rPr>
                      <w:rFonts w:ascii="Calibri" w:hAnsi="Calibri"/>
                      <w:sz w:val="22"/>
                      <w:szCs w:val="22"/>
                    </w:rPr>
                  </w:pPr>
                </w:p>
                <w:p w:rsidR="008C300A" w:rsidRDefault="008C300A" w:rsidP="00E906F9">
                  <w:pPr>
                    <w:rPr>
                      <w:rFonts w:ascii="Calibri" w:hAnsi="Calibri"/>
                      <w:sz w:val="22"/>
                      <w:szCs w:val="22"/>
                    </w:rPr>
                  </w:pPr>
                  <w:r>
                    <w:rPr>
                      <w:rFonts w:ascii="Calibri" w:hAnsi="Calibri"/>
                      <w:sz w:val="22"/>
                      <w:szCs w:val="22"/>
                    </w:rPr>
                    <w:t>Outside scope of paper,</w:t>
                  </w:r>
                </w:p>
                <w:p w:rsidR="008C300A" w:rsidRDefault="008C300A" w:rsidP="00E906F9">
                  <w:pPr>
                    <w:rPr>
                      <w:rFonts w:ascii="Calibri" w:hAnsi="Calibri"/>
                      <w:sz w:val="22"/>
                      <w:szCs w:val="22"/>
                    </w:rPr>
                  </w:pPr>
                  <w:r>
                    <w:rPr>
                      <w:rFonts w:ascii="Calibri" w:hAnsi="Calibri"/>
                      <w:sz w:val="22"/>
                      <w:szCs w:val="22"/>
                    </w:rPr>
                    <w:t>Article does not provide primary data</w:t>
                  </w:r>
                </w:p>
                <w:p w:rsidR="008C300A" w:rsidRDefault="008C300A" w:rsidP="00D3024C">
                  <w:pPr>
                    <w:jc w:val="center"/>
                    <w:rPr>
                      <w:rFonts w:ascii="Calibri" w:hAnsi="Calibri"/>
                      <w:sz w:val="22"/>
                      <w:szCs w:val="22"/>
                    </w:rPr>
                  </w:pPr>
                </w:p>
              </w:txbxContent>
            </v:textbox>
          </v:rect>
        </w:pict>
      </w:r>
    </w:p>
    <w:p w:rsidR="00BE7868" w:rsidRPr="001E29E8" w:rsidRDefault="00BE7868" w:rsidP="000A233D">
      <w:pPr>
        <w:rPr>
          <w:rFonts w:ascii="Century Gothic" w:hAnsi="Century Gothic"/>
          <w:sz w:val="20"/>
          <w:szCs w:val="20"/>
        </w:rPr>
      </w:pPr>
    </w:p>
    <w:sectPr w:rsidR="00BE7868" w:rsidRPr="001E29E8" w:rsidSect="00C40423">
      <w:headerReference w:type="default" r:id="rId8"/>
      <w:footerReference w:type="first" r:id="rId9"/>
      <w:pgSz w:w="12240" w:h="15840"/>
      <w:pgMar w:top="135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00A" w:rsidRDefault="008C300A" w:rsidP="005235E7">
      <w:r>
        <w:separator/>
      </w:r>
    </w:p>
  </w:endnote>
  <w:endnote w:type="continuationSeparator" w:id="0">
    <w:p w:rsidR="008C300A" w:rsidRDefault="008C300A" w:rsidP="005235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37507"/>
      <w:docPartObj>
        <w:docPartGallery w:val="Page Numbers (Bottom of Page)"/>
        <w:docPartUnique/>
      </w:docPartObj>
    </w:sdtPr>
    <w:sdtContent>
      <w:p w:rsidR="008C300A" w:rsidRPr="00C167F1" w:rsidRDefault="008C300A" w:rsidP="00C40423">
        <w:pPr>
          <w:pStyle w:val="Footer"/>
        </w:pPr>
      </w:p>
      <w:p w:rsidR="008C300A" w:rsidRPr="00C167F1" w:rsidRDefault="008C300A" w:rsidP="00C40423">
        <w:pPr>
          <w:pStyle w:val="Footer"/>
        </w:pPr>
        <w:r w:rsidRPr="00C167F1">
          <w:rPr>
            <w:sz w:val="20"/>
            <w:szCs w:val="20"/>
          </w:rPr>
          <w:t xml:space="preserve">*The supplemental digital content was not copyedited by the </w:t>
        </w:r>
        <w:r w:rsidRPr="00C167F1">
          <w:rPr>
            <w:i/>
            <w:sz w:val="20"/>
            <w:szCs w:val="20"/>
          </w:rPr>
          <w:t>Archives of Pathology &amp; Laboratory Medicine</w:t>
        </w:r>
      </w:p>
      <w:p w:rsidR="008C300A" w:rsidRPr="00C167F1" w:rsidRDefault="00EC69D8">
        <w:pPr>
          <w:pStyle w:val="Footer"/>
          <w:jc w:val="center"/>
        </w:pPr>
      </w:p>
    </w:sdtContent>
  </w:sdt>
  <w:p w:rsidR="008C300A" w:rsidRDefault="008C30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00A" w:rsidRDefault="008C300A" w:rsidP="005235E7">
      <w:r>
        <w:separator/>
      </w:r>
    </w:p>
  </w:footnote>
  <w:footnote w:type="continuationSeparator" w:id="0">
    <w:p w:rsidR="008C300A" w:rsidRDefault="008C300A" w:rsidP="005235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00A" w:rsidRDefault="008C300A">
    <w:pPr>
      <w:pStyle w:val="Header"/>
      <w:jc w:val="right"/>
    </w:pPr>
  </w:p>
  <w:p w:rsidR="008C300A" w:rsidRDefault="008C30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2C4"/>
    <w:multiLevelType w:val="hybridMultilevel"/>
    <w:tmpl w:val="08E8F4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80B3281"/>
    <w:multiLevelType w:val="hybridMultilevel"/>
    <w:tmpl w:val="62F607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4367F97"/>
    <w:multiLevelType w:val="hybridMultilevel"/>
    <w:tmpl w:val="3DD8FBA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C616E0F"/>
    <w:multiLevelType w:val="hybridMultilevel"/>
    <w:tmpl w:val="70E47C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02E3451"/>
    <w:multiLevelType w:val="hybridMultilevel"/>
    <w:tmpl w:val="6B249C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3BC2D53"/>
    <w:multiLevelType w:val="hybridMultilevel"/>
    <w:tmpl w:val="EEA48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4811BBA"/>
    <w:multiLevelType w:val="hybridMultilevel"/>
    <w:tmpl w:val="B1AED86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C4B053C"/>
    <w:multiLevelType w:val="hybridMultilevel"/>
    <w:tmpl w:val="EB36FE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33A21790"/>
    <w:multiLevelType w:val="hybridMultilevel"/>
    <w:tmpl w:val="4446A3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363C6796"/>
    <w:multiLevelType w:val="hybridMultilevel"/>
    <w:tmpl w:val="7FDA48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416E487F"/>
    <w:multiLevelType w:val="hybridMultilevel"/>
    <w:tmpl w:val="CCF8D3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45FD39C8"/>
    <w:multiLevelType w:val="hybridMultilevel"/>
    <w:tmpl w:val="E2BC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5B512B"/>
    <w:multiLevelType w:val="hybridMultilevel"/>
    <w:tmpl w:val="288260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ACC2F30"/>
    <w:multiLevelType w:val="hybridMultilevel"/>
    <w:tmpl w:val="FE92C848"/>
    <w:lvl w:ilvl="0" w:tplc="949A666E">
      <w:start w:val="1"/>
      <w:numFmt w:val="bullet"/>
      <w:pStyle w:val="BulletLevel1"/>
      <w:lvlText w:val=""/>
      <w:lvlJc w:val="left"/>
      <w:pPr>
        <w:ind w:left="720" w:hanging="360"/>
      </w:pPr>
      <w:rPr>
        <w:rFonts w:ascii="Symbol" w:hAnsi="Symbol" w:hint="default"/>
      </w:rPr>
    </w:lvl>
    <w:lvl w:ilvl="1" w:tplc="F60CE202">
      <w:start w:val="1"/>
      <w:numFmt w:val="bullet"/>
      <w:pStyle w:val="BulletLevel2"/>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52330A"/>
    <w:multiLevelType w:val="hybridMultilevel"/>
    <w:tmpl w:val="7F822CE6"/>
    <w:lvl w:ilvl="0" w:tplc="04090019">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nsid w:val="4FE07972"/>
    <w:multiLevelType w:val="hybridMultilevel"/>
    <w:tmpl w:val="DEDC4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0896D94"/>
    <w:multiLevelType w:val="hybridMultilevel"/>
    <w:tmpl w:val="2752D6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50BD1C05"/>
    <w:multiLevelType w:val="hybridMultilevel"/>
    <w:tmpl w:val="3202F3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57831376"/>
    <w:multiLevelType w:val="hybridMultilevel"/>
    <w:tmpl w:val="935E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560A27"/>
    <w:multiLevelType w:val="hybridMultilevel"/>
    <w:tmpl w:val="1852817C"/>
    <w:lvl w:ilvl="0" w:tplc="C090DB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CE33DF9"/>
    <w:multiLevelType w:val="hybridMultilevel"/>
    <w:tmpl w:val="4E2C81B6"/>
    <w:lvl w:ilvl="0" w:tplc="04090019">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1">
    <w:nsid w:val="622D14E7"/>
    <w:multiLevelType w:val="hybridMultilevel"/>
    <w:tmpl w:val="227A1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6587CE2"/>
    <w:multiLevelType w:val="hybridMultilevel"/>
    <w:tmpl w:val="7428A4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6CCD4C1E"/>
    <w:multiLevelType w:val="hybridMultilevel"/>
    <w:tmpl w:val="D12C16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6F8810B1"/>
    <w:multiLevelType w:val="hybridMultilevel"/>
    <w:tmpl w:val="F58EDA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750F1CAB"/>
    <w:multiLevelType w:val="hybridMultilevel"/>
    <w:tmpl w:val="12EC64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7A915356"/>
    <w:multiLevelType w:val="hybridMultilevel"/>
    <w:tmpl w:val="ADC264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7FFD5004"/>
    <w:multiLevelType w:val="hybridMultilevel"/>
    <w:tmpl w:val="E7600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0"/>
  </w:num>
  <w:num w:numId="4">
    <w:abstractNumId w:val="10"/>
  </w:num>
  <w:num w:numId="5">
    <w:abstractNumId w:val="27"/>
  </w:num>
  <w:num w:numId="6">
    <w:abstractNumId w:val="2"/>
  </w:num>
  <w:num w:numId="7">
    <w:abstractNumId w:val="21"/>
  </w:num>
  <w:num w:numId="8">
    <w:abstractNumId w:val="6"/>
  </w:num>
  <w:num w:numId="9">
    <w:abstractNumId w:val="12"/>
  </w:num>
  <w:num w:numId="10">
    <w:abstractNumId w:val="3"/>
  </w:num>
  <w:num w:numId="11">
    <w:abstractNumId w:val="23"/>
  </w:num>
  <w:num w:numId="12">
    <w:abstractNumId w:val="17"/>
  </w:num>
  <w:num w:numId="13">
    <w:abstractNumId w:val="15"/>
  </w:num>
  <w:num w:numId="14">
    <w:abstractNumId w:val="5"/>
  </w:num>
  <w:num w:numId="15">
    <w:abstractNumId w:val="8"/>
  </w:num>
  <w:num w:numId="16">
    <w:abstractNumId w:val="26"/>
  </w:num>
  <w:num w:numId="17">
    <w:abstractNumId w:val="4"/>
  </w:num>
  <w:num w:numId="18">
    <w:abstractNumId w:val="9"/>
  </w:num>
  <w:num w:numId="19">
    <w:abstractNumId w:val="7"/>
  </w:num>
  <w:num w:numId="20">
    <w:abstractNumId w:val="1"/>
  </w:num>
  <w:num w:numId="21">
    <w:abstractNumId w:val="22"/>
  </w:num>
  <w:num w:numId="22">
    <w:abstractNumId w:val="16"/>
  </w:num>
  <w:num w:numId="23">
    <w:abstractNumId w:val="25"/>
  </w:num>
  <w:num w:numId="24">
    <w:abstractNumId w:val="19"/>
  </w:num>
  <w:num w:numId="25">
    <w:abstractNumId w:val="24"/>
  </w:num>
  <w:num w:numId="26">
    <w:abstractNumId w:val="0"/>
  </w:num>
  <w:num w:numId="27">
    <w:abstractNumId w:val="13"/>
  </w:num>
  <w:num w:numId="28">
    <w:abstractNumId w:val="18"/>
  </w:num>
  <w:num w:numId="29">
    <w:abstractNumId w:val="1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en-CA" w:vendorID="64" w:dllVersion="131078" w:nlCheck="1" w:checkStyle="1"/>
  <w:activeWritingStyle w:appName="MSWord" w:lang="en-GB" w:vendorID="64" w:dllVersion="131078" w:nlCheck="1" w:checkStyle="1"/>
  <w:activeWritingStyle w:appName="MSWord" w:lang="fr-CA" w:vendorID="64" w:dllVersion="131078" w:nlCheck="1" w:checkStyle="1"/>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dgnword-docGUID" w:val="{0DE30FA2-CCB2-4181-AEB4-0A9B4D41101F}"/>
    <w:docVar w:name="dgnword-eventsink" w:val="236207376"/>
    <w:docVar w:name="EN.InstantFormat" w:val="&lt;ENInstantFormat&gt;&lt;Enabled&gt;1&lt;/Enabled&gt;&lt;ScanUnformatted&gt;1&lt;/ScanUnformatted&gt;&lt;ScanChanges&gt;1&lt;/ScanChanges&gt;&lt;Suspended&gt;0&lt;/Suspended&gt;&lt;/ENInstantFormat&gt;"/>
    <w:docVar w:name="EN.Layout" w:val="&lt;ENLayout&gt;&lt;Style&gt;Arch Pathology Lab M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fdzae0xqraav9epdev5pzwix5as5t2e5dt2&quot;&gt;Lung Cancer Included Articles_Supplement&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record-ids&gt;&lt;/item&gt;&lt;/Libraries&gt;"/>
  </w:docVars>
  <w:rsids>
    <w:rsidRoot w:val="00903A24"/>
    <w:rsid w:val="00000D15"/>
    <w:rsid w:val="00001371"/>
    <w:rsid w:val="0000434F"/>
    <w:rsid w:val="00005072"/>
    <w:rsid w:val="00005851"/>
    <w:rsid w:val="00006267"/>
    <w:rsid w:val="00006C84"/>
    <w:rsid w:val="00011BAC"/>
    <w:rsid w:val="00011E4F"/>
    <w:rsid w:val="00012758"/>
    <w:rsid w:val="00013BEC"/>
    <w:rsid w:val="00016994"/>
    <w:rsid w:val="0001790B"/>
    <w:rsid w:val="00017B1F"/>
    <w:rsid w:val="00017CBE"/>
    <w:rsid w:val="00017CE9"/>
    <w:rsid w:val="00021994"/>
    <w:rsid w:val="00022D99"/>
    <w:rsid w:val="00023567"/>
    <w:rsid w:val="00023CBC"/>
    <w:rsid w:val="0002496E"/>
    <w:rsid w:val="0002553D"/>
    <w:rsid w:val="00026611"/>
    <w:rsid w:val="00027452"/>
    <w:rsid w:val="00027505"/>
    <w:rsid w:val="00031CF5"/>
    <w:rsid w:val="000320DA"/>
    <w:rsid w:val="000332B8"/>
    <w:rsid w:val="00034852"/>
    <w:rsid w:val="000362B2"/>
    <w:rsid w:val="00036FE7"/>
    <w:rsid w:val="00037657"/>
    <w:rsid w:val="00040C84"/>
    <w:rsid w:val="000417ED"/>
    <w:rsid w:val="00041A50"/>
    <w:rsid w:val="000431AC"/>
    <w:rsid w:val="00043212"/>
    <w:rsid w:val="00043801"/>
    <w:rsid w:val="00043F77"/>
    <w:rsid w:val="000442E8"/>
    <w:rsid w:val="0004513F"/>
    <w:rsid w:val="000451AE"/>
    <w:rsid w:val="00045372"/>
    <w:rsid w:val="0004576B"/>
    <w:rsid w:val="00045B95"/>
    <w:rsid w:val="0004708B"/>
    <w:rsid w:val="000512CF"/>
    <w:rsid w:val="00051E86"/>
    <w:rsid w:val="00052EAF"/>
    <w:rsid w:val="00054DFF"/>
    <w:rsid w:val="0005534A"/>
    <w:rsid w:val="000558F7"/>
    <w:rsid w:val="00056237"/>
    <w:rsid w:val="00056770"/>
    <w:rsid w:val="000571EC"/>
    <w:rsid w:val="00057AA4"/>
    <w:rsid w:val="000600B9"/>
    <w:rsid w:val="00060D88"/>
    <w:rsid w:val="00062420"/>
    <w:rsid w:val="00062623"/>
    <w:rsid w:val="00063884"/>
    <w:rsid w:val="00065839"/>
    <w:rsid w:val="00065C94"/>
    <w:rsid w:val="00065F18"/>
    <w:rsid w:val="0006672C"/>
    <w:rsid w:val="0007000C"/>
    <w:rsid w:val="00073232"/>
    <w:rsid w:val="00076C50"/>
    <w:rsid w:val="00076F89"/>
    <w:rsid w:val="00077249"/>
    <w:rsid w:val="000776B9"/>
    <w:rsid w:val="00077F1C"/>
    <w:rsid w:val="000809E3"/>
    <w:rsid w:val="000824F7"/>
    <w:rsid w:val="00082ACE"/>
    <w:rsid w:val="00083B57"/>
    <w:rsid w:val="00083B85"/>
    <w:rsid w:val="00084A28"/>
    <w:rsid w:val="00084C3F"/>
    <w:rsid w:val="000861E5"/>
    <w:rsid w:val="00086661"/>
    <w:rsid w:val="00090319"/>
    <w:rsid w:val="000909D7"/>
    <w:rsid w:val="00092487"/>
    <w:rsid w:val="00094938"/>
    <w:rsid w:val="00094B23"/>
    <w:rsid w:val="000953A5"/>
    <w:rsid w:val="000A02CA"/>
    <w:rsid w:val="000A0FFD"/>
    <w:rsid w:val="000A18FD"/>
    <w:rsid w:val="000A233D"/>
    <w:rsid w:val="000A26C8"/>
    <w:rsid w:val="000A2955"/>
    <w:rsid w:val="000A2C7E"/>
    <w:rsid w:val="000A325C"/>
    <w:rsid w:val="000A3427"/>
    <w:rsid w:val="000A52D3"/>
    <w:rsid w:val="000A6141"/>
    <w:rsid w:val="000A6686"/>
    <w:rsid w:val="000A677C"/>
    <w:rsid w:val="000A720E"/>
    <w:rsid w:val="000B0A23"/>
    <w:rsid w:val="000B104B"/>
    <w:rsid w:val="000B13BA"/>
    <w:rsid w:val="000B23C4"/>
    <w:rsid w:val="000B2C29"/>
    <w:rsid w:val="000B2E9D"/>
    <w:rsid w:val="000B2F43"/>
    <w:rsid w:val="000B3064"/>
    <w:rsid w:val="000B3B2A"/>
    <w:rsid w:val="000B4E83"/>
    <w:rsid w:val="000B5FFD"/>
    <w:rsid w:val="000B748B"/>
    <w:rsid w:val="000B7538"/>
    <w:rsid w:val="000B7D3A"/>
    <w:rsid w:val="000C1322"/>
    <w:rsid w:val="000C1D15"/>
    <w:rsid w:val="000C2116"/>
    <w:rsid w:val="000C2999"/>
    <w:rsid w:val="000C2E6D"/>
    <w:rsid w:val="000C3D34"/>
    <w:rsid w:val="000C47B9"/>
    <w:rsid w:val="000C6BE2"/>
    <w:rsid w:val="000C786F"/>
    <w:rsid w:val="000D0344"/>
    <w:rsid w:val="000D05B9"/>
    <w:rsid w:val="000D1400"/>
    <w:rsid w:val="000D16C5"/>
    <w:rsid w:val="000D1C93"/>
    <w:rsid w:val="000D3B47"/>
    <w:rsid w:val="000D4104"/>
    <w:rsid w:val="000D4B45"/>
    <w:rsid w:val="000D5FF5"/>
    <w:rsid w:val="000D6C1D"/>
    <w:rsid w:val="000D73C0"/>
    <w:rsid w:val="000E08EB"/>
    <w:rsid w:val="000E2454"/>
    <w:rsid w:val="000E3942"/>
    <w:rsid w:val="000E3C28"/>
    <w:rsid w:val="000E4CE4"/>
    <w:rsid w:val="000E5005"/>
    <w:rsid w:val="000E7B17"/>
    <w:rsid w:val="000F122A"/>
    <w:rsid w:val="000F1E21"/>
    <w:rsid w:val="000F1E32"/>
    <w:rsid w:val="000F33D4"/>
    <w:rsid w:val="000F3442"/>
    <w:rsid w:val="000F4245"/>
    <w:rsid w:val="000F42DB"/>
    <w:rsid w:val="000F498D"/>
    <w:rsid w:val="000F4CF7"/>
    <w:rsid w:val="000F5491"/>
    <w:rsid w:val="000F5673"/>
    <w:rsid w:val="000F6AF2"/>
    <w:rsid w:val="000F6EF7"/>
    <w:rsid w:val="0010071A"/>
    <w:rsid w:val="00100C03"/>
    <w:rsid w:val="00100F81"/>
    <w:rsid w:val="00101D46"/>
    <w:rsid w:val="001027D1"/>
    <w:rsid w:val="00103E51"/>
    <w:rsid w:val="00104E08"/>
    <w:rsid w:val="00105161"/>
    <w:rsid w:val="00105361"/>
    <w:rsid w:val="00105E9E"/>
    <w:rsid w:val="00106026"/>
    <w:rsid w:val="00106EBB"/>
    <w:rsid w:val="001113D9"/>
    <w:rsid w:val="00111584"/>
    <w:rsid w:val="00111B56"/>
    <w:rsid w:val="00114C49"/>
    <w:rsid w:val="001154C0"/>
    <w:rsid w:val="0011678F"/>
    <w:rsid w:val="00117199"/>
    <w:rsid w:val="00117304"/>
    <w:rsid w:val="00117530"/>
    <w:rsid w:val="00117776"/>
    <w:rsid w:val="001178B5"/>
    <w:rsid w:val="00117F24"/>
    <w:rsid w:val="00120292"/>
    <w:rsid w:val="00120A7D"/>
    <w:rsid w:val="0012169D"/>
    <w:rsid w:val="001223EE"/>
    <w:rsid w:val="00123D66"/>
    <w:rsid w:val="00124ABD"/>
    <w:rsid w:val="0012553D"/>
    <w:rsid w:val="001256B4"/>
    <w:rsid w:val="00125CC9"/>
    <w:rsid w:val="00126403"/>
    <w:rsid w:val="00126406"/>
    <w:rsid w:val="00127004"/>
    <w:rsid w:val="001277B0"/>
    <w:rsid w:val="00127EC4"/>
    <w:rsid w:val="00130978"/>
    <w:rsid w:val="00130DE7"/>
    <w:rsid w:val="00131DE9"/>
    <w:rsid w:val="00132F4F"/>
    <w:rsid w:val="00132FB4"/>
    <w:rsid w:val="001336D2"/>
    <w:rsid w:val="00134766"/>
    <w:rsid w:val="00135140"/>
    <w:rsid w:val="001353E3"/>
    <w:rsid w:val="00135F4F"/>
    <w:rsid w:val="00136263"/>
    <w:rsid w:val="00140772"/>
    <w:rsid w:val="00140F55"/>
    <w:rsid w:val="00141C95"/>
    <w:rsid w:val="0014229B"/>
    <w:rsid w:val="00142A2F"/>
    <w:rsid w:val="00142FDC"/>
    <w:rsid w:val="0014364F"/>
    <w:rsid w:val="00143666"/>
    <w:rsid w:val="00143B94"/>
    <w:rsid w:val="00144329"/>
    <w:rsid w:val="00144AB6"/>
    <w:rsid w:val="00144E13"/>
    <w:rsid w:val="00145700"/>
    <w:rsid w:val="00145EBF"/>
    <w:rsid w:val="00146185"/>
    <w:rsid w:val="0014635C"/>
    <w:rsid w:val="00147832"/>
    <w:rsid w:val="00147866"/>
    <w:rsid w:val="00147B1A"/>
    <w:rsid w:val="0015035B"/>
    <w:rsid w:val="001507D1"/>
    <w:rsid w:val="00150EDD"/>
    <w:rsid w:val="00151320"/>
    <w:rsid w:val="001517DC"/>
    <w:rsid w:val="00152617"/>
    <w:rsid w:val="00152B7B"/>
    <w:rsid w:val="00152D4F"/>
    <w:rsid w:val="00152FDA"/>
    <w:rsid w:val="00153784"/>
    <w:rsid w:val="00154D68"/>
    <w:rsid w:val="00155FD3"/>
    <w:rsid w:val="00156AA7"/>
    <w:rsid w:val="00157CDF"/>
    <w:rsid w:val="0016029E"/>
    <w:rsid w:val="0016180C"/>
    <w:rsid w:val="001622FC"/>
    <w:rsid w:val="00162FCA"/>
    <w:rsid w:val="00163ABE"/>
    <w:rsid w:val="00163E26"/>
    <w:rsid w:val="00164A54"/>
    <w:rsid w:val="001655A3"/>
    <w:rsid w:val="00165DDA"/>
    <w:rsid w:val="00166CE3"/>
    <w:rsid w:val="00167504"/>
    <w:rsid w:val="00171553"/>
    <w:rsid w:val="00171F77"/>
    <w:rsid w:val="00174939"/>
    <w:rsid w:val="00175A49"/>
    <w:rsid w:val="00177633"/>
    <w:rsid w:val="00177DBE"/>
    <w:rsid w:val="001811C6"/>
    <w:rsid w:val="00181A4B"/>
    <w:rsid w:val="00181FB1"/>
    <w:rsid w:val="00182205"/>
    <w:rsid w:val="001830F1"/>
    <w:rsid w:val="00183BE9"/>
    <w:rsid w:val="001845F1"/>
    <w:rsid w:val="00184735"/>
    <w:rsid w:val="00185429"/>
    <w:rsid w:val="00185A9A"/>
    <w:rsid w:val="00185F66"/>
    <w:rsid w:val="00186AFE"/>
    <w:rsid w:val="00190078"/>
    <w:rsid w:val="0019198D"/>
    <w:rsid w:val="001927FE"/>
    <w:rsid w:val="001935C4"/>
    <w:rsid w:val="001947B1"/>
    <w:rsid w:val="00194967"/>
    <w:rsid w:val="00194CE9"/>
    <w:rsid w:val="00195C71"/>
    <w:rsid w:val="0019646A"/>
    <w:rsid w:val="00196814"/>
    <w:rsid w:val="00196F87"/>
    <w:rsid w:val="0019741B"/>
    <w:rsid w:val="001A0809"/>
    <w:rsid w:val="001A0DB6"/>
    <w:rsid w:val="001A0FA6"/>
    <w:rsid w:val="001A1B40"/>
    <w:rsid w:val="001A253F"/>
    <w:rsid w:val="001A3A18"/>
    <w:rsid w:val="001A3D64"/>
    <w:rsid w:val="001A635E"/>
    <w:rsid w:val="001A66EB"/>
    <w:rsid w:val="001A6BD7"/>
    <w:rsid w:val="001A6E39"/>
    <w:rsid w:val="001B0C3C"/>
    <w:rsid w:val="001B2629"/>
    <w:rsid w:val="001B28D1"/>
    <w:rsid w:val="001B2CB9"/>
    <w:rsid w:val="001B2E19"/>
    <w:rsid w:val="001B316F"/>
    <w:rsid w:val="001B364F"/>
    <w:rsid w:val="001C0170"/>
    <w:rsid w:val="001C2189"/>
    <w:rsid w:val="001C347C"/>
    <w:rsid w:val="001C3D53"/>
    <w:rsid w:val="001C40E5"/>
    <w:rsid w:val="001C5B93"/>
    <w:rsid w:val="001C789C"/>
    <w:rsid w:val="001D1E71"/>
    <w:rsid w:val="001D1F9A"/>
    <w:rsid w:val="001D3F30"/>
    <w:rsid w:val="001D5774"/>
    <w:rsid w:val="001D5F64"/>
    <w:rsid w:val="001D6E44"/>
    <w:rsid w:val="001D773D"/>
    <w:rsid w:val="001D77A6"/>
    <w:rsid w:val="001E0BE4"/>
    <w:rsid w:val="001E0CF8"/>
    <w:rsid w:val="001E0DF8"/>
    <w:rsid w:val="001E15CC"/>
    <w:rsid w:val="001E1726"/>
    <w:rsid w:val="001E18A7"/>
    <w:rsid w:val="001E29E8"/>
    <w:rsid w:val="001E37EC"/>
    <w:rsid w:val="001E5619"/>
    <w:rsid w:val="001E5DC7"/>
    <w:rsid w:val="001E6304"/>
    <w:rsid w:val="001E7475"/>
    <w:rsid w:val="001E7AFC"/>
    <w:rsid w:val="001E7BE1"/>
    <w:rsid w:val="001E7CE4"/>
    <w:rsid w:val="001F070D"/>
    <w:rsid w:val="001F0DE1"/>
    <w:rsid w:val="001F10C6"/>
    <w:rsid w:val="001F1D63"/>
    <w:rsid w:val="001F2210"/>
    <w:rsid w:val="001F3628"/>
    <w:rsid w:val="001F3DF2"/>
    <w:rsid w:val="001F3FE4"/>
    <w:rsid w:val="001F5267"/>
    <w:rsid w:val="001F5684"/>
    <w:rsid w:val="001F629E"/>
    <w:rsid w:val="001F6D91"/>
    <w:rsid w:val="001F7069"/>
    <w:rsid w:val="001F7407"/>
    <w:rsid w:val="001F7B64"/>
    <w:rsid w:val="001F7BB7"/>
    <w:rsid w:val="001F7C3E"/>
    <w:rsid w:val="002017CD"/>
    <w:rsid w:val="00203901"/>
    <w:rsid w:val="00204E98"/>
    <w:rsid w:val="00205D41"/>
    <w:rsid w:val="00205F3B"/>
    <w:rsid w:val="00206751"/>
    <w:rsid w:val="002075DF"/>
    <w:rsid w:val="002079EB"/>
    <w:rsid w:val="00207B29"/>
    <w:rsid w:val="00210375"/>
    <w:rsid w:val="002103AF"/>
    <w:rsid w:val="00210783"/>
    <w:rsid w:val="002115B6"/>
    <w:rsid w:val="0021164F"/>
    <w:rsid w:val="002117A9"/>
    <w:rsid w:val="00212C30"/>
    <w:rsid w:val="00214928"/>
    <w:rsid w:val="00214A00"/>
    <w:rsid w:val="00214CDC"/>
    <w:rsid w:val="00215607"/>
    <w:rsid w:val="0021599D"/>
    <w:rsid w:val="00216D53"/>
    <w:rsid w:val="00216F09"/>
    <w:rsid w:val="002171E4"/>
    <w:rsid w:val="002172BB"/>
    <w:rsid w:val="00220D7A"/>
    <w:rsid w:val="00223126"/>
    <w:rsid w:val="0022333D"/>
    <w:rsid w:val="00223854"/>
    <w:rsid w:val="00223C57"/>
    <w:rsid w:val="00224239"/>
    <w:rsid w:val="002251AC"/>
    <w:rsid w:val="002253A3"/>
    <w:rsid w:val="00225B42"/>
    <w:rsid w:val="00225BDD"/>
    <w:rsid w:val="00226640"/>
    <w:rsid w:val="0022680E"/>
    <w:rsid w:val="00226B7C"/>
    <w:rsid w:val="00226F94"/>
    <w:rsid w:val="002274C8"/>
    <w:rsid w:val="0023156A"/>
    <w:rsid w:val="0023307D"/>
    <w:rsid w:val="002344EF"/>
    <w:rsid w:val="002364DB"/>
    <w:rsid w:val="00236A92"/>
    <w:rsid w:val="002375BB"/>
    <w:rsid w:val="00240BC2"/>
    <w:rsid w:val="00240C20"/>
    <w:rsid w:val="00240DC3"/>
    <w:rsid w:val="0024139D"/>
    <w:rsid w:val="00241444"/>
    <w:rsid w:val="00241D14"/>
    <w:rsid w:val="00242E08"/>
    <w:rsid w:val="00243197"/>
    <w:rsid w:val="00243B5B"/>
    <w:rsid w:val="00244475"/>
    <w:rsid w:val="00244495"/>
    <w:rsid w:val="0024475F"/>
    <w:rsid w:val="00244B5B"/>
    <w:rsid w:val="00245238"/>
    <w:rsid w:val="00245401"/>
    <w:rsid w:val="00245C84"/>
    <w:rsid w:val="002463D3"/>
    <w:rsid w:val="002479B5"/>
    <w:rsid w:val="00250DF1"/>
    <w:rsid w:val="00252041"/>
    <w:rsid w:val="002523DF"/>
    <w:rsid w:val="002539B5"/>
    <w:rsid w:val="00253A42"/>
    <w:rsid w:val="00253C84"/>
    <w:rsid w:val="00256149"/>
    <w:rsid w:val="00256B14"/>
    <w:rsid w:val="00257B8E"/>
    <w:rsid w:val="00260417"/>
    <w:rsid w:val="002604DD"/>
    <w:rsid w:val="00260EAD"/>
    <w:rsid w:val="00260F8B"/>
    <w:rsid w:val="00261225"/>
    <w:rsid w:val="00261385"/>
    <w:rsid w:val="00262CBD"/>
    <w:rsid w:val="00263809"/>
    <w:rsid w:val="00263F86"/>
    <w:rsid w:val="0026497A"/>
    <w:rsid w:val="00264DBF"/>
    <w:rsid w:val="00264EF8"/>
    <w:rsid w:val="0026546D"/>
    <w:rsid w:val="00265918"/>
    <w:rsid w:val="00265FF3"/>
    <w:rsid w:val="0026710C"/>
    <w:rsid w:val="00270301"/>
    <w:rsid w:val="0027090C"/>
    <w:rsid w:val="002710AF"/>
    <w:rsid w:val="00271D2A"/>
    <w:rsid w:val="00271EA5"/>
    <w:rsid w:val="00272132"/>
    <w:rsid w:val="00272783"/>
    <w:rsid w:val="00274AF7"/>
    <w:rsid w:val="00274F40"/>
    <w:rsid w:val="0027539F"/>
    <w:rsid w:val="00277DE9"/>
    <w:rsid w:val="0028052D"/>
    <w:rsid w:val="002805B7"/>
    <w:rsid w:val="00280CE6"/>
    <w:rsid w:val="00281D91"/>
    <w:rsid w:val="00282500"/>
    <w:rsid w:val="00282C2A"/>
    <w:rsid w:val="0028446F"/>
    <w:rsid w:val="002847AE"/>
    <w:rsid w:val="00284AC8"/>
    <w:rsid w:val="00285272"/>
    <w:rsid w:val="00286899"/>
    <w:rsid w:val="00286C8B"/>
    <w:rsid w:val="0028723B"/>
    <w:rsid w:val="00287D41"/>
    <w:rsid w:val="0029091A"/>
    <w:rsid w:val="00290C40"/>
    <w:rsid w:val="0029118F"/>
    <w:rsid w:val="00292ED0"/>
    <w:rsid w:val="00294329"/>
    <w:rsid w:val="002945DF"/>
    <w:rsid w:val="0029528F"/>
    <w:rsid w:val="002A2102"/>
    <w:rsid w:val="002A28DB"/>
    <w:rsid w:val="002A3754"/>
    <w:rsid w:val="002A399E"/>
    <w:rsid w:val="002A3EAE"/>
    <w:rsid w:val="002A49EB"/>
    <w:rsid w:val="002A5786"/>
    <w:rsid w:val="002A6BF6"/>
    <w:rsid w:val="002A739D"/>
    <w:rsid w:val="002A7837"/>
    <w:rsid w:val="002B0E72"/>
    <w:rsid w:val="002B59E1"/>
    <w:rsid w:val="002B62EA"/>
    <w:rsid w:val="002B6F31"/>
    <w:rsid w:val="002B7808"/>
    <w:rsid w:val="002B7D18"/>
    <w:rsid w:val="002C050B"/>
    <w:rsid w:val="002C0DFB"/>
    <w:rsid w:val="002C0F45"/>
    <w:rsid w:val="002C17B8"/>
    <w:rsid w:val="002C18BF"/>
    <w:rsid w:val="002C1D09"/>
    <w:rsid w:val="002C2968"/>
    <w:rsid w:val="002C3130"/>
    <w:rsid w:val="002C4006"/>
    <w:rsid w:val="002C4010"/>
    <w:rsid w:val="002C4089"/>
    <w:rsid w:val="002C4C66"/>
    <w:rsid w:val="002C56BB"/>
    <w:rsid w:val="002C65E1"/>
    <w:rsid w:val="002C6901"/>
    <w:rsid w:val="002C723B"/>
    <w:rsid w:val="002C7E9C"/>
    <w:rsid w:val="002D0241"/>
    <w:rsid w:val="002D1136"/>
    <w:rsid w:val="002D1A7C"/>
    <w:rsid w:val="002D1F53"/>
    <w:rsid w:val="002D2C4C"/>
    <w:rsid w:val="002D3059"/>
    <w:rsid w:val="002D42F7"/>
    <w:rsid w:val="002D6CD8"/>
    <w:rsid w:val="002D7AA2"/>
    <w:rsid w:val="002E2853"/>
    <w:rsid w:val="002E2B3B"/>
    <w:rsid w:val="002E3C24"/>
    <w:rsid w:val="002E3C26"/>
    <w:rsid w:val="002E5EB7"/>
    <w:rsid w:val="002E6042"/>
    <w:rsid w:val="002E61E7"/>
    <w:rsid w:val="002E6373"/>
    <w:rsid w:val="002E659F"/>
    <w:rsid w:val="002E701A"/>
    <w:rsid w:val="002E7518"/>
    <w:rsid w:val="002E7CC2"/>
    <w:rsid w:val="002E7F19"/>
    <w:rsid w:val="002F1053"/>
    <w:rsid w:val="002F2A96"/>
    <w:rsid w:val="002F346B"/>
    <w:rsid w:val="002F3621"/>
    <w:rsid w:val="002F3E65"/>
    <w:rsid w:val="002F49C1"/>
    <w:rsid w:val="002F62F6"/>
    <w:rsid w:val="002F6457"/>
    <w:rsid w:val="002F7AA1"/>
    <w:rsid w:val="00300561"/>
    <w:rsid w:val="00301E13"/>
    <w:rsid w:val="003020D7"/>
    <w:rsid w:val="003021A4"/>
    <w:rsid w:val="00302470"/>
    <w:rsid w:val="003035D8"/>
    <w:rsid w:val="0030392F"/>
    <w:rsid w:val="00303ED1"/>
    <w:rsid w:val="0030433C"/>
    <w:rsid w:val="003061EA"/>
    <w:rsid w:val="003066ED"/>
    <w:rsid w:val="00306FE4"/>
    <w:rsid w:val="00307664"/>
    <w:rsid w:val="00307856"/>
    <w:rsid w:val="00311C9F"/>
    <w:rsid w:val="00314FD6"/>
    <w:rsid w:val="00315538"/>
    <w:rsid w:val="0031647A"/>
    <w:rsid w:val="0032192C"/>
    <w:rsid w:val="00323E1A"/>
    <w:rsid w:val="00323F29"/>
    <w:rsid w:val="003240B6"/>
    <w:rsid w:val="0032424B"/>
    <w:rsid w:val="003248A2"/>
    <w:rsid w:val="00325387"/>
    <w:rsid w:val="003255E2"/>
    <w:rsid w:val="003265B0"/>
    <w:rsid w:val="00326700"/>
    <w:rsid w:val="00327473"/>
    <w:rsid w:val="003275CF"/>
    <w:rsid w:val="00330519"/>
    <w:rsid w:val="00331369"/>
    <w:rsid w:val="00331A03"/>
    <w:rsid w:val="00331B19"/>
    <w:rsid w:val="00331ED0"/>
    <w:rsid w:val="00333154"/>
    <w:rsid w:val="00333568"/>
    <w:rsid w:val="00334505"/>
    <w:rsid w:val="003347FF"/>
    <w:rsid w:val="00335192"/>
    <w:rsid w:val="003370D7"/>
    <w:rsid w:val="00337F90"/>
    <w:rsid w:val="003400BD"/>
    <w:rsid w:val="00340C7C"/>
    <w:rsid w:val="00340FAF"/>
    <w:rsid w:val="003413BA"/>
    <w:rsid w:val="0034314F"/>
    <w:rsid w:val="0034561A"/>
    <w:rsid w:val="0034597B"/>
    <w:rsid w:val="00346A65"/>
    <w:rsid w:val="00347383"/>
    <w:rsid w:val="00350202"/>
    <w:rsid w:val="00350536"/>
    <w:rsid w:val="00350AE7"/>
    <w:rsid w:val="00350B31"/>
    <w:rsid w:val="003521B4"/>
    <w:rsid w:val="003529D7"/>
    <w:rsid w:val="00352D8F"/>
    <w:rsid w:val="00353118"/>
    <w:rsid w:val="00353754"/>
    <w:rsid w:val="003538BF"/>
    <w:rsid w:val="00353B0F"/>
    <w:rsid w:val="0035409D"/>
    <w:rsid w:val="003546D4"/>
    <w:rsid w:val="00355230"/>
    <w:rsid w:val="003555BF"/>
    <w:rsid w:val="0035713E"/>
    <w:rsid w:val="00357441"/>
    <w:rsid w:val="0036008C"/>
    <w:rsid w:val="003613FE"/>
    <w:rsid w:val="003615E5"/>
    <w:rsid w:val="00361D12"/>
    <w:rsid w:val="0036295C"/>
    <w:rsid w:val="0036367F"/>
    <w:rsid w:val="00363E3F"/>
    <w:rsid w:val="003642E6"/>
    <w:rsid w:val="0036464C"/>
    <w:rsid w:val="00365B54"/>
    <w:rsid w:val="00367553"/>
    <w:rsid w:val="00367941"/>
    <w:rsid w:val="003679B2"/>
    <w:rsid w:val="003703C5"/>
    <w:rsid w:val="003707FB"/>
    <w:rsid w:val="00370923"/>
    <w:rsid w:val="00373609"/>
    <w:rsid w:val="003736E3"/>
    <w:rsid w:val="00373B5C"/>
    <w:rsid w:val="003745A9"/>
    <w:rsid w:val="00374BFD"/>
    <w:rsid w:val="0037610A"/>
    <w:rsid w:val="0037728D"/>
    <w:rsid w:val="0038047B"/>
    <w:rsid w:val="00381CF3"/>
    <w:rsid w:val="00382D6E"/>
    <w:rsid w:val="00384841"/>
    <w:rsid w:val="00385953"/>
    <w:rsid w:val="00387FC5"/>
    <w:rsid w:val="00390A11"/>
    <w:rsid w:val="00390C4B"/>
    <w:rsid w:val="003925F3"/>
    <w:rsid w:val="00393D86"/>
    <w:rsid w:val="003941B7"/>
    <w:rsid w:val="00394957"/>
    <w:rsid w:val="00395580"/>
    <w:rsid w:val="00395756"/>
    <w:rsid w:val="00395916"/>
    <w:rsid w:val="00395E22"/>
    <w:rsid w:val="0039730D"/>
    <w:rsid w:val="00397CCD"/>
    <w:rsid w:val="003A0CAE"/>
    <w:rsid w:val="003A0D83"/>
    <w:rsid w:val="003A0F89"/>
    <w:rsid w:val="003A11EF"/>
    <w:rsid w:val="003A1AD5"/>
    <w:rsid w:val="003A1FB1"/>
    <w:rsid w:val="003A36C5"/>
    <w:rsid w:val="003A37D1"/>
    <w:rsid w:val="003A3AB6"/>
    <w:rsid w:val="003A3C4F"/>
    <w:rsid w:val="003A4625"/>
    <w:rsid w:val="003A47FA"/>
    <w:rsid w:val="003A48E2"/>
    <w:rsid w:val="003A49AB"/>
    <w:rsid w:val="003A501A"/>
    <w:rsid w:val="003A53D5"/>
    <w:rsid w:val="003A5766"/>
    <w:rsid w:val="003A5B88"/>
    <w:rsid w:val="003A5BBA"/>
    <w:rsid w:val="003A625F"/>
    <w:rsid w:val="003A7040"/>
    <w:rsid w:val="003B207A"/>
    <w:rsid w:val="003B23A1"/>
    <w:rsid w:val="003B286A"/>
    <w:rsid w:val="003B2D78"/>
    <w:rsid w:val="003B4628"/>
    <w:rsid w:val="003B4A4F"/>
    <w:rsid w:val="003B4C54"/>
    <w:rsid w:val="003B51DD"/>
    <w:rsid w:val="003B5D33"/>
    <w:rsid w:val="003B6B77"/>
    <w:rsid w:val="003B7003"/>
    <w:rsid w:val="003B772B"/>
    <w:rsid w:val="003C047F"/>
    <w:rsid w:val="003C1FF2"/>
    <w:rsid w:val="003C256A"/>
    <w:rsid w:val="003C2ED1"/>
    <w:rsid w:val="003C388F"/>
    <w:rsid w:val="003C3F4D"/>
    <w:rsid w:val="003C5993"/>
    <w:rsid w:val="003C652D"/>
    <w:rsid w:val="003C7A07"/>
    <w:rsid w:val="003D041E"/>
    <w:rsid w:val="003D1058"/>
    <w:rsid w:val="003D11EB"/>
    <w:rsid w:val="003D1824"/>
    <w:rsid w:val="003D1C27"/>
    <w:rsid w:val="003D20EC"/>
    <w:rsid w:val="003D25F2"/>
    <w:rsid w:val="003D2819"/>
    <w:rsid w:val="003D382F"/>
    <w:rsid w:val="003D3DB3"/>
    <w:rsid w:val="003D4C33"/>
    <w:rsid w:val="003D59D9"/>
    <w:rsid w:val="003D5ED4"/>
    <w:rsid w:val="003D6DF0"/>
    <w:rsid w:val="003D782F"/>
    <w:rsid w:val="003E08CC"/>
    <w:rsid w:val="003E1C41"/>
    <w:rsid w:val="003E3D2C"/>
    <w:rsid w:val="003E4FA9"/>
    <w:rsid w:val="003E55AD"/>
    <w:rsid w:val="003E6059"/>
    <w:rsid w:val="003E61E0"/>
    <w:rsid w:val="003E6F3A"/>
    <w:rsid w:val="003E7A4F"/>
    <w:rsid w:val="003F0041"/>
    <w:rsid w:val="003F03B0"/>
    <w:rsid w:val="003F0BAC"/>
    <w:rsid w:val="003F1C1F"/>
    <w:rsid w:val="003F31CF"/>
    <w:rsid w:val="003F52B6"/>
    <w:rsid w:val="003F6007"/>
    <w:rsid w:val="00400D06"/>
    <w:rsid w:val="004010A4"/>
    <w:rsid w:val="00401D35"/>
    <w:rsid w:val="00402BA0"/>
    <w:rsid w:val="00403FB9"/>
    <w:rsid w:val="00404AFA"/>
    <w:rsid w:val="004054A6"/>
    <w:rsid w:val="004076AA"/>
    <w:rsid w:val="00410C91"/>
    <w:rsid w:val="00412237"/>
    <w:rsid w:val="00412CFC"/>
    <w:rsid w:val="00412FBC"/>
    <w:rsid w:val="004145D4"/>
    <w:rsid w:val="00415451"/>
    <w:rsid w:val="004159EE"/>
    <w:rsid w:val="00415ECA"/>
    <w:rsid w:val="00416BA9"/>
    <w:rsid w:val="00416EC0"/>
    <w:rsid w:val="00417492"/>
    <w:rsid w:val="00420176"/>
    <w:rsid w:val="00420359"/>
    <w:rsid w:val="00420440"/>
    <w:rsid w:val="00424E62"/>
    <w:rsid w:val="004257E7"/>
    <w:rsid w:val="004266AA"/>
    <w:rsid w:val="00426820"/>
    <w:rsid w:val="00426934"/>
    <w:rsid w:val="00427503"/>
    <w:rsid w:val="004301B3"/>
    <w:rsid w:val="004302AC"/>
    <w:rsid w:val="004305B5"/>
    <w:rsid w:val="00430DDD"/>
    <w:rsid w:val="004317AE"/>
    <w:rsid w:val="00431B1D"/>
    <w:rsid w:val="00432497"/>
    <w:rsid w:val="00432A9A"/>
    <w:rsid w:val="00433306"/>
    <w:rsid w:val="0043555D"/>
    <w:rsid w:val="00437296"/>
    <w:rsid w:val="00437895"/>
    <w:rsid w:val="00437F8C"/>
    <w:rsid w:val="0044104B"/>
    <w:rsid w:val="00441916"/>
    <w:rsid w:val="00441C1E"/>
    <w:rsid w:val="004429DF"/>
    <w:rsid w:val="004438FA"/>
    <w:rsid w:val="004450BB"/>
    <w:rsid w:val="00445178"/>
    <w:rsid w:val="00445EF9"/>
    <w:rsid w:val="0044690D"/>
    <w:rsid w:val="00446E29"/>
    <w:rsid w:val="0044709D"/>
    <w:rsid w:val="00450DE9"/>
    <w:rsid w:val="00451199"/>
    <w:rsid w:val="00452265"/>
    <w:rsid w:val="00452AEC"/>
    <w:rsid w:val="00453606"/>
    <w:rsid w:val="00453DD0"/>
    <w:rsid w:val="00454141"/>
    <w:rsid w:val="0045421B"/>
    <w:rsid w:val="00455690"/>
    <w:rsid w:val="004557A4"/>
    <w:rsid w:val="004560F0"/>
    <w:rsid w:val="00456FEE"/>
    <w:rsid w:val="004573C7"/>
    <w:rsid w:val="00457830"/>
    <w:rsid w:val="00460434"/>
    <w:rsid w:val="00460438"/>
    <w:rsid w:val="004611B5"/>
    <w:rsid w:val="00461925"/>
    <w:rsid w:val="00462B52"/>
    <w:rsid w:val="0046383F"/>
    <w:rsid w:val="00463DC2"/>
    <w:rsid w:val="004640C9"/>
    <w:rsid w:val="00464A2C"/>
    <w:rsid w:val="00465D7E"/>
    <w:rsid w:val="004662ED"/>
    <w:rsid w:val="00467CB6"/>
    <w:rsid w:val="00470066"/>
    <w:rsid w:val="0047070F"/>
    <w:rsid w:val="00470CE4"/>
    <w:rsid w:val="00471616"/>
    <w:rsid w:val="00471872"/>
    <w:rsid w:val="0047372A"/>
    <w:rsid w:val="00473F4A"/>
    <w:rsid w:val="00474C95"/>
    <w:rsid w:val="00475BC5"/>
    <w:rsid w:val="00476113"/>
    <w:rsid w:val="004800B4"/>
    <w:rsid w:val="00480E2C"/>
    <w:rsid w:val="004813DC"/>
    <w:rsid w:val="00481C2E"/>
    <w:rsid w:val="0048325A"/>
    <w:rsid w:val="004832BC"/>
    <w:rsid w:val="00484D70"/>
    <w:rsid w:val="00484F7F"/>
    <w:rsid w:val="0048601D"/>
    <w:rsid w:val="004861A6"/>
    <w:rsid w:val="00486518"/>
    <w:rsid w:val="0048674F"/>
    <w:rsid w:val="00486DD1"/>
    <w:rsid w:val="0049034B"/>
    <w:rsid w:val="00491E0F"/>
    <w:rsid w:val="00492B54"/>
    <w:rsid w:val="0049349A"/>
    <w:rsid w:val="00494DB8"/>
    <w:rsid w:val="00494E14"/>
    <w:rsid w:val="004952B0"/>
    <w:rsid w:val="00495CB9"/>
    <w:rsid w:val="00495DF5"/>
    <w:rsid w:val="00496BED"/>
    <w:rsid w:val="00496C49"/>
    <w:rsid w:val="004A0542"/>
    <w:rsid w:val="004A1298"/>
    <w:rsid w:val="004A13B2"/>
    <w:rsid w:val="004A1448"/>
    <w:rsid w:val="004A2A44"/>
    <w:rsid w:val="004A2B6A"/>
    <w:rsid w:val="004A3768"/>
    <w:rsid w:val="004A37DF"/>
    <w:rsid w:val="004A4F76"/>
    <w:rsid w:val="004A5E19"/>
    <w:rsid w:val="004A76E5"/>
    <w:rsid w:val="004B0FC5"/>
    <w:rsid w:val="004B1F58"/>
    <w:rsid w:val="004B25C7"/>
    <w:rsid w:val="004B2C79"/>
    <w:rsid w:val="004B42EC"/>
    <w:rsid w:val="004B451B"/>
    <w:rsid w:val="004B4823"/>
    <w:rsid w:val="004B63C6"/>
    <w:rsid w:val="004C0DC7"/>
    <w:rsid w:val="004C17FC"/>
    <w:rsid w:val="004C1AC7"/>
    <w:rsid w:val="004C267D"/>
    <w:rsid w:val="004C2CE1"/>
    <w:rsid w:val="004C310C"/>
    <w:rsid w:val="004C3CF8"/>
    <w:rsid w:val="004C48BF"/>
    <w:rsid w:val="004C5168"/>
    <w:rsid w:val="004C5330"/>
    <w:rsid w:val="004C5996"/>
    <w:rsid w:val="004C5E41"/>
    <w:rsid w:val="004C76CB"/>
    <w:rsid w:val="004C785A"/>
    <w:rsid w:val="004C78F4"/>
    <w:rsid w:val="004C7F14"/>
    <w:rsid w:val="004D0128"/>
    <w:rsid w:val="004D0BA6"/>
    <w:rsid w:val="004D1B57"/>
    <w:rsid w:val="004D2189"/>
    <w:rsid w:val="004D2389"/>
    <w:rsid w:val="004D25A0"/>
    <w:rsid w:val="004D2A7D"/>
    <w:rsid w:val="004D2AD5"/>
    <w:rsid w:val="004D3D9C"/>
    <w:rsid w:val="004D4850"/>
    <w:rsid w:val="004D4897"/>
    <w:rsid w:val="004D5BD7"/>
    <w:rsid w:val="004D5CF0"/>
    <w:rsid w:val="004D6EA7"/>
    <w:rsid w:val="004D7666"/>
    <w:rsid w:val="004D7775"/>
    <w:rsid w:val="004E08A7"/>
    <w:rsid w:val="004E2224"/>
    <w:rsid w:val="004E245A"/>
    <w:rsid w:val="004E30FD"/>
    <w:rsid w:val="004E356C"/>
    <w:rsid w:val="004E360D"/>
    <w:rsid w:val="004E399A"/>
    <w:rsid w:val="004E3C87"/>
    <w:rsid w:val="004E3CD3"/>
    <w:rsid w:val="004E4484"/>
    <w:rsid w:val="004E4B06"/>
    <w:rsid w:val="004E4D4F"/>
    <w:rsid w:val="004E5F09"/>
    <w:rsid w:val="004E63B9"/>
    <w:rsid w:val="004E63E9"/>
    <w:rsid w:val="004E6643"/>
    <w:rsid w:val="004E6A9A"/>
    <w:rsid w:val="004E7760"/>
    <w:rsid w:val="004F0577"/>
    <w:rsid w:val="004F0932"/>
    <w:rsid w:val="004F0CE6"/>
    <w:rsid w:val="004F0ED9"/>
    <w:rsid w:val="004F1852"/>
    <w:rsid w:val="004F19F2"/>
    <w:rsid w:val="004F1EBD"/>
    <w:rsid w:val="004F2127"/>
    <w:rsid w:val="004F4C54"/>
    <w:rsid w:val="004F4FB1"/>
    <w:rsid w:val="004F5303"/>
    <w:rsid w:val="004F5518"/>
    <w:rsid w:val="004F6521"/>
    <w:rsid w:val="004F7559"/>
    <w:rsid w:val="004F7CFD"/>
    <w:rsid w:val="004F7F74"/>
    <w:rsid w:val="00500581"/>
    <w:rsid w:val="00500DBF"/>
    <w:rsid w:val="00502CAF"/>
    <w:rsid w:val="00503564"/>
    <w:rsid w:val="005038D0"/>
    <w:rsid w:val="00503D65"/>
    <w:rsid w:val="00504F22"/>
    <w:rsid w:val="0050640F"/>
    <w:rsid w:val="0050677D"/>
    <w:rsid w:val="00510B83"/>
    <w:rsid w:val="00510E37"/>
    <w:rsid w:val="00512682"/>
    <w:rsid w:val="00512D31"/>
    <w:rsid w:val="005144D3"/>
    <w:rsid w:val="0051566A"/>
    <w:rsid w:val="0051655D"/>
    <w:rsid w:val="005166CE"/>
    <w:rsid w:val="00520A06"/>
    <w:rsid w:val="00520E3B"/>
    <w:rsid w:val="0052139E"/>
    <w:rsid w:val="00522082"/>
    <w:rsid w:val="00522B1E"/>
    <w:rsid w:val="005235E7"/>
    <w:rsid w:val="00524327"/>
    <w:rsid w:val="005249E0"/>
    <w:rsid w:val="00525241"/>
    <w:rsid w:val="005254E7"/>
    <w:rsid w:val="005267F0"/>
    <w:rsid w:val="00526D22"/>
    <w:rsid w:val="00526FDD"/>
    <w:rsid w:val="00527237"/>
    <w:rsid w:val="0053260A"/>
    <w:rsid w:val="00532C2E"/>
    <w:rsid w:val="00534243"/>
    <w:rsid w:val="0053438C"/>
    <w:rsid w:val="00535576"/>
    <w:rsid w:val="00535C9E"/>
    <w:rsid w:val="00536898"/>
    <w:rsid w:val="00537009"/>
    <w:rsid w:val="0053768C"/>
    <w:rsid w:val="00537DE5"/>
    <w:rsid w:val="00537E44"/>
    <w:rsid w:val="005406F8"/>
    <w:rsid w:val="00541D0A"/>
    <w:rsid w:val="00542512"/>
    <w:rsid w:val="005434E5"/>
    <w:rsid w:val="00543F82"/>
    <w:rsid w:val="00544173"/>
    <w:rsid w:val="0054513C"/>
    <w:rsid w:val="00545621"/>
    <w:rsid w:val="00545EBA"/>
    <w:rsid w:val="00546242"/>
    <w:rsid w:val="00546629"/>
    <w:rsid w:val="00546B5B"/>
    <w:rsid w:val="00546FC1"/>
    <w:rsid w:val="00551B6C"/>
    <w:rsid w:val="0055248B"/>
    <w:rsid w:val="00552767"/>
    <w:rsid w:val="00552804"/>
    <w:rsid w:val="00552F0F"/>
    <w:rsid w:val="00554432"/>
    <w:rsid w:val="005553BF"/>
    <w:rsid w:val="005557D5"/>
    <w:rsid w:val="005558BF"/>
    <w:rsid w:val="00555C44"/>
    <w:rsid w:val="005562A3"/>
    <w:rsid w:val="00556692"/>
    <w:rsid w:val="00556F7A"/>
    <w:rsid w:val="0056004E"/>
    <w:rsid w:val="0056041E"/>
    <w:rsid w:val="005629A4"/>
    <w:rsid w:val="00563005"/>
    <w:rsid w:val="0056303A"/>
    <w:rsid w:val="00565546"/>
    <w:rsid w:val="00566F00"/>
    <w:rsid w:val="00567423"/>
    <w:rsid w:val="0056795E"/>
    <w:rsid w:val="005707EC"/>
    <w:rsid w:val="00571F70"/>
    <w:rsid w:val="005732B5"/>
    <w:rsid w:val="00574018"/>
    <w:rsid w:val="005743C2"/>
    <w:rsid w:val="005747C0"/>
    <w:rsid w:val="00576102"/>
    <w:rsid w:val="005767EE"/>
    <w:rsid w:val="00576DE9"/>
    <w:rsid w:val="00576F48"/>
    <w:rsid w:val="00577536"/>
    <w:rsid w:val="00577551"/>
    <w:rsid w:val="00577601"/>
    <w:rsid w:val="005808F7"/>
    <w:rsid w:val="00580BE1"/>
    <w:rsid w:val="00581E7C"/>
    <w:rsid w:val="00583CF6"/>
    <w:rsid w:val="0058447D"/>
    <w:rsid w:val="0058605E"/>
    <w:rsid w:val="00587252"/>
    <w:rsid w:val="005878D4"/>
    <w:rsid w:val="0059139D"/>
    <w:rsid w:val="005928F8"/>
    <w:rsid w:val="00592D67"/>
    <w:rsid w:val="0059594C"/>
    <w:rsid w:val="00595978"/>
    <w:rsid w:val="00595D6F"/>
    <w:rsid w:val="00597B95"/>
    <w:rsid w:val="00597C5F"/>
    <w:rsid w:val="005A023A"/>
    <w:rsid w:val="005A057D"/>
    <w:rsid w:val="005A1397"/>
    <w:rsid w:val="005A288A"/>
    <w:rsid w:val="005A3253"/>
    <w:rsid w:val="005A4CAE"/>
    <w:rsid w:val="005A5090"/>
    <w:rsid w:val="005A5595"/>
    <w:rsid w:val="005A5681"/>
    <w:rsid w:val="005A6878"/>
    <w:rsid w:val="005B1187"/>
    <w:rsid w:val="005B12D6"/>
    <w:rsid w:val="005B1526"/>
    <w:rsid w:val="005B1BC6"/>
    <w:rsid w:val="005B24AF"/>
    <w:rsid w:val="005B260D"/>
    <w:rsid w:val="005B338B"/>
    <w:rsid w:val="005B37B3"/>
    <w:rsid w:val="005B3B43"/>
    <w:rsid w:val="005B40B2"/>
    <w:rsid w:val="005B505F"/>
    <w:rsid w:val="005B6048"/>
    <w:rsid w:val="005B656A"/>
    <w:rsid w:val="005B6D17"/>
    <w:rsid w:val="005B7344"/>
    <w:rsid w:val="005C038C"/>
    <w:rsid w:val="005C080B"/>
    <w:rsid w:val="005C2FD6"/>
    <w:rsid w:val="005C3781"/>
    <w:rsid w:val="005C46A2"/>
    <w:rsid w:val="005C4C97"/>
    <w:rsid w:val="005C5576"/>
    <w:rsid w:val="005C5916"/>
    <w:rsid w:val="005C60A8"/>
    <w:rsid w:val="005C6698"/>
    <w:rsid w:val="005C6C80"/>
    <w:rsid w:val="005C6C82"/>
    <w:rsid w:val="005C6FF2"/>
    <w:rsid w:val="005C7291"/>
    <w:rsid w:val="005C7D33"/>
    <w:rsid w:val="005D0463"/>
    <w:rsid w:val="005D04FC"/>
    <w:rsid w:val="005D1126"/>
    <w:rsid w:val="005D15DA"/>
    <w:rsid w:val="005D22C7"/>
    <w:rsid w:val="005D2DF9"/>
    <w:rsid w:val="005D60F8"/>
    <w:rsid w:val="005D6F6A"/>
    <w:rsid w:val="005D73FC"/>
    <w:rsid w:val="005D7CEC"/>
    <w:rsid w:val="005D7E64"/>
    <w:rsid w:val="005E0D7C"/>
    <w:rsid w:val="005E0EED"/>
    <w:rsid w:val="005E1ACD"/>
    <w:rsid w:val="005E2404"/>
    <w:rsid w:val="005E32CB"/>
    <w:rsid w:val="005E545C"/>
    <w:rsid w:val="005E5509"/>
    <w:rsid w:val="005E5665"/>
    <w:rsid w:val="005E58A5"/>
    <w:rsid w:val="005E5A39"/>
    <w:rsid w:val="005E5AE4"/>
    <w:rsid w:val="005E62FC"/>
    <w:rsid w:val="005E69D5"/>
    <w:rsid w:val="005E78ED"/>
    <w:rsid w:val="005F0F3F"/>
    <w:rsid w:val="005F12FD"/>
    <w:rsid w:val="005F14C6"/>
    <w:rsid w:val="005F1B1F"/>
    <w:rsid w:val="005F2AE6"/>
    <w:rsid w:val="005F359C"/>
    <w:rsid w:val="005F54AF"/>
    <w:rsid w:val="005F64C5"/>
    <w:rsid w:val="005F6713"/>
    <w:rsid w:val="005F6EC9"/>
    <w:rsid w:val="00600CF9"/>
    <w:rsid w:val="00600DD1"/>
    <w:rsid w:val="00601357"/>
    <w:rsid w:val="00601682"/>
    <w:rsid w:val="00601684"/>
    <w:rsid w:val="00602433"/>
    <w:rsid w:val="00602F35"/>
    <w:rsid w:val="006033D0"/>
    <w:rsid w:val="00603452"/>
    <w:rsid w:val="0060367B"/>
    <w:rsid w:val="00603752"/>
    <w:rsid w:val="00605861"/>
    <w:rsid w:val="0061023B"/>
    <w:rsid w:val="00611A63"/>
    <w:rsid w:val="00611AE6"/>
    <w:rsid w:val="00611C73"/>
    <w:rsid w:val="006134C1"/>
    <w:rsid w:val="0061364D"/>
    <w:rsid w:val="00613AF0"/>
    <w:rsid w:val="006154CF"/>
    <w:rsid w:val="00615B2C"/>
    <w:rsid w:val="00616A6B"/>
    <w:rsid w:val="00616D71"/>
    <w:rsid w:val="00620A56"/>
    <w:rsid w:val="00620A6A"/>
    <w:rsid w:val="0062167E"/>
    <w:rsid w:val="00621E7D"/>
    <w:rsid w:val="006225E3"/>
    <w:rsid w:val="00622AC3"/>
    <w:rsid w:val="00623827"/>
    <w:rsid w:val="00624C3E"/>
    <w:rsid w:val="0062669F"/>
    <w:rsid w:val="006267C1"/>
    <w:rsid w:val="006277CC"/>
    <w:rsid w:val="006279DF"/>
    <w:rsid w:val="0063023D"/>
    <w:rsid w:val="006319B2"/>
    <w:rsid w:val="00633547"/>
    <w:rsid w:val="00633559"/>
    <w:rsid w:val="006336EC"/>
    <w:rsid w:val="0063379D"/>
    <w:rsid w:val="0063472C"/>
    <w:rsid w:val="00634AB5"/>
    <w:rsid w:val="00634BB9"/>
    <w:rsid w:val="006358C9"/>
    <w:rsid w:val="006359E6"/>
    <w:rsid w:val="00635C1F"/>
    <w:rsid w:val="006403D2"/>
    <w:rsid w:val="006411D2"/>
    <w:rsid w:val="00642FA9"/>
    <w:rsid w:val="00644BD6"/>
    <w:rsid w:val="0064530A"/>
    <w:rsid w:val="00645A21"/>
    <w:rsid w:val="00645B26"/>
    <w:rsid w:val="00646951"/>
    <w:rsid w:val="00650A0C"/>
    <w:rsid w:val="00650D28"/>
    <w:rsid w:val="00651961"/>
    <w:rsid w:val="006521DC"/>
    <w:rsid w:val="006533FE"/>
    <w:rsid w:val="0065357B"/>
    <w:rsid w:val="00653F9A"/>
    <w:rsid w:val="00654128"/>
    <w:rsid w:val="0065434A"/>
    <w:rsid w:val="00654AC6"/>
    <w:rsid w:val="00654EBF"/>
    <w:rsid w:val="00657C23"/>
    <w:rsid w:val="00657E0F"/>
    <w:rsid w:val="006609E3"/>
    <w:rsid w:val="006617BD"/>
    <w:rsid w:val="00662C9F"/>
    <w:rsid w:val="00662CBA"/>
    <w:rsid w:val="006632BB"/>
    <w:rsid w:val="0066470A"/>
    <w:rsid w:val="00664AA3"/>
    <w:rsid w:val="00664C6E"/>
    <w:rsid w:val="00665167"/>
    <w:rsid w:val="00665CB4"/>
    <w:rsid w:val="006663C0"/>
    <w:rsid w:val="00666FBF"/>
    <w:rsid w:val="00667D60"/>
    <w:rsid w:val="00670392"/>
    <w:rsid w:val="00670485"/>
    <w:rsid w:val="00670E26"/>
    <w:rsid w:val="00671AD7"/>
    <w:rsid w:val="0067226E"/>
    <w:rsid w:val="00672395"/>
    <w:rsid w:val="00673046"/>
    <w:rsid w:val="00674552"/>
    <w:rsid w:val="00674AE4"/>
    <w:rsid w:val="00675826"/>
    <w:rsid w:val="00675DDF"/>
    <w:rsid w:val="00676A29"/>
    <w:rsid w:val="00677A6E"/>
    <w:rsid w:val="0068023B"/>
    <w:rsid w:val="00681534"/>
    <w:rsid w:val="006830B7"/>
    <w:rsid w:val="00683918"/>
    <w:rsid w:val="00683EA6"/>
    <w:rsid w:val="0068403E"/>
    <w:rsid w:val="00684600"/>
    <w:rsid w:val="00684FB7"/>
    <w:rsid w:val="00685520"/>
    <w:rsid w:val="00685CF9"/>
    <w:rsid w:val="00686C54"/>
    <w:rsid w:val="00687A98"/>
    <w:rsid w:val="0069090E"/>
    <w:rsid w:val="00691F67"/>
    <w:rsid w:val="0069290E"/>
    <w:rsid w:val="00693770"/>
    <w:rsid w:val="00693C4E"/>
    <w:rsid w:val="006945B6"/>
    <w:rsid w:val="0069501B"/>
    <w:rsid w:val="0069502A"/>
    <w:rsid w:val="0069552C"/>
    <w:rsid w:val="00695882"/>
    <w:rsid w:val="0069693E"/>
    <w:rsid w:val="00696AF3"/>
    <w:rsid w:val="0069728B"/>
    <w:rsid w:val="00697541"/>
    <w:rsid w:val="00697967"/>
    <w:rsid w:val="00697ACF"/>
    <w:rsid w:val="006A09E2"/>
    <w:rsid w:val="006A0A8F"/>
    <w:rsid w:val="006A100E"/>
    <w:rsid w:val="006A190E"/>
    <w:rsid w:val="006A2893"/>
    <w:rsid w:val="006A28DF"/>
    <w:rsid w:val="006A29A6"/>
    <w:rsid w:val="006A33D0"/>
    <w:rsid w:val="006A3561"/>
    <w:rsid w:val="006A37F5"/>
    <w:rsid w:val="006A3B9B"/>
    <w:rsid w:val="006A4036"/>
    <w:rsid w:val="006A4203"/>
    <w:rsid w:val="006A5697"/>
    <w:rsid w:val="006A5CB0"/>
    <w:rsid w:val="006A67A5"/>
    <w:rsid w:val="006A766C"/>
    <w:rsid w:val="006B0541"/>
    <w:rsid w:val="006B060A"/>
    <w:rsid w:val="006B0804"/>
    <w:rsid w:val="006B0A3E"/>
    <w:rsid w:val="006B0CEE"/>
    <w:rsid w:val="006B11D9"/>
    <w:rsid w:val="006B26E2"/>
    <w:rsid w:val="006B2D87"/>
    <w:rsid w:val="006B3681"/>
    <w:rsid w:val="006B36AF"/>
    <w:rsid w:val="006B5409"/>
    <w:rsid w:val="006B5899"/>
    <w:rsid w:val="006B65B2"/>
    <w:rsid w:val="006B6F64"/>
    <w:rsid w:val="006C0415"/>
    <w:rsid w:val="006C1708"/>
    <w:rsid w:val="006C1C1C"/>
    <w:rsid w:val="006C206A"/>
    <w:rsid w:val="006C4864"/>
    <w:rsid w:val="006C55F2"/>
    <w:rsid w:val="006C567B"/>
    <w:rsid w:val="006C5A44"/>
    <w:rsid w:val="006C5D72"/>
    <w:rsid w:val="006C642E"/>
    <w:rsid w:val="006C72F6"/>
    <w:rsid w:val="006C7CEF"/>
    <w:rsid w:val="006D198C"/>
    <w:rsid w:val="006D1FB6"/>
    <w:rsid w:val="006D3709"/>
    <w:rsid w:val="006D58ED"/>
    <w:rsid w:val="006D5C38"/>
    <w:rsid w:val="006D5C50"/>
    <w:rsid w:val="006D612F"/>
    <w:rsid w:val="006D6AAA"/>
    <w:rsid w:val="006D7263"/>
    <w:rsid w:val="006D798B"/>
    <w:rsid w:val="006D7CBE"/>
    <w:rsid w:val="006E052E"/>
    <w:rsid w:val="006E05C7"/>
    <w:rsid w:val="006E064D"/>
    <w:rsid w:val="006E068E"/>
    <w:rsid w:val="006E0DD2"/>
    <w:rsid w:val="006E1B48"/>
    <w:rsid w:val="006E23CA"/>
    <w:rsid w:val="006E342D"/>
    <w:rsid w:val="006E53A2"/>
    <w:rsid w:val="006E6176"/>
    <w:rsid w:val="006E646D"/>
    <w:rsid w:val="006F09C0"/>
    <w:rsid w:val="006F16C9"/>
    <w:rsid w:val="006F3215"/>
    <w:rsid w:val="006F4DE3"/>
    <w:rsid w:val="006F4FD6"/>
    <w:rsid w:val="006F520A"/>
    <w:rsid w:val="006F5E2B"/>
    <w:rsid w:val="006F626A"/>
    <w:rsid w:val="006F6695"/>
    <w:rsid w:val="006F6BC5"/>
    <w:rsid w:val="006F6D56"/>
    <w:rsid w:val="006F703E"/>
    <w:rsid w:val="006F782B"/>
    <w:rsid w:val="006F7D6B"/>
    <w:rsid w:val="00700133"/>
    <w:rsid w:val="00700500"/>
    <w:rsid w:val="00702271"/>
    <w:rsid w:val="007026D4"/>
    <w:rsid w:val="007028F0"/>
    <w:rsid w:val="00702B01"/>
    <w:rsid w:val="0070333F"/>
    <w:rsid w:val="00703464"/>
    <w:rsid w:val="00703A5D"/>
    <w:rsid w:val="00703B0E"/>
    <w:rsid w:val="0070426B"/>
    <w:rsid w:val="0070460F"/>
    <w:rsid w:val="00704A19"/>
    <w:rsid w:val="00705DBE"/>
    <w:rsid w:val="00706AF5"/>
    <w:rsid w:val="00707A94"/>
    <w:rsid w:val="00707BFA"/>
    <w:rsid w:val="00707DF3"/>
    <w:rsid w:val="00707F66"/>
    <w:rsid w:val="00711546"/>
    <w:rsid w:val="0071167C"/>
    <w:rsid w:val="007119AB"/>
    <w:rsid w:val="00711A92"/>
    <w:rsid w:val="007126D2"/>
    <w:rsid w:val="00715219"/>
    <w:rsid w:val="0071588D"/>
    <w:rsid w:val="00716569"/>
    <w:rsid w:val="007168E6"/>
    <w:rsid w:val="007179FE"/>
    <w:rsid w:val="00717A4D"/>
    <w:rsid w:val="00717B5E"/>
    <w:rsid w:val="00721180"/>
    <w:rsid w:val="0072137F"/>
    <w:rsid w:val="00721C4F"/>
    <w:rsid w:val="00721EA1"/>
    <w:rsid w:val="007221E7"/>
    <w:rsid w:val="0072231F"/>
    <w:rsid w:val="0072250A"/>
    <w:rsid w:val="00724062"/>
    <w:rsid w:val="007245AA"/>
    <w:rsid w:val="00726454"/>
    <w:rsid w:val="00726AA8"/>
    <w:rsid w:val="007308EC"/>
    <w:rsid w:val="00732B06"/>
    <w:rsid w:val="007330C5"/>
    <w:rsid w:val="00733180"/>
    <w:rsid w:val="00733621"/>
    <w:rsid w:val="00734B19"/>
    <w:rsid w:val="00735C5C"/>
    <w:rsid w:val="00735C85"/>
    <w:rsid w:val="007360D2"/>
    <w:rsid w:val="007361CA"/>
    <w:rsid w:val="007366E9"/>
    <w:rsid w:val="0073743D"/>
    <w:rsid w:val="007403B7"/>
    <w:rsid w:val="007407CC"/>
    <w:rsid w:val="007412BA"/>
    <w:rsid w:val="00741F43"/>
    <w:rsid w:val="00741FB4"/>
    <w:rsid w:val="007420EC"/>
    <w:rsid w:val="00743321"/>
    <w:rsid w:val="0074334B"/>
    <w:rsid w:val="0074346C"/>
    <w:rsid w:val="00745F04"/>
    <w:rsid w:val="00746B14"/>
    <w:rsid w:val="00746C81"/>
    <w:rsid w:val="007471BB"/>
    <w:rsid w:val="00747F49"/>
    <w:rsid w:val="00750663"/>
    <w:rsid w:val="007508D9"/>
    <w:rsid w:val="00750DE4"/>
    <w:rsid w:val="007516F9"/>
    <w:rsid w:val="0075300A"/>
    <w:rsid w:val="00753BA9"/>
    <w:rsid w:val="00753DE5"/>
    <w:rsid w:val="007550B2"/>
    <w:rsid w:val="007550E2"/>
    <w:rsid w:val="007556A7"/>
    <w:rsid w:val="0075650F"/>
    <w:rsid w:val="0075685E"/>
    <w:rsid w:val="00756D12"/>
    <w:rsid w:val="007572A2"/>
    <w:rsid w:val="007574F6"/>
    <w:rsid w:val="00757EEA"/>
    <w:rsid w:val="007601C3"/>
    <w:rsid w:val="007605EA"/>
    <w:rsid w:val="00761718"/>
    <w:rsid w:val="00761808"/>
    <w:rsid w:val="0076300E"/>
    <w:rsid w:val="007633D9"/>
    <w:rsid w:val="007635C2"/>
    <w:rsid w:val="00763614"/>
    <w:rsid w:val="00763DF3"/>
    <w:rsid w:val="00764248"/>
    <w:rsid w:val="00764A06"/>
    <w:rsid w:val="00766833"/>
    <w:rsid w:val="00766946"/>
    <w:rsid w:val="00766AA9"/>
    <w:rsid w:val="007676F9"/>
    <w:rsid w:val="007678EE"/>
    <w:rsid w:val="00767EB8"/>
    <w:rsid w:val="00770000"/>
    <w:rsid w:val="007700CB"/>
    <w:rsid w:val="00771D77"/>
    <w:rsid w:val="00772A22"/>
    <w:rsid w:val="00774F3F"/>
    <w:rsid w:val="0077539F"/>
    <w:rsid w:val="007753F6"/>
    <w:rsid w:val="00776A88"/>
    <w:rsid w:val="00777479"/>
    <w:rsid w:val="00777950"/>
    <w:rsid w:val="00780FD5"/>
    <w:rsid w:val="007833C4"/>
    <w:rsid w:val="00785A41"/>
    <w:rsid w:val="00790CDD"/>
    <w:rsid w:val="00791C69"/>
    <w:rsid w:val="00791C7B"/>
    <w:rsid w:val="007924CA"/>
    <w:rsid w:val="0079286D"/>
    <w:rsid w:val="00792A33"/>
    <w:rsid w:val="00792F0E"/>
    <w:rsid w:val="00794641"/>
    <w:rsid w:val="0079591A"/>
    <w:rsid w:val="007967F3"/>
    <w:rsid w:val="00796FAF"/>
    <w:rsid w:val="00797149"/>
    <w:rsid w:val="007973C8"/>
    <w:rsid w:val="00797B89"/>
    <w:rsid w:val="00797ED2"/>
    <w:rsid w:val="007A008E"/>
    <w:rsid w:val="007A0F14"/>
    <w:rsid w:val="007A1427"/>
    <w:rsid w:val="007A162D"/>
    <w:rsid w:val="007A1C4A"/>
    <w:rsid w:val="007A225F"/>
    <w:rsid w:val="007A2898"/>
    <w:rsid w:val="007A2E7E"/>
    <w:rsid w:val="007A411A"/>
    <w:rsid w:val="007A582F"/>
    <w:rsid w:val="007A59CC"/>
    <w:rsid w:val="007A7748"/>
    <w:rsid w:val="007B0171"/>
    <w:rsid w:val="007B0D32"/>
    <w:rsid w:val="007B3C6D"/>
    <w:rsid w:val="007B56C3"/>
    <w:rsid w:val="007B5852"/>
    <w:rsid w:val="007B5F59"/>
    <w:rsid w:val="007B62B4"/>
    <w:rsid w:val="007B6B5B"/>
    <w:rsid w:val="007B7E5A"/>
    <w:rsid w:val="007C0800"/>
    <w:rsid w:val="007C0DAC"/>
    <w:rsid w:val="007C1366"/>
    <w:rsid w:val="007C13E8"/>
    <w:rsid w:val="007C2737"/>
    <w:rsid w:val="007C2EE2"/>
    <w:rsid w:val="007C34BA"/>
    <w:rsid w:val="007C35E2"/>
    <w:rsid w:val="007C3609"/>
    <w:rsid w:val="007C3D5D"/>
    <w:rsid w:val="007C418D"/>
    <w:rsid w:val="007C4E47"/>
    <w:rsid w:val="007C5181"/>
    <w:rsid w:val="007C60CF"/>
    <w:rsid w:val="007C641D"/>
    <w:rsid w:val="007D02D2"/>
    <w:rsid w:val="007D034A"/>
    <w:rsid w:val="007D1211"/>
    <w:rsid w:val="007D1B9E"/>
    <w:rsid w:val="007D1EB9"/>
    <w:rsid w:val="007D4D3E"/>
    <w:rsid w:val="007D504E"/>
    <w:rsid w:val="007D5278"/>
    <w:rsid w:val="007D7F02"/>
    <w:rsid w:val="007E0352"/>
    <w:rsid w:val="007E0964"/>
    <w:rsid w:val="007E0D41"/>
    <w:rsid w:val="007E0E2D"/>
    <w:rsid w:val="007E0F8B"/>
    <w:rsid w:val="007E1274"/>
    <w:rsid w:val="007E156D"/>
    <w:rsid w:val="007E1798"/>
    <w:rsid w:val="007E19C9"/>
    <w:rsid w:val="007E3FE1"/>
    <w:rsid w:val="007E4DDD"/>
    <w:rsid w:val="007E531E"/>
    <w:rsid w:val="007E5875"/>
    <w:rsid w:val="007E5C1C"/>
    <w:rsid w:val="007F0B18"/>
    <w:rsid w:val="007F1A6C"/>
    <w:rsid w:val="007F1D5C"/>
    <w:rsid w:val="007F2D55"/>
    <w:rsid w:val="007F3100"/>
    <w:rsid w:val="007F34E3"/>
    <w:rsid w:val="007F4939"/>
    <w:rsid w:val="007F53D6"/>
    <w:rsid w:val="007F64EB"/>
    <w:rsid w:val="007F72FF"/>
    <w:rsid w:val="00800370"/>
    <w:rsid w:val="00800ED8"/>
    <w:rsid w:val="00800F78"/>
    <w:rsid w:val="008011C0"/>
    <w:rsid w:val="00801E5F"/>
    <w:rsid w:val="00802874"/>
    <w:rsid w:val="008047C7"/>
    <w:rsid w:val="008049D1"/>
    <w:rsid w:val="00805785"/>
    <w:rsid w:val="008057F4"/>
    <w:rsid w:val="008058AB"/>
    <w:rsid w:val="0080678A"/>
    <w:rsid w:val="00806CDD"/>
    <w:rsid w:val="00807013"/>
    <w:rsid w:val="008071AF"/>
    <w:rsid w:val="00807269"/>
    <w:rsid w:val="00807BBF"/>
    <w:rsid w:val="00810AC4"/>
    <w:rsid w:val="00810C6E"/>
    <w:rsid w:val="00811CCA"/>
    <w:rsid w:val="00811FC9"/>
    <w:rsid w:val="00812C1B"/>
    <w:rsid w:val="0081501E"/>
    <w:rsid w:val="00815D74"/>
    <w:rsid w:val="00815E78"/>
    <w:rsid w:val="00816291"/>
    <w:rsid w:val="00816B82"/>
    <w:rsid w:val="00817086"/>
    <w:rsid w:val="00817410"/>
    <w:rsid w:val="00817719"/>
    <w:rsid w:val="00817848"/>
    <w:rsid w:val="00817982"/>
    <w:rsid w:val="0082158F"/>
    <w:rsid w:val="00821C42"/>
    <w:rsid w:val="00822363"/>
    <w:rsid w:val="008226D6"/>
    <w:rsid w:val="00822C90"/>
    <w:rsid w:val="00823CA6"/>
    <w:rsid w:val="00824A5D"/>
    <w:rsid w:val="00824DEA"/>
    <w:rsid w:val="00824E08"/>
    <w:rsid w:val="008253E3"/>
    <w:rsid w:val="008258B0"/>
    <w:rsid w:val="00826125"/>
    <w:rsid w:val="008263B7"/>
    <w:rsid w:val="008263CA"/>
    <w:rsid w:val="0082679D"/>
    <w:rsid w:val="00827646"/>
    <w:rsid w:val="0082792D"/>
    <w:rsid w:val="008301B0"/>
    <w:rsid w:val="0083022E"/>
    <w:rsid w:val="0083046F"/>
    <w:rsid w:val="00830D0C"/>
    <w:rsid w:val="00830E05"/>
    <w:rsid w:val="00830F04"/>
    <w:rsid w:val="00831B2D"/>
    <w:rsid w:val="00832353"/>
    <w:rsid w:val="0083328E"/>
    <w:rsid w:val="00835355"/>
    <w:rsid w:val="0083663A"/>
    <w:rsid w:val="00836ECB"/>
    <w:rsid w:val="00841A9D"/>
    <w:rsid w:val="0084221B"/>
    <w:rsid w:val="00842591"/>
    <w:rsid w:val="00842695"/>
    <w:rsid w:val="008429D7"/>
    <w:rsid w:val="008437C7"/>
    <w:rsid w:val="00843B52"/>
    <w:rsid w:val="00843C2E"/>
    <w:rsid w:val="00845241"/>
    <w:rsid w:val="0084555D"/>
    <w:rsid w:val="00846E13"/>
    <w:rsid w:val="00847A9D"/>
    <w:rsid w:val="00850DB5"/>
    <w:rsid w:val="00851C08"/>
    <w:rsid w:val="008520F8"/>
    <w:rsid w:val="0085269A"/>
    <w:rsid w:val="0085280E"/>
    <w:rsid w:val="00853C30"/>
    <w:rsid w:val="00853F58"/>
    <w:rsid w:val="008543D0"/>
    <w:rsid w:val="008550F2"/>
    <w:rsid w:val="00855498"/>
    <w:rsid w:val="00855642"/>
    <w:rsid w:val="008557D0"/>
    <w:rsid w:val="00855A7C"/>
    <w:rsid w:val="0085634C"/>
    <w:rsid w:val="008602C4"/>
    <w:rsid w:val="008603BB"/>
    <w:rsid w:val="00860B54"/>
    <w:rsid w:val="00860BE9"/>
    <w:rsid w:val="008618F3"/>
    <w:rsid w:val="0086427F"/>
    <w:rsid w:val="00864869"/>
    <w:rsid w:val="008648A5"/>
    <w:rsid w:val="00864E07"/>
    <w:rsid w:val="00865443"/>
    <w:rsid w:val="00865538"/>
    <w:rsid w:val="008655A1"/>
    <w:rsid w:val="00865C4C"/>
    <w:rsid w:val="00865C82"/>
    <w:rsid w:val="00866FAC"/>
    <w:rsid w:val="0086729E"/>
    <w:rsid w:val="0086751F"/>
    <w:rsid w:val="008678C3"/>
    <w:rsid w:val="008707C7"/>
    <w:rsid w:val="0087081C"/>
    <w:rsid w:val="0087086D"/>
    <w:rsid w:val="00870F68"/>
    <w:rsid w:val="008712C9"/>
    <w:rsid w:val="00871499"/>
    <w:rsid w:val="00871B4C"/>
    <w:rsid w:val="00872544"/>
    <w:rsid w:val="008727CD"/>
    <w:rsid w:val="00873118"/>
    <w:rsid w:val="00873950"/>
    <w:rsid w:val="00873FFA"/>
    <w:rsid w:val="008749A7"/>
    <w:rsid w:val="00874E61"/>
    <w:rsid w:val="00875A6A"/>
    <w:rsid w:val="008771EA"/>
    <w:rsid w:val="0088051C"/>
    <w:rsid w:val="00880B0F"/>
    <w:rsid w:val="00880D7A"/>
    <w:rsid w:val="008811F5"/>
    <w:rsid w:val="0088176A"/>
    <w:rsid w:val="00881B44"/>
    <w:rsid w:val="008825E1"/>
    <w:rsid w:val="00882B49"/>
    <w:rsid w:val="00883774"/>
    <w:rsid w:val="0088384A"/>
    <w:rsid w:val="008848C6"/>
    <w:rsid w:val="00885C52"/>
    <w:rsid w:val="008876C0"/>
    <w:rsid w:val="00890DF2"/>
    <w:rsid w:val="00891805"/>
    <w:rsid w:val="00891CB1"/>
    <w:rsid w:val="008933C2"/>
    <w:rsid w:val="008937A2"/>
    <w:rsid w:val="00894B83"/>
    <w:rsid w:val="00894DB9"/>
    <w:rsid w:val="00897536"/>
    <w:rsid w:val="008978A3"/>
    <w:rsid w:val="008A0719"/>
    <w:rsid w:val="008A0FF8"/>
    <w:rsid w:val="008A3457"/>
    <w:rsid w:val="008A35DD"/>
    <w:rsid w:val="008A3714"/>
    <w:rsid w:val="008A3F35"/>
    <w:rsid w:val="008A41CD"/>
    <w:rsid w:val="008A4A9F"/>
    <w:rsid w:val="008A5567"/>
    <w:rsid w:val="008A60CC"/>
    <w:rsid w:val="008A618A"/>
    <w:rsid w:val="008A61A5"/>
    <w:rsid w:val="008A693E"/>
    <w:rsid w:val="008A750A"/>
    <w:rsid w:val="008B2A80"/>
    <w:rsid w:val="008B2CD4"/>
    <w:rsid w:val="008B364A"/>
    <w:rsid w:val="008B3B8A"/>
    <w:rsid w:val="008B4EFC"/>
    <w:rsid w:val="008B54BB"/>
    <w:rsid w:val="008B56CD"/>
    <w:rsid w:val="008B5DB8"/>
    <w:rsid w:val="008B6068"/>
    <w:rsid w:val="008B67FE"/>
    <w:rsid w:val="008B6A2D"/>
    <w:rsid w:val="008B7698"/>
    <w:rsid w:val="008B76FA"/>
    <w:rsid w:val="008B7FE5"/>
    <w:rsid w:val="008C0107"/>
    <w:rsid w:val="008C02EF"/>
    <w:rsid w:val="008C1382"/>
    <w:rsid w:val="008C16FB"/>
    <w:rsid w:val="008C2155"/>
    <w:rsid w:val="008C227D"/>
    <w:rsid w:val="008C300A"/>
    <w:rsid w:val="008C364E"/>
    <w:rsid w:val="008C3896"/>
    <w:rsid w:val="008C3C81"/>
    <w:rsid w:val="008C446F"/>
    <w:rsid w:val="008C59FF"/>
    <w:rsid w:val="008C5CFC"/>
    <w:rsid w:val="008C6FCC"/>
    <w:rsid w:val="008D00FF"/>
    <w:rsid w:val="008D03A7"/>
    <w:rsid w:val="008D09A9"/>
    <w:rsid w:val="008D1067"/>
    <w:rsid w:val="008D1B63"/>
    <w:rsid w:val="008D1D15"/>
    <w:rsid w:val="008D3772"/>
    <w:rsid w:val="008D44F3"/>
    <w:rsid w:val="008D4932"/>
    <w:rsid w:val="008D583D"/>
    <w:rsid w:val="008D61CC"/>
    <w:rsid w:val="008D7478"/>
    <w:rsid w:val="008D7BB9"/>
    <w:rsid w:val="008D7C4F"/>
    <w:rsid w:val="008E0898"/>
    <w:rsid w:val="008E08BF"/>
    <w:rsid w:val="008E169C"/>
    <w:rsid w:val="008E181B"/>
    <w:rsid w:val="008E1D74"/>
    <w:rsid w:val="008E2841"/>
    <w:rsid w:val="008E3077"/>
    <w:rsid w:val="008E339C"/>
    <w:rsid w:val="008E363D"/>
    <w:rsid w:val="008E3EFB"/>
    <w:rsid w:val="008E43B7"/>
    <w:rsid w:val="008E4A88"/>
    <w:rsid w:val="008E4B86"/>
    <w:rsid w:val="008E5444"/>
    <w:rsid w:val="008E584D"/>
    <w:rsid w:val="008E5BDF"/>
    <w:rsid w:val="008E6131"/>
    <w:rsid w:val="008E6583"/>
    <w:rsid w:val="008E6A95"/>
    <w:rsid w:val="008F1883"/>
    <w:rsid w:val="008F1C62"/>
    <w:rsid w:val="008F2F84"/>
    <w:rsid w:val="008F3769"/>
    <w:rsid w:val="008F4ACE"/>
    <w:rsid w:val="008F4B66"/>
    <w:rsid w:val="008F4F70"/>
    <w:rsid w:val="008F5CDA"/>
    <w:rsid w:val="008F62A4"/>
    <w:rsid w:val="00900BFB"/>
    <w:rsid w:val="00901940"/>
    <w:rsid w:val="00901FAB"/>
    <w:rsid w:val="0090200E"/>
    <w:rsid w:val="009020CD"/>
    <w:rsid w:val="00902428"/>
    <w:rsid w:val="0090284A"/>
    <w:rsid w:val="0090284D"/>
    <w:rsid w:val="00902982"/>
    <w:rsid w:val="00903A24"/>
    <w:rsid w:val="00903B7D"/>
    <w:rsid w:val="00903D9B"/>
    <w:rsid w:val="00904227"/>
    <w:rsid w:val="0090452A"/>
    <w:rsid w:val="0090510C"/>
    <w:rsid w:val="00905878"/>
    <w:rsid w:val="009068CC"/>
    <w:rsid w:val="00907CE3"/>
    <w:rsid w:val="00910BA7"/>
    <w:rsid w:val="00910DD4"/>
    <w:rsid w:val="009127BA"/>
    <w:rsid w:val="00913508"/>
    <w:rsid w:val="00914246"/>
    <w:rsid w:val="00914440"/>
    <w:rsid w:val="00916DC3"/>
    <w:rsid w:val="00917FC7"/>
    <w:rsid w:val="009200CE"/>
    <w:rsid w:val="00920D07"/>
    <w:rsid w:val="009219C8"/>
    <w:rsid w:val="009223C6"/>
    <w:rsid w:val="00922775"/>
    <w:rsid w:val="00923C21"/>
    <w:rsid w:val="0092498C"/>
    <w:rsid w:val="009255F9"/>
    <w:rsid w:val="00926334"/>
    <w:rsid w:val="00926D32"/>
    <w:rsid w:val="00927D1B"/>
    <w:rsid w:val="00927F96"/>
    <w:rsid w:val="00930689"/>
    <w:rsid w:val="00930733"/>
    <w:rsid w:val="009309FA"/>
    <w:rsid w:val="00930C52"/>
    <w:rsid w:val="00931009"/>
    <w:rsid w:val="00934FFC"/>
    <w:rsid w:val="00935AF0"/>
    <w:rsid w:val="009367C4"/>
    <w:rsid w:val="00937140"/>
    <w:rsid w:val="00941482"/>
    <w:rsid w:val="0094178C"/>
    <w:rsid w:val="00941985"/>
    <w:rsid w:val="009426B6"/>
    <w:rsid w:val="00942884"/>
    <w:rsid w:val="00942E56"/>
    <w:rsid w:val="00944096"/>
    <w:rsid w:val="009452DA"/>
    <w:rsid w:val="009458BF"/>
    <w:rsid w:val="00945A59"/>
    <w:rsid w:val="00945B8E"/>
    <w:rsid w:val="00945E21"/>
    <w:rsid w:val="00946141"/>
    <w:rsid w:val="00946CC5"/>
    <w:rsid w:val="00947E09"/>
    <w:rsid w:val="00947E9A"/>
    <w:rsid w:val="00951095"/>
    <w:rsid w:val="009515ED"/>
    <w:rsid w:val="0095186C"/>
    <w:rsid w:val="00951897"/>
    <w:rsid w:val="00952B04"/>
    <w:rsid w:val="00953714"/>
    <w:rsid w:val="00954302"/>
    <w:rsid w:val="009545D7"/>
    <w:rsid w:val="0095485B"/>
    <w:rsid w:val="00954CA2"/>
    <w:rsid w:val="009555DE"/>
    <w:rsid w:val="0095594F"/>
    <w:rsid w:val="00955E12"/>
    <w:rsid w:val="00957758"/>
    <w:rsid w:val="0096068C"/>
    <w:rsid w:val="009613F6"/>
    <w:rsid w:val="00961F4F"/>
    <w:rsid w:val="009620DB"/>
    <w:rsid w:val="009628D3"/>
    <w:rsid w:val="00962B84"/>
    <w:rsid w:val="00962D05"/>
    <w:rsid w:val="00962E12"/>
    <w:rsid w:val="00964BE9"/>
    <w:rsid w:val="00964EB5"/>
    <w:rsid w:val="0096534B"/>
    <w:rsid w:val="009655E0"/>
    <w:rsid w:val="00965B2B"/>
    <w:rsid w:val="00970087"/>
    <w:rsid w:val="0097123F"/>
    <w:rsid w:val="00971A5D"/>
    <w:rsid w:val="00972294"/>
    <w:rsid w:val="00972AD6"/>
    <w:rsid w:val="00972C47"/>
    <w:rsid w:val="00972FA6"/>
    <w:rsid w:val="0097388B"/>
    <w:rsid w:val="009739E3"/>
    <w:rsid w:val="00973CD4"/>
    <w:rsid w:val="00974C5E"/>
    <w:rsid w:val="00974EC9"/>
    <w:rsid w:val="009750A3"/>
    <w:rsid w:val="00975132"/>
    <w:rsid w:val="009757F4"/>
    <w:rsid w:val="009759E3"/>
    <w:rsid w:val="00977ECA"/>
    <w:rsid w:val="00977FC0"/>
    <w:rsid w:val="00981DF6"/>
    <w:rsid w:val="00982E5A"/>
    <w:rsid w:val="00983377"/>
    <w:rsid w:val="00983ECE"/>
    <w:rsid w:val="009845B5"/>
    <w:rsid w:val="0098502F"/>
    <w:rsid w:val="00985182"/>
    <w:rsid w:val="009858B6"/>
    <w:rsid w:val="00985B2F"/>
    <w:rsid w:val="00986D89"/>
    <w:rsid w:val="00986FEE"/>
    <w:rsid w:val="00990ABE"/>
    <w:rsid w:val="00990B56"/>
    <w:rsid w:val="00990F08"/>
    <w:rsid w:val="00990F69"/>
    <w:rsid w:val="00990FE5"/>
    <w:rsid w:val="009913CD"/>
    <w:rsid w:val="00992A91"/>
    <w:rsid w:val="009935AD"/>
    <w:rsid w:val="009938B8"/>
    <w:rsid w:val="009938E7"/>
    <w:rsid w:val="00993B05"/>
    <w:rsid w:val="00993D0B"/>
    <w:rsid w:val="009940CF"/>
    <w:rsid w:val="00994894"/>
    <w:rsid w:val="00996A02"/>
    <w:rsid w:val="00996B44"/>
    <w:rsid w:val="00997479"/>
    <w:rsid w:val="009A099C"/>
    <w:rsid w:val="009A17AB"/>
    <w:rsid w:val="009A185F"/>
    <w:rsid w:val="009A206A"/>
    <w:rsid w:val="009A36EF"/>
    <w:rsid w:val="009A54F5"/>
    <w:rsid w:val="009A552A"/>
    <w:rsid w:val="009A6F78"/>
    <w:rsid w:val="009A7181"/>
    <w:rsid w:val="009B07EF"/>
    <w:rsid w:val="009B0919"/>
    <w:rsid w:val="009B1311"/>
    <w:rsid w:val="009B339B"/>
    <w:rsid w:val="009B33CA"/>
    <w:rsid w:val="009B3A16"/>
    <w:rsid w:val="009B40F2"/>
    <w:rsid w:val="009B4875"/>
    <w:rsid w:val="009B573C"/>
    <w:rsid w:val="009B5AB3"/>
    <w:rsid w:val="009B5C96"/>
    <w:rsid w:val="009B5EB1"/>
    <w:rsid w:val="009B61D4"/>
    <w:rsid w:val="009B6325"/>
    <w:rsid w:val="009C04C3"/>
    <w:rsid w:val="009C0690"/>
    <w:rsid w:val="009C09ED"/>
    <w:rsid w:val="009C1373"/>
    <w:rsid w:val="009C2464"/>
    <w:rsid w:val="009C320C"/>
    <w:rsid w:val="009C33E9"/>
    <w:rsid w:val="009C3E38"/>
    <w:rsid w:val="009C5EDD"/>
    <w:rsid w:val="009C601C"/>
    <w:rsid w:val="009C6FF2"/>
    <w:rsid w:val="009C7899"/>
    <w:rsid w:val="009D02FE"/>
    <w:rsid w:val="009D0FC5"/>
    <w:rsid w:val="009D1858"/>
    <w:rsid w:val="009D444D"/>
    <w:rsid w:val="009D453C"/>
    <w:rsid w:val="009D5D6A"/>
    <w:rsid w:val="009D7505"/>
    <w:rsid w:val="009D7935"/>
    <w:rsid w:val="009D793C"/>
    <w:rsid w:val="009D7ABF"/>
    <w:rsid w:val="009E070F"/>
    <w:rsid w:val="009E249E"/>
    <w:rsid w:val="009E504F"/>
    <w:rsid w:val="009E51BF"/>
    <w:rsid w:val="009E5262"/>
    <w:rsid w:val="009E56FC"/>
    <w:rsid w:val="009F0588"/>
    <w:rsid w:val="009F0B16"/>
    <w:rsid w:val="009F14EB"/>
    <w:rsid w:val="009F26FC"/>
    <w:rsid w:val="009F2926"/>
    <w:rsid w:val="009F413A"/>
    <w:rsid w:val="009F5F76"/>
    <w:rsid w:val="009F668F"/>
    <w:rsid w:val="009F6EE4"/>
    <w:rsid w:val="009F7248"/>
    <w:rsid w:val="009F725A"/>
    <w:rsid w:val="009F7323"/>
    <w:rsid w:val="00A001E0"/>
    <w:rsid w:val="00A002B4"/>
    <w:rsid w:val="00A01DD9"/>
    <w:rsid w:val="00A01E35"/>
    <w:rsid w:val="00A01E64"/>
    <w:rsid w:val="00A02750"/>
    <w:rsid w:val="00A03018"/>
    <w:rsid w:val="00A04361"/>
    <w:rsid w:val="00A04D6D"/>
    <w:rsid w:val="00A05CBD"/>
    <w:rsid w:val="00A06EA3"/>
    <w:rsid w:val="00A06F6F"/>
    <w:rsid w:val="00A070F6"/>
    <w:rsid w:val="00A07D9D"/>
    <w:rsid w:val="00A07E82"/>
    <w:rsid w:val="00A10409"/>
    <w:rsid w:val="00A1044E"/>
    <w:rsid w:val="00A113F3"/>
    <w:rsid w:val="00A1171E"/>
    <w:rsid w:val="00A1258D"/>
    <w:rsid w:val="00A125DE"/>
    <w:rsid w:val="00A131B3"/>
    <w:rsid w:val="00A14C35"/>
    <w:rsid w:val="00A160A0"/>
    <w:rsid w:val="00A16470"/>
    <w:rsid w:val="00A17548"/>
    <w:rsid w:val="00A21238"/>
    <w:rsid w:val="00A23F82"/>
    <w:rsid w:val="00A240FF"/>
    <w:rsid w:val="00A2468A"/>
    <w:rsid w:val="00A2505B"/>
    <w:rsid w:val="00A2574A"/>
    <w:rsid w:val="00A25E7D"/>
    <w:rsid w:val="00A260D7"/>
    <w:rsid w:val="00A26477"/>
    <w:rsid w:val="00A26FF8"/>
    <w:rsid w:val="00A3164D"/>
    <w:rsid w:val="00A31A64"/>
    <w:rsid w:val="00A32B27"/>
    <w:rsid w:val="00A33723"/>
    <w:rsid w:val="00A34714"/>
    <w:rsid w:val="00A36436"/>
    <w:rsid w:val="00A36D0A"/>
    <w:rsid w:val="00A37555"/>
    <w:rsid w:val="00A375F0"/>
    <w:rsid w:val="00A37F2D"/>
    <w:rsid w:val="00A416C3"/>
    <w:rsid w:val="00A4170E"/>
    <w:rsid w:val="00A4211E"/>
    <w:rsid w:val="00A424AC"/>
    <w:rsid w:val="00A42B07"/>
    <w:rsid w:val="00A43C63"/>
    <w:rsid w:val="00A448E5"/>
    <w:rsid w:val="00A45558"/>
    <w:rsid w:val="00A45BBA"/>
    <w:rsid w:val="00A45E88"/>
    <w:rsid w:val="00A46ACF"/>
    <w:rsid w:val="00A46B47"/>
    <w:rsid w:val="00A4784A"/>
    <w:rsid w:val="00A502E4"/>
    <w:rsid w:val="00A505DD"/>
    <w:rsid w:val="00A52683"/>
    <w:rsid w:val="00A5468D"/>
    <w:rsid w:val="00A55E3C"/>
    <w:rsid w:val="00A562D1"/>
    <w:rsid w:val="00A56426"/>
    <w:rsid w:val="00A566D8"/>
    <w:rsid w:val="00A56A2F"/>
    <w:rsid w:val="00A56F73"/>
    <w:rsid w:val="00A57536"/>
    <w:rsid w:val="00A6031A"/>
    <w:rsid w:val="00A60D28"/>
    <w:rsid w:val="00A61A3D"/>
    <w:rsid w:val="00A623F2"/>
    <w:rsid w:val="00A63CDC"/>
    <w:rsid w:val="00A64131"/>
    <w:rsid w:val="00A65884"/>
    <w:rsid w:val="00A66A67"/>
    <w:rsid w:val="00A66B08"/>
    <w:rsid w:val="00A66CA9"/>
    <w:rsid w:val="00A70801"/>
    <w:rsid w:val="00A709E6"/>
    <w:rsid w:val="00A70B30"/>
    <w:rsid w:val="00A71060"/>
    <w:rsid w:val="00A71ECF"/>
    <w:rsid w:val="00A7228B"/>
    <w:rsid w:val="00A745A4"/>
    <w:rsid w:val="00A747F6"/>
    <w:rsid w:val="00A75E64"/>
    <w:rsid w:val="00A76028"/>
    <w:rsid w:val="00A77828"/>
    <w:rsid w:val="00A77895"/>
    <w:rsid w:val="00A77A41"/>
    <w:rsid w:val="00A826CB"/>
    <w:rsid w:val="00A8324A"/>
    <w:rsid w:val="00A83F39"/>
    <w:rsid w:val="00A864D6"/>
    <w:rsid w:val="00A8659C"/>
    <w:rsid w:val="00A8665F"/>
    <w:rsid w:val="00A90471"/>
    <w:rsid w:val="00A90CF5"/>
    <w:rsid w:val="00A9238E"/>
    <w:rsid w:val="00A923EA"/>
    <w:rsid w:val="00A947BB"/>
    <w:rsid w:val="00A94F15"/>
    <w:rsid w:val="00A9577A"/>
    <w:rsid w:val="00A95921"/>
    <w:rsid w:val="00AA1646"/>
    <w:rsid w:val="00AA20D6"/>
    <w:rsid w:val="00AA2396"/>
    <w:rsid w:val="00AA2806"/>
    <w:rsid w:val="00AA2F4E"/>
    <w:rsid w:val="00AA46FE"/>
    <w:rsid w:val="00AA5D3B"/>
    <w:rsid w:val="00AA6CC9"/>
    <w:rsid w:val="00AB0776"/>
    <w:rsid w:val="00AB1736"/>
    <w:rsid w:val="00AB1BC5"/>
    <w:rsid w:val="00AB24BF"/>
    <w:rsid w:val="00AB275E"/>
    <w:rsid w:val="00AB2A10"/>
    <w:rsid w:val="00AB2F7C"/>
    <w:rsid w:val="00AB3D70"/>
    <w:rsid w:val="00AB5291"/>
    <w:rsid w:val="00AB5351"/>
    <w:rsid w:val="00AB6031"/>
    <w:rsid w:val="00AB6B25"/>
    <w:rsid w:val="00AB7085"/>
    <w:rsid w:val="00AB7659"/>
    <w:rsid w:val="00AC081E"/>
    <w:rsid w:val="00AC1F46"/>
    <w:rsid w:val="00AC2C2F"/>
    <w:rsid w:val="00AC31BD"/>
    <w:rsid w:val="00AC3319"/>
    <w:rsid w:val="00AC41DD"/>
    <w:rsid w:val="00AC424E"/>
    <w:rsid w:val="00AC4732"/>
    <w:rsid w:val="00AC49C6"/>
    <w:rsid w:val="00AC4F43"/>
    <w:rsid w:val="00AC62D8"/>
    <w:rsid w:val="00AC7055"/>
    <w:rsid w:val="00AC7300"/>
    <w:rsid w:val="00AC746C"/>
    <w:rsid w:val="00AD0379"/>
    <w:rsid w:val="00AD0BF2"/>
    <w:rsid w:val="00AD0F49"/>
    <w:rsid w:val="00AD1610"/>
    <w:rsid w:val="00AD27DC"/>
    <w:rsid w:val="00AD2B36"/>
    <w:rsid w:val="00AD391A"/>
    <w:rsid w:val="00AD3DFD"/>
    <w:rsid w:val="00AD6095"/>
    <w:rsid w:val="00AD61D9"/>
    <w:rsid w:val="00AD6BE3"/>
    <w:rsid w:val="00AD73B1"/>
    <w:rsid w:val="00AE00DC"/>
    <w:rsid w:val="00AE1123"/>
    <w:rsid w:val="00AE1293"/>
    <w:rsid w:val="00AE2C5A"/>
    <w:rsid w:val="00AE3327"/>
    <w:rsid w:val="00AE3D2F"/>
    <w:rsid w:val="00AE42B8"/>
    <w:rsid w:val="00AE48A2"/>
    <w:rsid w:val="00AE581D"/>
    <w:rsid w:val="00AE6727"/>
    <w:rsid w:val="00AE7F16"/>
    <w:rsid w:val="00AF0BDF"/>
    <w:rsid w:val="00AF0E18"/>
    <w:rsid w:val="00AF4854"/>
    <w:rsid w:val="00AF4B94"/>
    <w:rsid w:val="00AF5429"/>
    <w:rsid w:val="00AF5CEB"/>
    <w:rsid w:val="00AF6341"/>
    <w:rsid w:val="00AF6835"/>
    <w:rsid w:val="00AF6D78"/>
    <w:rsid w:val="00B005FB"/>
    <w:rsid w:val="00B02E87"/>
    <w:rsid w:val="00B04060"/>
    <w:rsid w:val="00B05B00"/>
    <w:rsid w:val="00B07C2D"/>
    <w:rsid w:val="00B10CEE"/>
    <w:rsid w:val="00B10EA9"/>
    <w:rsid w:val="00B11AD5"/>
    <w:rsid w:val="00B12DA8"/>
    <w:rsid w:val="00B1309B"/>
    <w:rsid w:val="00B13AF0"/>
    <w:rsid w:val="00B13EEA"/>
    <w:rsid w:val="00B155E5"/>
    <w:rsid w:val="00B15AC9"/>
    <w:rsid w:val="00B163A8"/>
    <w:rsid w:val="00B17039"/>
    <w:rsid w:val="00B1707B"/>
    <w:rsid w:val="00B206E7"/>
    <w:rsid w:val="00B20B89"/>
    <w:rsid w:val="00B21736"/>
    <w:rsid w:val="00B222D8"/>
    <w:rsid w:val="00B22A21"/>
    <w:rsid w:val="00B22EB8"/>
    <w:rsid w:val="00B2370E"/>
    <w:rsid w:val="00B23A8E"/>
    <w:rsid w:val="00B2605A"/>
    <w:rsid w:val="00B262E2"/>
    <w:rsid w:val="00B26E81"/>
    <w:rsid w:val="00B27820"/>
    <w:rsid w:val="00B302DE"/>
    <w:rsid w:val="00B3147B"/>
    <w:rsid w:val="00B32246"/>
    <w:rsid w:val="00B32560"/>
    <w:rsid w:val="00B32762"/>
    <w:rsid w:val="00B32BFE"/>
    <w:rsid w:val="00B332DC"/>
    <w:rsid w:val="00B3362C"/>
    <w:rsid w:val="00B33FDC"/>
    <w:rsid w:val="00B35A61"/>
    <w:rsid w:val="00B35CCB"/>
    <w:rsid w:val="00B35E87"/>
    <w:rsid w:val="00B3604A"/>
    <w:rsid w:val="00B372C8"/>
    <w:rsid w:val="00B3796B"/>
    <w:rsid w:val="00B416EF"/>
    <w:rsid w:val="00B41710"/>
    <w:rsid w:val="00B418E6"/>
    <w:rsid w:val="00B425B1"/>
    <w:rsid w:val="00B42E48"/>
    <w:rsid w:val="00B42EEE"/>
    <w:rsid w:val="00B4315D"/>
    <w:rsid w:val="00B44018"/>
    <w:rsid w:val="00B4480B"/>
    <w:rsid w:val="00B45A8C"/>
    <w:rsid w:val="00B45F00"/>
    <w:rsid w:val="00B47370"/>
    <w:rsid w:val="00B47425"/>
    <w:rsid w:val="00B50EE4"/>
    <w:rsid w:val="00B51B8C"/>
    <w:rsid w:val="00B54E3D"/>
    <w:rsid w:val="00B5576F"/>
    <w:rsid w:val="00B56041"/>
    <w:rsid w:val="00B56FAB"/>
    <w:rsid w:val="00B5743E"/>
    <w:rsid w:val="00B60014"/>
    <w:rsid w:val="00B60624"/>
    <w:rsid w:val="00B60E10"/>
    <w:rsid w:val="00B6118D"/>
    <w:rsid w:val="00B639A0"/>
    <w:rsid w:val="00B64646"/>
    <w:rsid w:val="00B6614C"/>
    <w:rsid w:val="00B6670A"/>
    <w:rsid w:val="00B70720"/>
    <w:rsid w:val="00B711B2"/>
    <w:rsid w:val="00B71D5E"/>
    <w:rsid w:val="00B7289F"/>
    <w:rsid w:val="00B728EC"/>
    <w:rsid w:val="00B7371C"/>
    <w:rsid w:val="00B75579"/>
    <w:rsid w:val="00B77138"/>
    <w:rsid w:val="00B7741E"/>
    <w:rsid w:val="00B7751E"/>
    <w:rsid w:val="00B8088C"/>
    <w:rsid w:val="00B8122E"/>
    <w:rsid w:val="00B83BDB"/>
    <w:rsid w:val="00B83C28"/>
    <w:rsid w:val="00B83EEA"/>
    <w:rsid w:val="00B847C3"/>
    <w:rsid w:val="00B84F59"/>
    <w:rsid w:val="00B86C17"/>
    <w:rsid w:val="00B87F3E"/>
    <w:rsid w:val="00B90B8D"/>
    <w:rsid w:val="00B936D8"/>
    <w:rsid w:val="00B938A8"/>
    <w:rsid w:val="00B95076"/>
    <w:rsid w:val="00B952AD"/>
    <w:rsid w:val="00B964DB"/>
    <w:rsid w:val="00B965ED"/>
    <w:rsid w:val="00B97AE7"/>
    <w:rsid w:val="00BA1003"/>
    <w:rsid w:val="00BA34BD"/>
    <w:rsid w:val="00BA444C"/>
    <w:rsid w:val="00BA536F"/>
    <w:rsid w:val="00BA5408"/>
    <w:rsid w:val="00BA604B"/>
    <w:rsid w:val="00BA6DCA"/>
    <w:rsid w:val="00BA782E"/>
    <w:rsid w:val="00BB03E4"/>
    <w:rsid w:val="00BB0418"/>
    <w:rsid w:val="00BB1B99"/>
    <w:rsid w:val="00BB2496"/>
    <w:rsid w:val="00BB30A8"/>
    <w:rsid w:val="00BB3F56"/>
    <w:rsid w:val="00BB6188"/>
    <w:rsid w:val="00BB6A9A"/>
    <w:rsid w:val="00BB71A2"/>
    <w:rsid w:val="00BB7294"/>
    <w:rsid w:val="00BB773A"/>
    <w:rsid w:val="00BB7B69"/>
    <w:rsid w:val="00BC0738"/>
    <w:rsid w:val="00BC0EB4"/>
    <w:rsid w:val="00BC1DCB"/>
    <w:rsid w:val="00BC2628"/>
    <w:rsid w:val="00BC2E0A"/>
    <w:rsid w:val="00BC38D4"/>
    <w:rsid w:val="00BC6251"/>
    <w:rsid w:val="00BC6899"/>
    <w:rsid w:val="00BC68F7"/>
    <w:rsid w:val="00BC775C"/>
    <w:rsid w:val="00BD2A13"/>
    <w:rsid w:val="00BD2C81"/>
    <w:rsid w:val="00BD4638"/>
    <w:rsid w:val="00BD5A7E"/>
    <w:rsid w:val="00BD5B28"/>
    <w:rsid w:val="00BD5C72"/>
    <w:rsid w:val="00BD6151"/>
    <w:rsid w:val="00BD708D"/>
    <w:rsid w:val="00BD797F"/>
    <w:rsid w:val="00BD7B4C"/>
    <w:rsid w:val="00BD7F0B"/>
    <w:rsid w:val="00BE0695"/>
    <w:rsid w:val="00BE0697"/>
    <w:rsid w:val="00BE1471"/>
    <w:rsid w:val="00BE2A39"/>
    <w:rsid w:val="00BE34DA"/>
    <w:rsid w:val="00BE3833"/>
    <w:rsid w:val="00BE3A67"/>
    <w:rsid w:val="00BE452D"/>
    <w:rsid w:val="00BE5075"/>
    <w:rsid w:val="00BE5253"/>
    <w:rsid w:val="00BE660A"/>
    <w:rsid w:val="00BE6AE5"/>
    <w:rsid w:val="00BE7789"/>
    <w:rsid w:val="00BE7868"/>
    <w:rsid w:val="00BE7BEC"/>
    <w:rsid w:val="00BF282B"/>
    <w:rsid w:val="00BF29E5"/>
    <w:rsid w:val="00BF2B74"/>
    <w:rsid w:val="00BF402B"/>
    <w:rsid w:val="00BF4EE8"/>
    <w:rsid w:val="00BF5AD7"/>
    <w:rsid w:val="00BF6754"/>
    <w:rsid w:val="00BF706A"/>
    <w:rsid w:val="00BF7104"/>
    <w:rsid w:val="00BF74AF"/>
    <w:rsid w:val="00C0006E"/>
    <w:rsid w:val="00C0032E"/>
    <w:rsid w:val="00C0119B"/>
    <w:rsid w:val="00C0203C"/>
    <w:rsid w:val="00C024B6"/>
    <w:rsid w:val="00C02B38"/>
    <w:rsid w:val="00C02B59"/>
    <w:rsid w:val="00C04238"/>
    <w:rsid w:val="00C04B3E"/>
    <w:rsid w:val="00C058C6"/>
    <w:rsid w:val="00C065DC"/>
    <w:rsid w:val="00C072B2"/>
    <w:rsid w:val="00C078BF"/>
    <w:rsid w:val="00C1012C"/>
    <w:rsid w:val="00C1129C"/>
    <w:rsid w:val="00C11362"/>
    <w:rsid w:val="00C11EEB"/>
    <w:rsid w:val="00C12D76"/>
    <w:rsid w:val="00C13C2A"/>
    <w:rsid w:val="00C13F0E"/>
    <w:rsid w:val="00C14456"/>
    <w:rsid w:val="00C144A0"/>
    <w:rsid w:val="00C14A13"/>
    <w:rsid w:val="00C15422"/>
    <w:rsid w:val="00C157FC"/>
    <w:rsid w:val="00C16155"/>
    <w:rsid w:val="00C167BC"/>
    <w:rsid w:val="00C167F1"/>
    <w:rsid w:val="00C16F37"/>
    <w:rsid w:val="00C23322"/>
    <w:rsid w:val="00C25027"/>
    <w:rsid w:val="00C25199"/>
    <w:rsid w:val="00C252B4"/>
    <w:rsid w:val="00C255F9"/>
    <w:rsid w:val="00C25E7F"/>
    <w:rsid w:val="00C26B6F"/>
    <w:rsid w:val="00C27185"/>
    <w:rsid w:val="00C310C7"/>
    <w:rsid w:val="00C31C96"/>
    <w:rsid w:val="00C33E56"/>
    <w:rsid w:val="00C34924"/>
    <w:rsid w:val="00C353FE"/>
    <w:rsid w:val="00C36FB2"/>
    <w:rsid w:val="00C3700F"/>
    <w:rsid w:val="00C3714E"/>
    <w:rsid w:val="00C37AD8"/>
    <w:rsid w:val="00C40423"/>
    <w:rsid w:val="00C41765"/>
    <w:rsid w:val="00C41C36"/>
    <w:rsid w:val="00C42594"/>
    <w:rsid w:val="00C439B7"/>
    <w:rsid w:val="00C460DD"/>
    <w:rsid w:val="00C4642A"/>
    <w:rsid w:val="00C479E5"/>
    <w:rsid w:val="00C47BE7"/>
    <w:rsid w:val="00C47E7B"/>
    <w:rsid w:val="00C50241"/>
    <w:rsid w:val="00C50517"/>
    <w:rsid w:val="00C50BAF"/>
    <w:rsid w:val="00C51787"/>
    <w:rsid w:val="00C52E7A"/>
    <w:rsid w:val="00C52FF4"/>
    <w:rsid w:val="00C5591E"/>
    <w:rsid w:val="00C56E46"/>
    <w:rsid w:val="00C56FC9"/>
    <w:rsid w:val="00C612C1"/>
    <w:rsid w:val="00C61F62"/>
    <w:rsid w:val="00C627C9"/>
    <w:rsid w:val="00C62909"/>
    <w:rsid w:val="00C63100"/>
    <w:rsid w:val="00C6313B"/>
    <w:rsid w:val="00C63E53"/>
    <w:rsid w:val="00C64303"/>
    <w:rsid w:val="00C65C64"/>
    <w:rsid w:val="00C6606F"/>
    <w:rsid w:val="00C67C55"/>
    <w:rsid w:val="00C70277"/>
    <w:rsid w:val="00C703A4"/>
    <w:rsid w:val="00C70F31"/>
    <w:rsid w:val="00C7140B"/>
    <w:rsid w:val="00C71B08"/>
    <w:rsid w:val="00C71DE0"/>
    <w:rsid w:val="00C72B67"/>
    <w:rsid w:val="00C730D3"/>
    <w:rsid w:val="00C745B5"/>
    <w:rsid w:val="00C74FDD"/>
    <w:rsid w:val="00C75B9C"/>
    <w:rsid w:val="00C76131"/>
    <w:rsid w:val="00C7782B"/>
    <w:rsid w:val="00C7791B"/>
    <w:rsid w:val="00C80450"/>
    <w:rsid w:val="00C80A1C"/>
    <w:rsid w:val="00C80AAB"/>
    <w:rsid w:val="00C80BF5"/>
    <w:rsid w:val="00C80E02"/>
    <w:rsid w:val="00C80FB7"/>
    <w:rsid w:val="00C8101D"/>
    <w:rsid w:val="00C81412"/>
    <w:rsid w:val="00C81719"/>
    <w:rsid w:val="00C81D14"/>
    <w:rsid w:val="00C81F05"/>
    <w:rsid w:val="00C82900"/>
    <w:rsid w:val="00C85103"/>
    <w:rsid w:val="00C85F1B"/>
    <w:rsid w:val="00C86C0D"/>
    <w:rsid w:val="00C87A10"/>
    <w:rsid w:val="00C90DB1"/>
    <w:rsid w:val="00C9128A"/>
    <w:rsid w:val="00C91FCC"/>
    <w:rsid w:val="00C92669"/>
    <w:rsid w:val="00C92B9B"/>
    <w:rsid w:val="00C92BA5"/>
    <w:rsid w:val="00C93CDD"/>
    <w:rsid w:val="00C94723"/>
    <w:rsid w:val="00C9531E"/>
    <w:rsid w:val="00CA3DBC"/>
    <w:rsid w:val="00CA4311"/>
    <w:rsid w:val="00CA4993"/>
    <w:rsid w:val="00CA50FC"/>
    <w:rsid w:val="00CA55A8"/>
    <w:rsid w:val="00CA5F5F"/>
    <w:rsid w:val="00CA7D70"/>
    <w:rsid w:val="00CA7F58"/>
    <w:rsid w:val="00CB010C"/>
    <w:rsid w:val="00CB07F6"/>
    <w:rsid w:val="00CB10E5"/>
    <w:rsid w:val="00CB17BE"/>
    <w:rsid w:val="00CB1D49"/>
    <w:rsid w:val="00CB2E39"/>
    <w:rsid w:val="00CB3021"/>
    <w:rsid w:val="00CB3AC4"/>
    <w:rsid w:val="00CB3F2E"/>
    <w:rsid w:val="00CB41B9"/>
    <w:rsid w:val="00CB4224"/>
    <w:rsid w:val="00CB423A"/>
    <w:rsid w:val="00CB4E86"/>
    <w:rsid w:val="00CB52D4"/>
    <w:rsid w:val="00CB5B3E"/>
    <w:rsid w:val="00CB5C20"/>
    <w:rsid w:val="00CB5C99"/>
    <w:rsid w:val="00CB7E67"/>
    <w:rsid w:val="00CC124C"/>
    <w:rsid w:val="00CC21D4"/>
    <w:rsid w:val="00CC22D0"/>
    <w:rsid w:val="00CC3795"/>
    <w:rsid w:val="00CC4451"/>
    <w:rsid w:val="00CC45C4"/>
    <w:rsid w:val="00CC4B30"/>
    <w:rsid w:val="00CC5464"/>
    <w:rsid w:val="00CC5DE3"/>
    <w:rsid w:val="00CC6822"/>
    <w:rsid w:val="00CC6B17"/>
    <w:rsid w:val="00CC7EA9"/>
    <w:rsid w:val="00CD125E"/>
    <w:rsid w:val="00CD136E"/>
    <w:rsid w:val="00CD18A6"/>
    <w:rsid w:val="00CD2550"/>
    <w:rsid w:val="00CD29F7"/>
    <w:rsid w:val="00CD2CA2"/>
    <w:rsid w:val="00CD351F"/>
    <w:rsid w:val="00CD445B"/>
    <w:rsid w:val="00CD5456"/>
    <w:rsid w:val="00CD6752"/>
    <w:rsid w:val="00CD6D13"/>
    <w:rsid w:val="00CD7505"/>
    <w:rsid w:val="00CD7DFA"/>
    <w:rsid w:val="00CE064F"/>
    <w:rsid w:val="00CE0BF1"/>
    <w:rsid w:val="00CE10D4"/>
    <w:rsid w:val="00CE1C81"/>
    <w:rsid w:val="00CE2C08"/>
    <w:rsid w:val="00CE2F27"/>
    <w:rsid w:val="00CE328B"/>
    <w:rsid w:val="00CE3BBD"/>
    <w:rsid w:val="00CE3EC3"/>
    <w:rsid w:val="00CE4D45"/>
    <w:rsid w:val="00CE560C"/>
    <w:rsid w:val="00CE7559"/>
    <w:rsid w:val="00CE7A9D"/>
    <w:rsid w:val="00CE7F54"/>
    <w:rsid w:val="00CF2F0A"/>
    <w:rsid w:val="00CF3238"/>
    <w:rsid w:val="00CF3473"/>
    <w:rsid w:val="00CF3725"/>
    <w:rsid w:val="00CF37A8"/>
    <w:rsid w:val="00CF4353"/>
    <w:rsid w:val="00CF5FCF"/>
    <w:rsid w:val="00CF635C"/>
    <w:rsid w:val="00CF693A"/>
    <w:rsid w:val="00D019D0"/>
    <w:rsid w:val="00D019E7"/>
    <w:rsid w:val="00D01AA5"/>
    <w:rsid w:val="00D02713"/>
    <w:rsid w:val="00D031AF"/>
    <w:rsid w:val="00D0427E"/>
    <w:rsid w:val="00D0450D"/>
    <w:rsid w:val="00D0478A"/>
    <w:rsid w:val="00D04A4D"/>
    <w:rsid w:val="00D052A7"/>
    <w:rsid w:val="00D055CF"/>
    <w:rsid w:val="00D05A2F"/>
    <w:rsid w:val="00D05DF0"/>
    <w:rsid w:val="00D06576"/>
    <w:rsid w:val="00D06F2C"/>
    <w:rsid w:val="00D07761"/>
    <w:rsid w:val="00D107F7"/>
    <w:rsid w:val="00D1101C"/>
    <w:rsid w:val="00D114E0"/>
    <w:rsid w:val="00D116FE"/>
    <w:rsid w:val="00D1229D"/>
    <w:rsid w:val="00D12638"/>
    <w:rsid w:val="00D1268D"/>
    <w:rsid w:val="00D12D58"/>
    <w:rsid w:val="00D12E23"/>
    <w:rsid w:val="00D13B41"/>
    <w:rsid w:val="00D1436C"/>
    <w:rsid w:val="00D14783"/>
    <w:rsid w:val="00D14B03"/>
    <w:rsid w:val="00D15880"/>
    <w:rsid w:val="00D1725C"/>
    <w:rsid w:val="00D172D1"/>
    <w:rsid w:val="00D20129"/>
    <w:rsid w:val="00D21198"/>
    <w:rsid w:val="00D2274A"/>
    <w:rsid w:val="00D22C5A"/>
    <w:rsid w:val="00D22F4A"/>
    <w:rsid w:val="00D239F4"/>
    <w:rsid w:val="00D23DE8"/>
    <w:rsid w:val="00D24162"/>
    <w:rsid w:val="00D25868"/>
    <w:rsid w:val="00D25F36"/>
    <w:rsid w:val="00D275AD"/>
    <w:rsid w:val="00D27A32"/>
    <w:rsid w:val="00D3024C"/>
    <w:rsid w:val="00D31AFE"/>
    <w:rsid w:val="00D325FF"/>
    <w:rsid w:val="00D329BA"/>
    <w:rsid w:val="00D34450"/>
    <w:rsid w:val="00D347B8"/>
    <w:rsid w:val="00D352B7"/>
    <w:rsid w:val="00D35C86"/>
    <w:rsid w:val="00D369D3"/>
    <w:rsid w:val="00D37998"/>
    <w:rsid w:val="00D37BA9"/>
    <w:rsid w:val="00D4135A"/>
    <w:rsid w:val="00D417B8"/>
    <w:rsid w:val="00D41D35"/>
    <w:rsid w:val="00D41FF2"/>
    <w:rsid w:val="00D4244F"/>
    <w:rsid w:val="00D43787"/>
    <w:rsid w:val="00D438DB"/>
    <w:rsid w:val="00D448E0"/>
    <w:rsid w:val="00D46DDD"/>
    <w:rsid w:val="00D46FBC"/>
    <w:rsid w:val="00D46FDF"/>
    <w:rsid w:val="00D476E0"/>
    <w:rsid w:val="00D51C6F"/>
    <w:rsid w:val="00D529F5"/>
    <w:rsid w:val="00D53548"/>
    <w:rsid w:val="00D551CF"/>
    <w:rsid w:val="00D55F60"/>
    <w:rsid w:val="00D56522"/>
    <w:rsid w:val="00D57480"/>
    <w:rsid w:val="00D578B9"/>
    <w:rsid w:val="00D57A5A"/>
    <w:rsid w:val="00D57B70"/>
    <w:rsid w:val="00D60BB4"/>
    <w:rsid w:val="00D612A1"/>
    <w:rsid w:val="00D619AA"/>
    <w:rsid w:val="00D62F7F"/>
    <w:rsid w:val="00D6576C"/>
    <w:rsid w:val="00D65ACB"/>
    <w:rsid w:val="00D66046"/>
    <w:rsid w:val="00D67A20"/>
    <w:rsid w:val="00D67B8F"/>
    <w:rsid w:val="00D704CE"/>
    <w:rsid w:val="00D70891"/>
    <w:rsid w:val="00D72836"/>
    <w:rsid w:val="00D731D2"/>
    <w:rsid w:val="00D74AFB"/>
    <w:rsid w:val="00D76769"/>
    <w:rsid w:val="00D769DA"/>
    <w:rsid w:val="00D76E64"/>
    <w:rsid w:val="00D801DB"/>
    <w:rsid w:val="00D80303"/>
    <w:rsid w:val="00D822DD"/>
    <w:rsid w:val="00D82F4A"/>
    <w:rsid w:val="00D83294"/>
    <w:rsid w:val="00D83570"/>
    <w:rsid w:val="00D8392C"/>
    <w:rsid w:val="00D858C7"/>
    <w:rsid w:val="00D87832"/>
    <w:rsid w:val="00D87B70"/>
    <w:rsid w:val="00D90443"/>
    <w:rsid w:val="00D9146D"/>
    <w:rsid w:val="00D9164B"/>
    <w:rsid w:val="00D91C78"/>
    <w:rsid w:val="00D928C4"/>
    <w:rsid w:val="00D92946"/>
    <w:rsid w:val="00D92A92"/>
    <w:rsid w:val="00D93C04"/>
    <w:rsid w:val="00D9506C"/>
    <w:rsid w:val="00D95834"/>
    <w:rsid w:val="00D966E7"/>
    <w:rsid w:val="00D9792F"/>
    <w:rsid w:val="00DA0369"/>
    <w:rsid w:val="00DA0EAB"/>
    <w:rsid w:val="00DA149B"/>
    <w:rsid w:val="00DA1BB7"/>
    <w:rsid w:val="00DA249C"/>
    <w:rsid w:val="00DA28FD"/>
    <w:rsid w:val="00DA3EAF"/>
    <w:rsid w:val="00DA4B97"/>
    <w:rsid w:val="00DA7A37"/>
    <w:rsid w:val="00DA7BC6"/>
    <w:rsid w:val="00DA7F94"/>
    <w:rsid w:val="00DB0436"/>
    <w:rsid w:val="00DB09C0"/>
    <w:rsid w:val="00DB1CC5"/>
    <w:rsid w:val="00DB1D24"/>
    <w:rsid w:val="00DB5501"/>
    <w:rsid w:val="00DB7B08"/>
    <w:rsid w:val="00DB7C13"/>
    <w:rsid w:val="00DB7EDA"/>
    <w:rsid w:val="00DC01F2"/>
    <w:rsid w:val="00DC09B0"/>
    <w:rsid w:val="00DC18E4"/>
    <w:rsid w:val="00DC1AED"/>
    <w:rsid w:val="00DC2192"/>
    <w:rsid w:val="00DC25F6"/>
    <w:rsid w:val="00DC2E03"/>
    <w:rsid w:val="00DC3144"/>
    <w:rsid w:val="00DC3B93"/>
    <w:rsid w:val="00DC47EE"/>
    <w:rsid w:val="00DC5257"/>
    <w:rsid w:val="00DC546A"/>
    <w:rsid w:val="00DC5C35"/>
    <w:rsid w:val="00DC61A9"/>
    <w:rsid w:val="00DC63B4"/>
    <w:rsid w:val="00DC6495"/>
    <w:rsid w:val="00DC65B8"/>
    <w:rsid w:val="00DC739E"/>
    <w:rsid w:val="00DD0C93"/>
    <w:rsid w:val="00DD1295"/>
    <w:rsid w:val="00DD168E"/>
    <w:rsid w:val="00DD31D4"/>
    <w:rsid w:val="00DD3246"/>
    <w:rsid w:val="00DD3EFA"/>
    <w:rsid w:val="00DD4715"/>
    <w:rsid w:val="00DD60C5"/>
    <w:rsid w:val="00DD655B"/>
    <w:rsid w:val="00DD666D"/>
    <w:rsid w:val="00DD6C15"/>
    <w:rsid w:val="00DD734E"/>
    <w:rsid w:val="00DE0598"/>
    <w:rsid w:val="00DE08FF"/>
    <w:rsid w:val="00DE1827"/>
    <w:rsid w:val="00DE201E"/>
    <w:rsid w:val="00DE238D"/>
    <w:rsid w:val="00DE356F"/>
    <w:rsid w:val="00DE4711"/>
    <w:rsid w:val="00DE4B0A"/>
    <w:rsid w:val="00DE4D0C"/>
    <w:rsid w:val="00DE5EAA"/>
    <w:rsid w:val="00DE67AC"/>
    <w:rsid w:val="00DE6E2A"/>
    <w:rsid w:val="00DE6F9F"/>
    <w:rsid w:val="00DE7B57"/>
    <w:rsid w:val="00DE7D5B"/>
    <w:rsid w:val="00DE7E6F"/>
    <w:rsid w:val="00DF0DF6"/>
    <w:rsid w:val="00DF13B1"/>
    <w:rsid w:val="00DF1669"/>
    <w:rsid w:val="00DF20F7"/>
    <w:rsid w:val="00DF44D7"/>
    <w:rsid w:val="00DF5752"/>
    <w:rsid w:val="00DF6A2E"/>
    <w:rsid w:val="00DF6DBD"/>
    <w:rsid w:val="00DF6FFC"/>
    <w:rsid w:val="00DF7549"/>
    <w:rsid w:val="00DF79B2"/>
    <w:rsid w:val="00E00A10"/>
    <w:rsid w:val="00E00B16"/>
    <w:rsid w:val="00E029FC"/>
    <w:rsid w:val="00E0369F"/>
    <w:rsid w:val="00E03EF4"/>
    <w:rsid w:val="00E04A4B"/>
    <w:rsid w:val="00E05937"/>
    <w:rsid w:val="00E05A05"/>
    <w:rsid w:val="00E06385"/>
    <w:rsid w:val="00E06610"/>
    <w:rsid w:val="00E073B8"/>
    <w:rsid w:val="00E07C2F"/>
    <w:rsid w:val="00E10C54"/>
    <w:rsid w:val="00E10F10"/>
    <w:rsid w:val="00E11A08"/>
    <w:rsid w:val="00E11F80"/>
    <w:rsid w:val="00E13575"/>
    <w:rsid w:val="00E13BE5"/>
    <w:rsid w:val="00E13F82"/>
    <w:rsid w:val="00E142C8"/>
    <w:rsid w:val="00E14C83"/>
    <w:rsid w:val="00E15107"/>
    <w:rsid w:val="00E15A3C"/>
    <w:rsid w:val="00E16408"/>
    <w:rsid w:val="00E16A90"/>
    <w:rsid w:val="00E17166"/>
    <w:rsid w:val="00E23850"/>
    <w:rsid w:val="00E2416D"/>
    <w:rsid w:val="00E247E2"/>
    <w:rsid w:val="00E24889"/>
    <w:rsid w:val="00E2511B"/>
    <w:rsid w:val="00E25B3B"/>
    <w:rsid w:val="00E25C1F"/>
    <w:rsid w:val="00E26589"/>
    <w:rsid w:val="00E27B72"/>
    <w:rsid w:val="00E27FA9"/>
    <w:rsid w:val="00E30121"/>
    <w:rsid w:val="00E30AD3"/>
    <w:rsid w:val="00E3269F"/>
    <w:rsid w:val="00E326A7"/>
    <w:rsid w:val="00E3276B"/>
    <w:rsid w:val="00E32A65"/>
    <w:rsid w:val="00E32C30"/>
    <w:rsid w:val="00E336DC"/>
    <w:rsid w:val="00E33E7B"/>
    <w:rsid w:val="00E3492E"/>
    <w:rsid w:val="00E34B22"/>
    <w:rsid w:val="00E3553D"/>
    <w:rsid w:val="00E35579"/>
    <w:rsid w:val="00E3655F"/>
    <w:rsid w:val="00E36A98"/>
    <w:rsid w:val="00E36EA3"/>
    <w:rsid w:val="00E370A6"/>
    <w:rsid w:val="00E40BB7"/>
    <w:rsid w:val="00E410BE"/>
    <w:rsid w:val="00E421ED"/>
    <w:rsid w:val="00E428CE"/>
    <w:rsid w:val="00E439B7"/>
    <w:rsid w:val="00E43F39"/>
    <w:rsid w:val="00E4406B"/>
    <w:rsid w:val="00E46BE2"/>
    <w:rsid w:val="00E472B0"/>
    <w:rsid w:val="00E473F7"/>
    <w:rsid w:val="00E508A3"/>
    <w:rsid w:val="00E52185"/>
    <w:rsid w:val="00E5384B"/>
    <w:rsid w:val="00E53F30"/>
    <w:rsid w:val="00E554AC"/>
    <w:rsid w:val="00E55742"/>
    <w:rsid w:val="00E55FBA"/>
    <w:rsid w:val="00E57285"/>
    <w:rsid w:val="00E57303"/>
    <w:rsid w:val="00E57453"/>
    <w:rsid w:val="00E57B47"/>
    <w:rsid w:val="00E618FC"/>
    <w:rsid w:val="00E6212D"/>
    <w:rsid w:val="00E6285D"/>
    <w:rsid w:val="00E64F06"/>
    <w:rsid w:val="00E65211"/>
    <w:rsid w:val="00E65908"/>
    <w:rsid w:val="00E659DA"/>
    <w:rsid w:val="00E65C8D"/>
    <w:rsid w:val="00E66394"/>
    <w:rsid w:val="00E6671B"/>
    <w:rsid w:val="00E673E1"/>
    <w:rsid w:val="00E67D6E"/>
    <w:rsid w:val="00E7026E"/>
    <w:rsid w:val="00E70E79"/>
    <w:rsid w:val="00E71A55"/>
    <w:rsid w:val="00E71AAF"/>
    <w:rsid w:val="00E739FD"/>
    <w:rsid w:val="00E73C1D"/>
    <w:rsid w:val="00E74278"/>
    <w:rsid w:val="00E75DC8"/>
    <w:rsid w:val="00E75F75"/>
    <w:rsid w:val="00E762F5"/>
    <w:rsid w:val="00E76F5B"/>
    <w:rsid w:val="00E81435"/>
    <w:rsid w:val="00E82421"/>
    <w:rsid w:val="00E8310C"/>
    <w:rsid w:val="00E85123"/>
    <w:rsid w:val="00E8655D"/>
    <w:rsid w:val="00E87637"/>
    <w:rsid w:val="00E87BBF"/>
    <w:rsid w:val="00E90656"/>
    <w:rsid w:val="00E906F9"/>
    <w:rsid w:val="00E91D80"/>
    <w:rsid w:val="00E923E0"/>
    <w:rsid w:val="00E92E57"/>
    <w:rsid w:val="00E932E6"/>
    <w:rsid w:val="00E939EE"/>
    <w:rsid w:val="00E93BE6"/>
    <w:rsid w:val="00E94720"/>
    <w:rsid w:val="00E95B73"/>
    <w:rsid w:val="00E972CB"/>
    <w:rsid w:val="00E97C44"/>
    <w:rsid w:val="00EA0514"/>
    <w:rsid w:val="00EA0BF8"/>
    <w:rsid w:val="00EA12AB"/>
    <w:rsid w:val="00EA13CE"/>
    <w:rsid w:val="00EA1DC5"/>
    <w:rsid w:val="00EA266F"/>
    <w:rsid w:val="00EA62AA"/>
    <w:rsid w:val="00EA65A3"/>
    <w:rsid w:val="00EA68AD"/>
    <w:rsid w:val="00EA6D01"/>
    <w:rsid w:val="00EA7A77"/>
    <w:rsid w:val="00EB03FC"/>
    <w:rsid w:val="00EB1EFA"/>
    <w:rsid w:val="00EB220B"/>
    <w:rsid w:val="00EB2880"/>
    <w:rsid w:val="00EB342E"/>
    <w:rsid w:val="00EB365A"/>
    <w:rsid w:val="00EB3C82"/>
    <w:rsid w:val="00EB3E3B"/>
    <w:rsid w:val="00EB430D"/>
    <w:rsid w:val="00EB44D8"/>
    <w:rsid w:val="00EB4F2B"/>
    <w:rsid w:val="00EB5857"/>
    <w:rsid w:val="00EB5944"/>
    <w:rsid w:val="00EB65E6"/>
    <w:rsid w:val="00EB7469"/>
    <w:rsid w:val="00EB7ABB"/>
    <w:rsid w:val="00EC0798"/>
    <w:rsid w:val="00EC0B70"/>
    <w:rsid w:val="00EC1D1A"/>
    <w:rsid w:val="00EC1E5B"/>
    <w:rsid w:val="00EC2335"/>
    <w:rsid w:val="00EC2955"/>
    <w:rsid w:val="00EC2E1F"/>
    <w:rsid w:val="00EC30C1"/>
    <w:rsid w:val="00EC4730"/>
    <w:rsid w:val="00EC554C"/>
    <w:rsid w:val="00EC69D8"/>
    <w:rsid w:val="00EC6C32"/>
    <w:rsid w:val="00EC6E38"/>
    <w:rsid w:val="00EC75D4"/>
    <w:rsid w:val="00EC7766"/>
    <w:rsid w:val="00EC7A10"/>
    <w:rsid w:val="00ED09F5"/>
    <w:rsid w:val="00ED0B6F"/>
    <w:rsid w:val="00ED14C9"/>
    <w:rsid w:val="00ED16B5"/>
    <w:rsid w:val="00ED17F7"/>
    <w:rsid w:val="00ED1C77"/>
    <w:rsid w:val="00ED1E64"/>
    <w:rsid w:val="00ED2092"/>
    <w:rsid w:val="00ED34C7"/>
    <w:rsid w:val="00ED3BC9"/>
    <w:rsid w:val="00ED4FD1"/>
    <w:rsid w:val="00ED5905"/>
    <w:rsid w:val="00ED6238"/>
    <w:rsid w:val="00ED6419"/>
    <w:rsid w:val="00ED6F41"/>
    <w:rsid w:val="00EE1307"/>
    <w:rsid w:val="00EE1643"/>
    <w:rsid w:val="00EE22B9"/>
    <w:rsid w:val="00EE2FC7"/>
    <w:rsid w:val="00EE3085"/>
    <w:rsid w:val="00EE4434"/>
    <w:rsid w:val="00EE500A"/>
    <w:rsid w:val="00EE5BEF"/>
    <w:rsid w:val="00EE5F34"/>
    <w:rsid w:val="00EE6CA1"/>
    <w:rsid w:val="00EF07A9"/>
    <w:rsid w:val="00EF0CA4"/>
    <w:rsid w:val="00EF2D34"/>
    <w:rsid w:val="00EF62FD"/>
    <w:rsid w:val="00EF6973"/>
    <w:rsid w:val="00EF6C57"/>
    <w:rsid w:val="00EF77FA"/>
    <w:rsid w:val="00EF7894"/>
    <w:rsid w:val="00F00452"/>
    <w:rsid w:val="00F0061B"/>
    <w:rsid w:val="00F012CD"/>
    <w:rsid w:val="00F0167B"/>
    <w:rsid w:val="00F01B64"/>
    <w:rsid w:val="00F02CC1"/>
    <w:rsid w:val="00F02EA2"/>
    <w:rsid w:val="00F05602"/>
    <w:rsid w:val="00F0580E"/>
    <w:rsid w:val="00F05B10"/>
    <w:rsid w:val="00F07BA6"/>
    <w:rsid w:val="00F1164E"/>
    <w:rsid w:val="00F131C0"/>
    <w:rsid w:val="00F133DC"/>
    <w:rsid w:val="00F13C04"/>
    <w:rsid w:val="00F15199"/>
    <w:rsid w:val="00F15F6D"/>
    <w:rsid w:val="00F16EB2"/>
    <w:rsid w:val="00F20C8B"/>
    <w:rsid w:val="00F21653"/>
    <w:rsid w:val="00F21A8E"/>
    <w:rsid w:val="00F21C12"/>
    <w:rsid w:val="00F21E85"/>
    <w:rsid w:val="00F22484"/>
    <w:rsid w:val="00F22C31"/>
    <w:rsid w:val="00F24323"/>
    <w:rsid w:val="00F246E7"/>
    <w:rsid w:val="00F24AEA"/>
    <w:rsid w:val="00F261A9"/>
    <w:rsid w:val="00F26238"/>
    <w:rsid w:val="00F26CA5"/>
    <w:rsid w:val="00F26D24"/>
    <w:rsid w:val="00F26FE1"/>
    <w:rsid w:val="00F31937"/>
    <w:rsid w:val="00F3195D"/>
    <w:rsid w:val="00F32ABC"/>
    <w:rsid w:val="00F32B93"/>
    <w:rsid w:val="00F33A01"/>
    <w:rsid w:val="00F34337"/>
    <w:rsid w:val="00F34667"/>
    <w:rsid w:val="00F34DA5"/>
    <w:rsid w:val="00F34FB5"/>
    <w:rsid w:val="00F35E5C"/>
    <w:rsid w:val="00F36427"/>
    <w:rsid w:val="00F36865"/>
    <w:rsid w:val="00F36B48"/>
    <w:rsid w:val="00F37647"/>
    <w:rsid w:val="00F4067C"/>
    <w:rsid w:val="00F40717"/>
    <w:rsid w:val="00F40B6C"/>
    <w:rsid w:val="00F41023"/>
    <w:rsid w:val="00F415F1"/>
    <w:rsid w:val="00F42F32"/>
    <w:rsid w:val="00F43BED"/>
    <w:rsid w:val="00F43DA1"/>
    <w:rsid w:val="00F44041"/>
    <w:rsid w:val="00F44298"/>
    <w:rsid w:val="00F45148"/>
    <w:rsid w:val="00F454A5"/>
    <w:rsid w:val="00F47B35"/>
    <w:rsid w:val="00F516F7"/>
    <w:rsid w:val="00F52780"/>
    <w:rsid w:val="00F536BF"/>
    <w:rsid w:val="00F53943"/>
    <w:rsid w:val="00F55172"/>
    <w:rsid w:val="00F5582C"/>
    <w:rsid w:val="00F558A0"/>
    <w:rsid w:val="00F55AE5"/>
    <w:rsid w:val="00F56046"/>
    <w:rsid w:val="00F56802"/>
    <w:rsid w:val="00F57604"/>
    <w:rsid w:val="00F578BC"/>
    <w:rsid w:val="00F57C33"/>
    <w:rsid w:val="00F57E9E"/>
    <w:rsid w:val="00F60AC2"/>
    <w:rsid w:val="00F60EE8"/>
    <w:rsid w:val="00F61F46"/>
    <w:rsid w:val="00F62233"/>
    <w:rsid w:val="00F62B92"/>
    <w:rsid w:val="00F63AED"/>
    <w:rsid w:val="00F64238"/>
    <w:rsid w:val="00F642AF"/>
    <w:rsid w:val="00F646D3"/>
    <w:rsid w:val="00F648D8"/>
    <w:rsid w:val="00F66196"/>
    <w:rsid w:val="00F67DC6"/>
    <w:rsid w:val="00F702B7"/>
    <w:rsid w:val="00F704B8"/>
    <w:rsid w:val="00F70700"/>
    <w:rsid w:val="00F70CD1"/>
    <w:rsid w:val="00F72FF5"/>
    <w:rsid w:val="00F739F5"/>
    <w:rsid w:val="00F74032"/>
    <w:rsid w:val="00F75FE8"/>
    <w:rsid w:val="00F76C98"/>
    <w:rsid w:val="00F77DED"/>
    <w:rsid w:val="00F8042A"/>
    <w:rsid w:val="00F808F1"/>
    <w:rsid w:val="00F80E45"/>
    <w:rsid w:val="00F816A7"/>
    <w:rsid w:val="00F81F9F"/>
    <w:rsid w:val="00F825D4"/>
    <w:rsid w:val="00F82D3F"/>
    <w:rsid w:val="00F83A93"/>
    <w:rsid w:val="00F84C7D"/>
    <w:rsid w:val="00F84FC4"/>
    <w:rsid w:val="00F85274"/>
    <w:rsid w:val="00F8546D"/>
    <w:rsid w:val="00F8564B"/>
    <w:rsid w:val="00F86266"/>
    <w:rsid w:val="00F87008"/>
    <w:rsid w:val="00F901A5"/>
    <w:rsid w:val="00F91DD1"/>
    <w:rsid w:val="00F920B0"/>
    <w:rsid w:val="00F932F9"/>
    <w:rsid w:val="00F949E3"/>
    <w:rsid w:val="00F9568C"/>
    <w:rsid w:val="00F964E9"/>
    <w:rsid w:val="00F968AD"/>
    <w:rsid w:val="00F96D6C"/>
    <w:rsid w:val="00F970D4"/>
    <w:rsid w:val="00F97547"/>
    <w:rsid w:val="00F97FD0"/>
    <w:rsid w:val="00FA01D0"/>
    <w:rsid w:val="00FA0738"/>
    <w:rsid w:val="00FA1591"/>
    <w:rsid w:val="00FA1F1E"/>
    <w:rsid w:val="00FA2285"/>
    <w:rsid w:val="00FA2733"/>
    <w:rsid w:val="00FA3504"/>
    <w:rsid w:val="00FA4EDB"/>
    <w:rsid w:val="00FA5AE4"/>
    <w:rsid w:val="00FA68D5"/>
    <w:rsid w:val="00FA6D42"/>
    <w:rsid w:val="00FA72CB"/>
    <w:rsid w:val="00FA75BC"/>
    <w:rsid w:val="00FA7BA1"/>
    <w:rsid w:val="00FB03AA"/>
    <w:rsid w:val="00FB080E"/>
    <w:rsid w:val="00FB0E05"/>
    <w:rsid w:val="00FB1030"/>
    <w:rsid w:val="00FB103D"/>
    <w:rsid w:val="00FB2752"/>
    <w:rsid w:val="00FB3561"/>
    <w:rsid w:val="00FB367E"/>
    <w:rsid w:val="00FB3CC0"/>
    <w:rsid w:val="00FC0191"/>
    <w:rsid w:val="00FC01FF"/>
    <w:rsid w:val="00FC07CA"/>
    <w:rsid w:val="00FC0A86"/>
    <w:rsid w:val="00FC19F2"/>
    <w:rsid w:val="00FC2034"/>
    <w:rsid w:val="00FC232E"/>
    <w:rsid w:val="00FC247E"/>
    <w:rsid w:val="00FC25D5"/>
    <w:rsid w:val="00FC2894"/>
    <w:rsid w:val="00FC29E7"/>
    <w:rsid w:val="00FC2BE7"/>
    <w:rsid w:val="00FC3117"/>
    <w:rsid w:val="00FC39EA"/>
    <w:rsid w:val="00FC408A"/>
    <w:rsid w:val="00FC4A44"/>
    <w:rsid w:val="00FC61B9"/>
    <w:rsid w:val="00FC6592"/>
    <w:rsid w:val="00FC78EF"/>
    <w:rsid w:val="00FC7D42"/>
    <w:rsid w:val="00FC7DF7"/>
    <w:rsid w:val="00FD0F62"/>
    <w:rsid w:val="00FD1636"/>
    <w:rsid w:val="00FD16F4"/>
    <w:rsid w:val="00FD236C"/>
    <w:rsid w:val="00FD2B06"/>
    <w:rsid w:val="00FD3E3A"/>
    <w:rsid w:val="00FD4046"/>
    <w:rsid w:val="00FD6276"/>
    <w:rsid w:val="00FD673F"/>
    <w:rsid w:val="00FD6EED"/>
    <w:rsid w:val="00FE053E"/>
    <w:rsid w:val="00FE123D"/>
    <w:rsid w:val="00FE1D76"/>
    <w:rsid w:val="00FE44A7"/>
    <w:rsid w:val="00FE7E5D"/>
    <w:rsid w:val="00FF13F6"/>
    <w:rsid w:val="00FF18F2"/>
    <w:rsid w:val="00FF1DFC"/>
    <w:rsid w:val="00FF1FC2"/>
    <w:rsid w:val="00FF29E2"/>
    <w:rsid w:val="00FF32BD"/>
    <w:rsid w:val="00FF34C9"/>
    <w:rsid w:val="00FF3CB1"/>
    <w:rsid w:val="00FF4E81"/>
    <w:rsid w:val="00FF5CA6"/>
    <w:rsid w:val="00FF5F3F"/>
    <w:rsid w:val="00FF6575"/>
    <w:rsid w:val="00FF7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0" type="connector" idref="#_x0000_s1035"/>
        <o:r id="V:Rule11" type="connector" idref="#_x0000_s1037"/>
        <o:r id="V:Rule12" type="connector" idref="#_x0000_s1048"/>
        <o:r id="V:Rule13" type="connector" idref="#_x0000_s1032"/>
        <o:r id="V:Rule14" type="connector" idref="#_x0000_s1047"/>
        <o:r id="V:Rule15" type="connector" idref="#_x0000_s1044"/>
        <o:r id="V:Rule16" type="connector" idref="#_x0000_s1043"/>
        <o:r id="V:Rule17" type="connector" idref="#_x0000_s1042"/>
        <o:r id="V:Rule1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24"/>
    <w:rPr>
      <w:rFonts w:ascii="Times New Roman" w:eastAsia="Times New Roman" w:hAnsi="Times New Roman"/>
      <w:sz w:val="24"/>
      <w:szCs w:val="24"/>
    </w:rPr>
  </w:style>
  <w:style w:type="paragraph" w:styleId="Heading1">
    <w:name w:val="heading 1"/>
    <w:basedOn w:val="Normal"/>
    <w:next w:val="Normal"/>
    <w:link w:val="Heading1Char"/>
    <w:uiPriority w:val="9"/>
    <w:qFormat/>
    <w:rsid w:val="00970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1E29E8"/>
    <w:pPr>
      <w:jc w:val="center"/>
      <w:outlineLvl w:val="1"/>
    </w:pPr>
    <w:rPr>
      <w:b/>
      <w:bCs/>
      <w:color w:val="000000"/>
      <w:kern w:val="28"/>
      <w:lang w:val="en-CA" w:eastAsia="en-CA"/>
    </w:rPr>
  </w:style>
  <w:style w:type="paragraph" w:styleId="Heading3">
    <w:name w:val="heading 3"/>
    <w:basedOn w:val="Normal"/>
    <w:next w:val="Normal"/>
    <w:link w:val="Heading3Char"/>
    <w:uiPriority w:val="9"/>
    <w:semiHidden/>
    <w:unhideWhenUsed/>
    <w:qFormat/>
    <w:rsid w:val="009700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008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008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5E7"/>
    <w:pPr>
      <w:tabs>
        <w:tab w:val="center" w:pos="4680"/>
        <w:tab w:val="right" w:pos="9360"/>
      </w:tabs>
    </w:pPr>
  </w:style>
  <w:style w:type="character" w:customStyle="1" w:styleId="HeaderChar">
    <w:name w:val="Header Char"/>
    <w:basedOn w:val="DefaultParagraphFont"/>
    <w:link w:val="Header"/>
    <w:uiPriority w:val="99"/>
    <w:rsid w:val="005235E7"/>
    <w:rPr>
      <w:rFonts w:ascii="Times New Roman" w:eastAsia="Times New Roman" w:hAnsi="Times New Roman"/>
      <w:sz w:val="24"/>
      <w:szCs w:val="24"/>
    </w:rPr>
  </w:style>
  <w:style w:type="paragraph" w:styleId="Footer">
    <w:name w:val="footer"/>
    <w:basedOn w:val="Normal"/>
    <w:link w:val="FooterChar"/>
    <w:uiPriority w:val="99"/>
    <w:unhideWhenUsed/>
    <w:rsid w:val="005235E7"/>
    <w:pPr>
      <w:tabs>
        <w:tab w:val="center" w:pos="4680"/>
        <w:tab w:val="right" w:pos="9360"/>
      </w:tabs>
    </w:pPr>
  </w:style>
  <w:style w:type="character" w:customStyle="1" w:styleId="FooterChar">
    <w:name w:val="Footer Char"/>
    <w:basedOn w:val="DefaultParagraphFont"/>
    <w:link w:val="Footer"/>
    <w:uiPriority w:val="99"/>
    <w:rsid w:val="005235E7"/>
    <w:rPr>
      <w:rFonts w:ascii="Times New Roman" w:eastAsia="Times New Roman" w:hAnsi="Times New Roman"/>
      <w:sz w:val="24"/>
      <w:szCs w:val="24"/>
    </w:rPr>
  </w:style>
  <w:style w:type="paragraph" w:customStyle="1" w:styleId="BulletLevel1">
    <w:name w:val="Bullet Level 1"/>
    <w:basedOn w:val="Normal"/>
    <w:qFormat/>
    <w:rsid w:val="00C50241"/>
    <w:pPr>
      <w:numPr>
        <w:numId w:val="1"/>
      </w:numPr>
    </w:pPr>
    <w:rPr>
      <w:rFonts w:ascii="Century Gothic" w:eastAsia="Calibri" w:hAnsi="Century Gothic"/>
      <w:sz w:val="20"/>
      <w:szCs w:val="20"/>
    </w:rPr>
  </w:style>
  <w:style w:type="paragraph" w:customStyle="1" w:styleId="BulletLevel2">
    <w:name w:val="Bullet Level 2"/>
    <w:basedOn w:val="Normal"/>
    <w:qFormat/>
    <w:rsid w:val="00C50241"/>
    <w:pPr>
      <w:numPr>
        <w:ilvl w:val="1"/>
        <w:numId w:val="1"/>
      </w:numPr>
      <w:ind w:left="1080"/>
    </w:pPr>
    <w:rPr>
      <w:rFonts w:ascii="Century Gothic" w:eastAsia="Calibri" w:hAnsi="Century Gothic"/>
      <w:sz w:val="20"/>
      <w:szCs w:val="20"/>
    </w:rPr>
  </w:style>
  <w:style w:type="table" w:styleId="TableGrid">
    <w:name w:val="Table Grid"/>
    <w:basedOn w:val="TableNormal"/>
    <w:uiPriority w:val="59"/>
    <w:rsid w:val="00C50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706A"/>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1D5774"/>
    <w:rPr>
      <w:rFonts w:ascii="Tahoma" w:hAnsi="Tahoma" w:cs="Tahoma"/>
      <w:sz w:val="16"/>
      <w:szCs w:val="16"/>
    </w:rPr>
  </w:style>
  <w:style w:type="character" w:customStyle="1" w:styleId="BalloonTextChar">
    <w:name w:val="Balloon Text Char"/>
    <w:basedOn w:val="DefaultParagraphFont"/>
    <w:link w:val="BalloonText"/>
    <w:uiPriority w:val="99"/>
    <w:semiHidden/>
    <w:rsid w:val="001D5774"/>
    <w:rPr>
      <w:rFonts w:ascii="Tahoma" w:eastAsia="Times New Roman" w:hAnsi="Tahoma" w:cs="Tahoma"/>
      <w:sz w:val="16"/>
      <w:szCs w:val="16"/>
    </w:rPr>
  </w:style>
  <w:style w:type="character" w:customStyle="1" w:styleId="x1">
    <w:name w:val="x1"/>
    <w:basedOn w:val="DefaultParagraphFont"/>
    <w:rsid w:val="00BB6A9A"/>
  </w:style>
  <w:style w:type="character" w:styleId="CommentReference">
    <w:name w:val="annotation reference"/>
    <w:basedOn w:val="DefaultParagraphFont"/>
    <w:unhideWhenUsed/>
    <w:rsid w:val="001830F1"/>
    <w:rPr>
      <w:sz w:val="16"/>
      <w:szCs w:val="16"/>
    </w:rPr>
  </w:style>
  <w:style w:type="paragraph" w:styleId="CommentText">
    <w:name w:val="annotation text"/>
    <w:basedOn w:val="Normal"/>
    <w:link w:val="CommentTextChar"/>
    <w:uiPriority w:val="99"/>
    <w:unhideWhenUsed/>
    <w:rsid w:val="001830F1"/>
    <w:rPr>
      <w:sz w:val="20"/>
      <w:szCs w:val="20"/>
    </w:rPr>
  </w:style>
  <w:style w:type="character" w:customStyle="1" w:styleId="CommentTextChar">
    <w:name w:val="Comment Text Char"/>
    <w:basedOn w:val="DefaultParagraphFont"/>
    <w:link w:val="CommentText"/>
    <w:uiPriority w:val="99"/>
    <w:rsid w:val="001830F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830F1"/>
    <w:rPr>
      <w:b/>
      <w:bCs/>
    </w:rPr>
  </w:style>
  <w:style w:type="character" w:customStyle="1" w:styleId="CommentSubjectChar">
    <w:name w:val="Comment Subject Char"/>
    <w:basedOn w:val="CommentTextChar"/>
    <w:link w:val="CommentSubject"/>
    <w:uiPriority w:val="99"/>
    <w:semiHidden/>
    <w:rsid w:val="001830F1"/>
    <w:rPr>
      <w:rFonts w:ascii="Times New Roman" w:eastAsia="Times New Roman" w:hAnsi="Times New Roman"/>
      <w:b/>
      <w:bCs/>
    </w:rPr>
  </w:style>
  <w:style w:type="character" w:styleId="Hyperlink">
    <w:name w:val="Hyperlink"/>
    <w:basedOn w:val="DefaultParagraphFont"/>
    <w:uiPriority w:val="99"/>
    <w:unhideWhenUsed/>
    <w:rsid w:val="00CD2CA2"/>
    <w:rPr>
      <w:color w:val="0000FF" w:themeColor="hyperlink"/>
      <w:u w:val="single"/>
    </w:rPr>
  </w:style>
  <w:style w:type="paragraph" w:customStyle="1" w:styleId="Default">
    <w:name w:val="Default"/>
    <w:rsid w:val="000A233D"/>
    <w:pPr>
      <w:autoSpaceDE w:val="0"/>
      <w:autoSpaceDN w:val="0"/>
      <w:adjustRightInd w:val="0"/>
    </w:pPr>
    <w:rPr>
      <w:rFonts w:ascii="Times New Roman" w:hAnsi="Times New Roman"/>
      <w:color w:val="000000"/>
      <w:sz w:val="24"/>
      <w:szCs w:val="24"/>
      <w:lang w:val="en-CA"/>
    </w:rPr>
  </w:style>
  <w:style w:type="paragraph" w:styleId="NoSpacing">
    <w:name w:val="No Spacing"/>
    <w:uiPriority w:val="1"/>
    <w:qFormat/>
    <w:rsid w:val="00FC7DF7"/>
    <w:rPr>
      <w:sz w:val="22"/>
      <w:szCs w:val="22"/>
      <w:lang w:val="en-GB"/>
    </w:rPr>
  </w:style>
  <w:style w:type="character" w:customStyle="1" w:styleId="Heading2Char">
    <w:name w:val="Heading 2 Char"/>
    <w:basedOn w:val="DefaultParagraphFont"/>
    <w:link w:val="Heading2"/>
    <w:uiPriority w:val="9"/>
    <w:rsid w:val="001E29E8"/>
    <w:rPr>
      <w:rFonts w:ascii="Times New Roman" w:eastAsia="Times New Roman" w:hAnsi="Times New Roman"/>
      <w:b/>
      <w:bCs/>
      <w:color w:val="000000"/>
      <w:kern w:val="28"/>
      <w:sz w:val="24"/>
      <w:szCs w:val="24"/>
      <w:lang w:val="en-CA" w:eastAsia="en-CA"/>
    </w:rPr>
  </w:style>
  <w:style w:type="character" w:customStyle="1" w:styleId="Heading1Char">
    <w:name w:val="Heading 1 Char"/>
    <w:basedOn w:val="DefaultParagraphFont"/>
    <w:link w:val="Heading1"/>
    <w:uiPriority w:val="9"/>
    <w:rsid w:val="0097008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7008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7008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70087"/>
    <w:rPr>
      <w:rFonts w:asciiTheme="majorHAnsi" w:eastAsiaTheme="majorEastAsia" w:hAnsiTheme="majorHAnsi" w:cstheme="majorBidi"/>
      <w:color w:val="243F60" w:themeColor="accent1" w:themeShade="7F"/>
      <w:sz w:val="24"/>
      <w:szCs w:val="24"/>
    </w:rPr>
  </w:style>
  <w:style w:type="character" w:styleId="Strong">
    <w:name w:val="Strong"/>
    <w:qFormat/>
    <w:rsid w:val="00970087"/>
    <w:rPr>
      <w:b/>
      <w:bCs/>
    </w:rPr>
  </w:style>
  <w:style w:type="character" w:styleId="Emphasis">
    <w:name w:val="Emphasis"/>
    <w:uiPriority w:val="20"/>
    <w:qFormat/>
    <w:rsid w:val="00970087"/>
    <w:rPr>
      <w:b/>
      <w:bCs/>
      <w:i w:val="0"/>
      <w:iCs w:val="0"/>
    </w:rPr>
  </w:style>
  <w:style w:type="paragraph" w:styleId="BodyText">
    <w:name w:val="Body Text"/>
    <w:basedOn w:val="Normal"/>
    <w:link w:val="BodyTextChar"/>
    <w:uiPriority w:val="99"/>
    <w:rsid w:val="00970087"/>
    <w:pPr>
      <w:autoSpaceDE w:val="0"/>
      <w:autoSpaceDN w:val="0"/>
      <w:jc w:val="both"/>
    </w:pPr>
    <w:rPr>
      <w:rFonts w:ascii="CG Omega" w:hAnsi="CG Omega"/>
      <w:i/>
      <w:iCs/>
      <w:sz w:val="20"/>
      <w:szCs w:val="20"/>
      <w:lang w:val="en-GB" w:eastAsia="en-GB"/>
    </w:rPr>
  </w:style>
  <w:style w:type="character" w:customStyle="1" w:styleId="BodyTextChar">
    <w:name w:val="Body Text Char"/>
    <w:basedOn w:val="DefaultParagraphFont"/>
    <w:link w:val="BodyText"/>
    <w:uiPriority w:val="99"/>
    <w:rsid w:val="00970087"/>
    <w:rPr>
      <w:rFonts w:ascii="CG Omega" w:eastAsia="Times New Roman" w:hAnsi="CG Omega"/>
      <w:i/>
      <w:iCs/>
      <w:lang w:val="en-GB" w:eastAsia="en-GB"/>
    </w:rPr>
  </w:style>
  <w:style w:type="paragraph" w:styleId="EndnoteText">
    <w:name w:val="endnote text"/>
    <w:basedOn w:val="Normal"/>
    <w:link w:val="EndnoteTextChar"/>
    <w:uiPriority w:val="99"/>
    <w:semiHidden/>
    <w:rsid w:val="00970087"/>
    <w:pPr>
      <w:autoSpaceDE w:val="0"/>
      <w:autoSpaceDN w:val="0"/>
    </w:pPr>
    <w:rPr>
      <w:rFonts w:ascii="CG Omega" w:hAnsi="CG Omega"/>
      <w:sz w:val="20"/>
      <w:szCs w:val="20"/>
      <w:lang w:val="en-GB" w:eastAsia="en-GB"/>
    </w:rPr>
  </w:style>
  <w:style w:type="character" w:customStyle="1" w:styleId="EndnoteTextChar">
    <w:name w:val="Endnote Text Char"/>
    <w:basedOn w:val="DefaultParagraphFont"/>
    <w:link w:val="EndnoteText"/>
    <w:uiPriority w:val="99"/>
    <w:semiHidden/>
    <w:rsid w:val="00970087"/>
    <w:rPr>
      <w:rFonts w:ascii="CG Omega" w:eastAsia="Times New Roman" w:hAnsi="CG Omega"/>
      <w:lang w:val="en-GB" w:eastAsia="en-GB"/>
    </w:rPr>
  </w:style>
  <w:style w:type="paragraph" w:styleId="BodyText2">
    <w:name w:val="Body Text 2"/>
    <w:basedOn w:val="Normal"/>
    <w:link w:val="BodyText2Char"/>
    <w:uiPriority w:val="99"/>
    <w:rsid w:val="00970087"/>
    <w:pPr>
      <w:autoSpaceDE w:val="0"/>
      <w:autoSpaceDN w:val="0"/>
    </w:pPr>
    <w:rPr>
      <w:rFonts w:ascii="CG Omega" w:hAnsi="CG Omega"/>
      <w:i/>
      <w:iCs/>
      <w:sz w:val="20"/>
      <w:szCs w:val="20"/>
      <w:lang w:val="en-GB" w:eastAsia="en-GB"/>
    </w:rPr>
  </w:style>
  <w:style w:type="character" w:customStyle="1" w:styleId="BodyText2Char">
    <w:name w:val="Body Text 2 Char"/>
    <w:basedOn w:val="DefaultParagraphFont"/>
    <w:link w:val="BodyText2"/>
    <w:uiPriority w:val="99"/>
    <w:rsid w:val="00970087"/>
    <w:rPr>
      <w:rFonts w:ascii="CG Omega" w:eastAsia="Times New Roman" w:hAnsi="CG Omega"/>
      <w:i/>
      <w:iCs/>
      <w:lang w:val="en-GB" w:eastAsia="en-GB"/>
    </w:rPr>
  </w:style>
  <w:style w:type="paragraph" w:styleId="NormalWeb">
    <w:name w:val="Normal (Web)"/>
    <w:basedOn w:val="Normal"/>
    <w:unhideWhenUsed/>
    <w:rsid w:val="00970087"/>
    <w:pPr>
      <w:spacing w:before="100" w:beforeAutospacing="1" w:after="100" w:afterAutospacing="1"/>
    </w:pPr>
    <w:rPr>
      <w:lang w:val="en-CA" w:eastAsia="en-CA"/>
    </w:rPr>
  </w:style>
  <w:style w:type="paragraph" w:customStyle="1" w:styleId="helptext">
    <w:name w:val="helptext"/>
    <w:basedOn w:val="Normal"/>
    <w:rsid w:val="00970087"/>
    <w:pPr>
      <w:spacing w:before="100" w:beforeAutospacing="1" w:after="100" w:afterAutospacing="1"/>
    </w:pPr>
    <w:rPr>
      <w:lang w:val="en-CA" w:eastAsia="en-CA"/>
    </w:rPr>
  </w:style>
  <w:style w:type="paragraph" w:styleId="Revision">
    <w:name w:val="Revision"/>
    <w:hidden/>
    <w:uiPriority w:val="99"/>
    <w:semiHidden/>
    <w:rsid w:val="00BF4EE8"/>
    <w:rPr>
      <w:rFonts w:ascii="Times New Roman" w:eastAsia="Times New Roman" w:hAnsi="Times New Roman"/>
      <w:sz w:val="24"/>
      <w:szCs w:val="24"/>
    </w:rPr>
  </w:style>
  <w:style w:type="paragraph" w:customStyle="1" w:styleId="title">
    <w:name w:val="title"/>
    <w:basedOn w:val="Normal"/>
    <w:rsid w:val="0053438C"/>
    <w:pPr>
      <w:spacing w:before="100" w:beforeAutospacing="1" w:after="100" w:afterAutospacing="1"/>
    </w:pPr>
    <w:rPr>
      <w:lang w:val="en-CA" w:eastAsia="en-CA"/>
    </w:rPr>
  </w:style>
  <w:style w:type="paragraph" w:customStyle="1" w:styleId="desc">
    <w:name w:val="desc"/>
    <w:basedOn w:val="Normal"/>
    <w:rsid w:val="0053438C"/>
    <w:pPr>
      <w:spacing w:before="100" w:beforeAutospacing="1" w:after="100" w:afterAutospacing="1"/>
    </w:pPr>
    <w:rPr>
      <w:lang w:val="en-CA" w:eastAsia="en-CA"/>
    </w:rPr>
  </w:style>
  <w:style w:type="paragraph" w:customStyle="1" w:styleId="details">
    <w:name w:val="details"/>
    <w:basedOn w:val="Normal"/>
    <w:rsid w:val="0053438C"/>
    <w:pPr>
      <w:spacing w:before="100" w:beforeAutospacing="1" w:after="100" w:afterAutospacing="1"/>
    </w:pPr>
    <w:rPr>
      <w:lang w:val="en-CA" w:eastAsia="en-CA"/>
    </w:rPr>
  </w:style>
  <w:style w:type="character" w:customStyle="1" w:styleId="jrnl">
    <w:name w:val="jrnl"/>
    <w:basedOn w:val="DefaultParagraphFont"/>
    <w:rsid w:val="0053438C"/>
  </w:style>
  <w:style w:type="character" w:customStyle="1" w:styleId="fig6">
    <w:name w:val="fig6"/>
    <w:basedOn w:val="DefaultParagraphFont"/>
    <w:rsid w:val="008B7FE5"/>
  </w:style>
  <w:style w:type="character" w:customStyle="1" w:styleId="figuretitle7">
    <w:name w:val="figuretitle7"/>
    <w:basedOn w:val="DefaultParagraphFont"/>
    <w:rsid w:val="008B7FE5"/>
    <w:rPr>
      <w:rFonts w:ascii="Arial" w:hAnsi="Arial" w:cs="Arial" w:hint="default"/>
      <w:b/>
      <w:bCs/>
      <w:caps/>
      <w:sz w:val="23"/>
      <w:szCs w:val="23"/>
    </w:rPr>
  </w:style>
  <w:style w:type="character" w:customStyle="1" w:styleId="figurecaption4">
    <w:name w:val="figurecaption4"/>
    <w:basedOn w:val="DefaultParagraphFont"/>
    <w:rsid w:val="008B7FE5"/>
    <w:rPr>
      <w:vanish w:val="0"/>
      <w:webHidden w:val="0"/>
      <w:sz w:val="21"/>
      <w:szCs w:val="21"/>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2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35E7"/>
    <w:pPr>
      <w:tabs>
        <w:tab w:val="center" w:pos="4680"/>
        <w:tab w:val="right" w:pos="9360"/>
      </w:tabs>
    </w:pPr>
  </w:style>
  <w:style w:type="character" w:customStyle="1" w:styleId="HeaderChar">
    <w:name w:val="Header Char"/>
    <w:basedOn w:val="DefaultParagraphFont"/>
    <w:link w:val="Header"/>
    <w:uiPriority w:val="99"/>
    <w:semiHidden/>
    <w:rsid w:val="005235E7"/>
    <w:rPr>
      <w:rFonts w:ascii="Times New Roman" w:eastAsia="Times New Roman" w:hAnsi="Times New Roman"/>
      <w:sz w:val="24"/>
      <w:szCs w:val="24"/>
    </w:rPr>
  </w:style>
  <w:style w:type="paragraph" w:styleId="Footer">
    <w:name w:val="footer"/>
    <w:basedOn w:val="Normal"/>
    <w:link w:val="FooterChar"/>
    <w:uiPriority w:val="99"/>
    <w:semiHidden/>
    <w:unhideWhenUsed/>
    <w:rsid w:val="005235E7"/>
    <w:pPr>
      <w:tabs>
        <w:tab w:val="center" w:pos="4680"/>
        <w:tab w:val="right" w:pos="9360"/>
      </w:tabs>
    </w:pPr>
  </w:style>
  <w:style w:type="character" w:customStyle="1" w:styleId="FooterChar">
    <w:name w:val="Footer Char"/>
    <w:basedOn w:val="DefaultParagraphFont"/>
    <w:link w:val="Footer"/>
    <w:uiPriority w:val="99"/>
    <w:semiHidden/>
    <w:rsid w:val="005235E7"/>
    <w:rPr>
      <w:rFonts w:ascii="Times New Roman" w:eastAsia="Times New Roman" w:hAnsi="Times New Roman"/>
      <w:sz w:val="24"/>
      <w:szCs w:val="24"/>
    </w:rPr>
  </w:style>
  <w:style w:type="paragraph" w:customStyle="1" w:styleId="BulletLevel1">
    <w:name w:val="Bullet Level 1"/>
    <w:basedOn w:val="Normal"/>
    <w:qFormat/>
    <w:rsid w:val="00C50241"/>
    <w:pPr>
      <w:numPr>
        <w:numId w:val="2"/>
      </w:numPr>
    </w:pPr>
    <w:rPr>
      <w:rFonts w:ascii="Century Gothic" w:eastAsia="Calibri" w:hAnsi="Century Gothic"/>
      <w:sz w:val="20"/>
      <w:szCs w:val="20"/>
    </w:rPr>
  </w:style>
  <w:style w:type="paragraph" w:customStyle="1" w:styleId="BulletLevel2">
    <w:name w:val="Bullet Level 2"/>
    <w:basedOn w:val="Normal"/>
    <w:qFormat/>
    <w:rsid w:val="00C50241"/>
    <w:pPr>
      <w:numPr>
        <w:ilvl w:val="1"/>
        <w:numId w:val="2"/>
      </w:numPr>
      <w:ind w:left="1080"/>
    </w:pPr>
    <w:rPr>
      <w:rFonts w:ascii="Century Gothic" w:eastAsia="Calibri" w:hAnsi="Century Gothic"/>
      <w:sz w:val="20"/>
      <w:szCs w:val="20"/>
    </w:rPr>
  </w:style>
  <w:style w:type="table" w:styleId="TableGrid">
    <w:name w:val="Table Grid"/>
    <w:basedOn w:val="TableNormal"/>
    <w:uiPriority w:val="59"/>
    <w:rsid w:val="00C50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706A"/>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1D5774"/>
    <w:rPr>
      <w:rFonts w:ascii="Tahoma" w:hAnsi="Tahoma" w:cs="Tahoma"/>
      <w:sz w:val="16"/>
      <w:szCs w:val="16"/>
    </w:rPr>
  </w:style>
  <w:style w:type="character" w:customStyle="1" w:styleId="BalloonTextChar">
    <w:name w:val="Balloon Text Char"/>
    <w:basedOn w:val="DefaultParagraphFont"/>
    <w:link w:val="BalloonText"/>
    <w:uiPriority w:val="99"/>
    <w:semiHidden/>
    <w:rsid w:val="001D5774"/>
    <w:rPr>
      <w:rFonts w:ascii="Tahoma" w:eastAsia="Times New Roman" w:hAnsi="Tahoma" w:cs="Tahoma"/>
      <w:sz w:val="16"/>
      <w:szCs w:val="16"/>
    </w:rPr>
  </w:style>
  <w:style w:type="character" w:customStyle="1" w:styleId="x1">
    <w:name w:val="x1"/>
    <w:basedOn w:val="DefaultParagraphFont"/>
    <w:rsid w:val="00BB6A9A"/>
  </w:style>
  <w:style w:type="character" w:styleId="CommentReference">
    <w:name w:val="annotation reference"/>
    <w:basedOn w:val="DefaultParagraphFont"/>
    <w:uiPriority w:val="99"/>
    <w:semiHidden/>
    <w:unhideWhenUsed/>
    <w:rsid w:val="001830F1"/>
    <w:rPr>
      <w:sz w:val="16"/>
      <w:szCs w:val="16"/>
    </w:rPr>
  </w:style>
  <w:style w:type="paragraph" w:styleId="CommentText">
    <w:name w:val="annotation text"/>
    <w:basedOn w:val="Normal"/>
    <w:link w:val="CommentTextChar"/>
    <w:uiPriority w:val="99"/>
    <w:semiHidden/>
    <w:unhideWhenUsed/>
    <w:rsid w:val="001830F1"/>
    <w:rPr>
      <w:sz w:val="20"/>
      <w:szCs w:val="20"/>
    </w:rPr>
  </w:style>
  <w:style w:type="character" w:customStyle="1" w:styleId="CommentTextChar">
    <w:name w:val="Comment Text Char"/>
    <w:basedOn w:val="DefaultParagraphFont"/>
    <w:link w:val="CommentText"/>
    <w:uiPriority w:val="99"/>
    <w:semiHidden/>
    <w:rsid w:val="001830F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830F1"/>
    <w:rPr>
      <w:b/>
      <w:bCs/>
    </w:rPr>
  </w:style>
  <w:style w:type="character" w:customStyle="1" w:styleId="CommentSubjectChar">
    <w:name w:val="Comment Subject Char"/>
    <w:basedOn w:val="CommentTextChar"/>
    <w:link w:val="CommentSubject"/>
    <w:uiPriority w:val="99"/>
    <w:semiHidden/>
    <w:rsid w:val="001830F1"/>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41253380">
      <w:bodyDiv w:val="1"/>
      <w:marLeft w:val="0"/>
      <w:marRight w:val="0"/>
      <w:marTop w:val="0"/>
      <w:marBottom w:val="0"/>
      <w:divBdr>
        <w:top w:val="none" w:sz="0" w:space="0" w:color="auto"/>
        <w:left w:val="none" w:sz="0" w:space="0" w:color="auto"/>
        <w:bottom w:val="none" w:sz="0" w:space="0" w:color="auto"/>
        <w:right w:val="none" w:sz="0" w:space="0" w:color="auto"/>
      </w:divBdr>
    </w:div>
    <w:div w:id="139229434">
      <w:bodyDiv w:val="1"/>
      <w:marLeft w:val="0"/>
      <w:marRight w:val="0"/>
      <w:marTop w:val="0"/>
      <w:marBottom w:val="0"/>
      <w:divBdr>
        <w:top w:val="none" w:sz="0" w:space="0" w:color="auto"/>
        <w:left w:val="none" w:sz="0" w:space="0" w:color="auto"/>
        <w:bottom w:val="none" w:sz="0" w:space="0" w:color="auto"/>
        <w:right w:val="none" w:sz="0" w:space="0" w:color="auto"/>
      </w:divBdr>
    </w:div>
    <w:div w:id="209192669">
      <w:bodyDiv w:val="1"/>
      <w:marLeft w:val="0"/>
      <w:marRight w:val="0"/>
      <w:marTop w:val="0"/>
      <w:marBottom w:val="0"/>
      <w:divBdr>
        <w:top w:val="none" w:sz="0" w:space="0" w:color="auto"/>
        <w:left w:val="none" w:sz="0" w:space="0" w:color="auto"/>
        <w:bottom w:val="none" w:sz="0" w:space="0" w:color="auto"/>
        <w:right w:val="none" w:sz="0" w:space="0" w:color="auto"/>
      </w:divBdr>
    </w:div>
    <w:div w:id="237636837">
      <w:bodyDiv w:val="1"/>
      <w:marLeft w:val="0"/>
      <w:marRight w:val="0"/>
      <w:marTop w:val="0"/>
      <w:marBottom w:val="0"/>
      <w:divBdr>
        <w:top w:val="none" w:sz="0" w:space="0" w:color="auto"/>
        <w:left w:val="none" w:sz="0" w:space="0" w:color="auto"/>
        <w:bottom w:val="none" w:sz="0" w:space="0" w:color="auto"/>
        <w:right w:val="none" w:sz="0" w:space="0" w:color="auto"/>
      </w:divBdr>
    </w:div>
    <w:div w:id="398946066">
      <w:bodyDiv w:val="1"/>
      <w:marLeft w:val="0"/>
      <w:marRight w:val="0"/>
      <w:marTop w:val="0"/>
      <w:marBottom w:val="0"/>
      <w:divBdr>
        <w:top w:val="none" w:sz="0" w:space="0" w:color="auto"/>
        <w:left w:val="none" w:sz="0" w:space="0" w:color="auto"/>
        <w:bottom w:val="none" w:sz="0" w:space="0" w:color="auto"/>
        <w:right w:val="none" w:sz="0" w:space="0" w:color="auto"/>
      </w:divBdr>
    </w:div>
    <w:div w:id="446777879">
      <w:bodyDiv w:val="1"/>
      <w:marLeft w:val="0"/>
      <w:marRight w:val="0"/>
      <w:marTop w:val="0"/>
      <w:marBottom w:val="0"/>
      <w:divBdr>
        <w:top w:val="none" w:sz="0" w:space="0" w:color="auto"/>
        <w:left w:val="none" w:sz="0" w:space="0" w:color="auto"/>
        <w:bottom w:val="none" w:sz="0" w:space="0" w:color="auto"/>
        <w:right w:val="none" w:sz="0" w:space="0" w:color="auto"/>
      </w:divBdr>
    </w:div>
    <w:div w:id="488836853">
      <w:bodyDiv w:val="1"/>
      <w:marLeft w:val="0"/>
      <w:marRight w:val="0"/>
      <w:marTop w:val="0"/>
      <w:marBottom w:val="0"/>
      <w:divBdr>
        <w:top w:val="none" w:sz="0" w:space="0" w:color="auto"/>
        <w:left w:val="none" w:sz="0" w:space="0" w:color="auto"/>
        <w:bottom w:val="none" w:sz="0" w:space="0" w:color="auto"/>
        <w:right w:val="none" w:sz="0" w:space="0" w:color="auto"/>
      </w:divBdr>
    </w:div>
    <w:div w:id="493649454">
      <w:bodyDiv w:val="1"/>
      <w:marLeft w:val="0"/>
      <w:marRight w:val="0"/>
      <w:marTop w:val="0"/>
      <w:marBottom w:val="0"/>
      <w:divBdr>
        <w:top w:val="none" w:sz="0" w:space="0" w:color="auto"/>
        <w:left w:val="none" w:sz="0" w:space="0" w:color="auto"/>
        <w:bottom w:val="none" w:sz="0" w:space="0" w:color="auto"/>
        <w:right w:val="none" w:sz="0" w:space="0" w:color="auto"/>
      </w:divBdr>
    </w:div>
    <w:div w:id="529538214">
      <w:bodyDiv w:val="1"/>
      <w:marLeft w:val="0"/>
      <w:marRight w:val="0"/>
      <w:marTop w:val="0"/>
      <w:marBottom w:val="0"/>
      <w:divBdr>
        <w:top w:val="none" w:sz="0" w:space="0" w:color="auto"/>
        <w:left w:val="none" w:sz="0" w:space="0" w:color="auto"/>
        <w:bottom w:val="none" w:sz="0" w:space="0" w:color="auto"/>
        <w:right w:val="none" w:sz="0" w:space="0" w:color="auto"/>
      </w:divBdr>
    </w:div>
    <w:div w:id="536504941">
      <w:bodyDiv w:val="1"/>
      <w:marLeft w:val="0"/>
      <w:marRight w:val="0"/>
      <w:marTop w:val="0"/>
      <w:marBottom w:val="0"/>
      <w:divBdr>
        <w:top w:val="none" w:sz="0" w:space="0" w:color="auto"/>
        <w:left w:val="none" w:sz="0" w:space="0" w:color="auto"/>
        <w:bottom w:val="none" w:sz="0" w:space="0" w:color="auto"/>
        <w:right w:val="none" w:sz="0" w:space="0" w:color="auto"/>
      </w:divBdr>
    </w:div>
    <w:div w:id="632488362">
      <w:bodyDiv w:val="1"/>
      <w:marLeft w:val="0"/>
      <w:marRight w:val="0"/>
      <w:marTop w:val="0"/>
      <w:marBottom w:val="0"/>
      <w:divBdr>
        <w:top w:val="none" w:sz="0" w:space="0" w:color="auto"/>
        <w:left w:val="none" w:sz="0" w:space="0" w:color="auto"/>
        <w:bottom w:val="none" w:sz="0" w:space="0" w:color="auto"/>
        <w:right w:val="none" w:sz="0" w:space="0" w:color="auto"/>
      </w:divBdr>
    </w:div>
    <w:div w:id="693073871">
      <w:bodyDiv w:val="1"/>
      <w:marLeft w:val="0"/>
      <w:marRight w:val="0"/>
      <w:marTop w:val="0"/>
      <w:marBottom w:val="0"/>
      <w:divBdr>
        <w:top w:val="none" w:sz="0" w:space="0" w:color="auto"/>
        <w:left w:val="none" w:sz="0" w:space="0" w:color="auto"/>
        <w:bottom w:val="none" w:sz="0" w:space="0" w:color="auto"/>
        <w:right w:val="none" w:sz="0" w:space="0" w:color="auto"/>
      </w:divBdr>
      <w:divsChild>
        <w:div w:id="977303888">
          <w:marLeft w:val="0"/>
          <w:marRight w:val="0"/>
          <w:marTop w:val="0"/>
          <w:marBottom w:val="0"/>
          <w:divBdr>
            <w:top w:val="none" w:sz="0" w:space="0" w:color="auto"/>
            <w:left w:val="none" w:sz="0" w:space="0" w:color="auto"/>
            <w:bottom w:val="none" w:sz="0" w:space="0" w:color="auto"/>
            <w:right w:val="none" w:sz="0" w:space="0" w:color="auto"/>
          </w:divBdr>
        </w:div>
      </w:divsChild>
    </w:div>
    <w:div w:id="912472519">
      <w:bodyDiv w:val="1"/>
      <w:marLeft w:val="0"/>
      <w:marRight w:val="0"/>
      <w:marTop w:val="0"/>
      <w:marBottom w:val="0"/>
      <w:divBdr>
        <w:top w:val="none" w:sz="0" w:space="0" w:color="auto"/>
        <w:left w:val="none" w:sz="0" w:space="0" w:color="auto"/>
        <w:bottom w:val="none" w:sz="0" w:space="0" w:color="auto"/>
        <w:right w:val="none" w:sz="0" w:space="0" w:color="auto"/>
      </w:divBdr>
      <w:divsChild>
        <w:div w:id="175920842">
          <w:marLeft w:val="0"/>
          <w:marRight w:val="0"/>
          <w:marTop w:val="0"/>
          <w:marBottom w:val="0"/>
          <w:divBdr>
            <w:top w:val="none" w:sz="0" w:space="0" w:color="auto"/>
            <w:left w:val="none" w:sz="0" w:space="0" w:color="auto"/>
            <w:bottom w:val="none" w:sz="0" w:space="0" w:color="auto"/>
            <w:right w:val="none" w:sz="0" w:space="0" w:color="auto"/>
          </w:divBdr>
        </w:div>
      </w:divsChild>
    </w:div>
    <w:div w:id="960838692">
      <w:bodyDiv w:val="1"/>
      <w:marLeft w:val="0"/>
      <w:marRight w:val="0"/>
      <w:marTop w:val="0"/>
      <w:marBottom w:val="0"/>
      <w:divBdr>
        <w:top w:val="none" w:sz="0" w:space="0" w:color="auto"/>
        <w:left w:val="none" w:sz="0" w:space="0" w:color="auto"/>
        <w:bottom w:val="none" w:sz="0" w:space="0" w:color="auto"/>
        <w:right w:val="none" w:sz="0" w:space="0" w:color="auto"/>
      </w:divBdr>
    </w:div>
    <w:div w:id="962810841">
      <w:bodyDiv w:val="1"/>
      <w:marLeft w:val="0"/>
      <w:marRight w:val="0"/>
      <w:marTop w:val="0"/>
      <w:marBottom w:val="0"/>
      <w:divBdr>
        <w:top w:val="none" w:sz="0" w:space="0" w:color="auto"/>
        <w:left w:val="none" w:sz="0" w:space="0" w:color="auto"/>
        <w:bottom w:val="none" w:sz="0" w:space="0" w:color="auto"/>
        <w:right w:val="none" w:sz="0" w:space="0" w:color="auto"/>
      </w:divBdr>
    </w:div>
    <w:div w:id="1012802255">
      <w:bodyDiv w:val="1"/>
      <w:marLeft w:val="0"/>
      <w:marRight w:val="0"/>
      <w:marTop w:val="0"/>
      <w:marBottom w:val="0"/>
      <w:divBdr>
        <w:top w:val="none" w:sz="0" w:space="0" w:color="auto"/>
        <w:left w:val="none" w:sz="0" w:space="0" w:color="auto"/>
        <w:bottom w:val="none" w:sz="0" w:space="0" w:color="auto"/>
        <w:right w:val="none" w:sz="0" w:space="0" w:color="auto"/>
      </w:divBdr>
    </w:div>
    <w:div w:id="1043402819">
      <w:bodyDiv w:val="1"/>
      <w:marLeft w:val="0"/>
      <w:marRight w:val="0"/>
      <w:marTop w:val="0"/>
      <w:marBottom w:val="0"/>
      <w:divBdr>
        <w:top w:val="none" w:sz="0" w:space="0" w:color="auto"/>
        <w:left w:val="none" w:sz="0" w:space="0" w:color="auto"/>
        <w:bottom w:val="none" w:sz="0" w:space="0" w:color="auto"/>
        <w:right w:val="none" w:sz="0" w:space="0" w:color="auto"/>
      </w:divBdr>
    </w:div>
    <w:div w:id="1108937546">
      <w:bodyDiv w:val="1"/>
      <w:marLeft w:val="0"/>
      <w:marRight w:val="0"/>
      <w:marTop w:val="0"/>
      <w:marBottom w:val="0"/>
      <w:divBdr>
        <w:top w:val="none" w:sz="0" w:space="0" w:color="auto"/>
        <w:left w:val="none" w:sz="0" w:space="0" w:color="auto"/>
        <w:bottom w:val="none" w:sz="0" w:space="0" w:color="auto"/>
        <w:right w:val="none" w:sz="0" w:space="0" w:color="auto"/>
      </w:divBdr>
    </w:div>
    <w:div w:id="1111586437">
      <w:bodyDiv w:val="1"/>
      <w:marLeft w:val="0"/>
      <w:marRight w:val="0"/>
      <w:marTop w:val="0"/>
      <w:marBottom w:val="0"/>
      <w:divBdr>
        <w:top w:val="none" w:sz="0" w:space="0" w:color="auto"/>
        <w:left w:val="none" w:sz="0" w:space="0" w:color="auto"/>
        <w:bottom w:val="none" w:sz="0" w:space="0" w:color="auto"/>
        <w:right w:val="none" w:sz="0" w:space="0" w:color="auto"/>
      </w:divBdr>
      <w:divsChild>
        <w:div w:id="224074599">
          <w:marLeft w:val="0"/>
          <w:marRight w:val="0"/>
          <w:marTop w:val="0"/>
          <w:marBottom w:val="0"/>
          <w:divBdr>
            <w:top w:val="none" w:sz="0" w:space="0" w:color="auto"/>
            <w:left w:val="none" w:sz="0" w:space="0" w:color="auto"/>
            <w:bottom w:val="none" w:sz="0" w:space="0" w:color="auto"/>
            <w:right w:val="none" w:sz="0" w:space="0" w:color="auto"/>
          </w:divBdr>
        </w:div>
      </w:divsChild>
    </w:div>
    <w:div w:id="1126122572">
      <w:bodyDiv w:val="1"/>
      <w:marLeft w:val="0"/>
      <w:marRight w:val="0"/>
      <w:marTop w:val="0"/>
      <w:marBottom w:val="0"/>
      <w:divBdr>
        <w:top w:val="none" w:sz="0" w:space="0" w:color="auto"/>
        <w:left w:val="none" w:sz="0" w:space="0" w:color="auto"/>
        <w:bottom w:val="none" w:sz="0" w:space="0" w:color="auto"/>
        <w:right w:val="none" w:sz="0" w:space="0" w:color="auto"/>
      </w:divBdr>
    </w:div>
    <w:div w:id="1197279962">
      <w:bodyDiv w:val="1"/>
      <w:marLeft w:val="0"/>
      <w:marRight w:val="0"/>
      <w:marTop w:val="0"/>
      <w:marBottom w:val="0"/>
      <w:divBdr>
        <w:top w:val="none" w:sz="0" w:space="0" w:color="auto"/>
        <w:left w:val="none" w:sz="0" w:space="0" w:color="auto"/>
        <w:bottom w:val="none" w:sz="0" w:space="0" w:color="auto"/>
        <w:right w:val="none" w:sz="0" w:space="0" w:color="auto"/>
      </w:divBdr>
    </w:div>
    <w:div w:id="1244029667">
      <w:bodyDiv w:val="1"/>
      <w:marLeft w:val="0"/>
      <w:marRight w:val="0"/>
      <w:marTop w:val="0"/>
      <w:marBottom w:val="0"/>
      <w:divBdr>
        <w:top w:val="none" w:sz="0" w:space="0" w:color="auto"/>
        <w:left w:val="none" w:sz="0" w:space="0" w:color="auto"/>
        <w:bottom w:val="none" w:sz="0" w:space="0" w:color="auto"/>
        <w:right w:val="none" w:sz="0" w:space="0" w:color="auto"/>
      </w:divBdr>
      <w:divsChild>
        <w:div w:id="328484978">
          <w:marLeft w:val="0"/>
          <w:marRight w:val="0"/>
          <w:marTop w:val="0"/>
          <w:marBottom w:val="0"/>
          <w:divBdr>
            <w:top w:val="none" w:sz="0" w:space="0" w:color="auto"/>
            <w:left w:val="none" w:sz="0" w:space="0" w:color="auto"/>
            <w:bottom w:val="none" w:sz="0" w:space="0" w:color="auto"/>
            <w:right w:val="none" w:sz="0" w:space="0" w:color="auto"/>
          </w:divBdr>
          <w:divsChild>
            <w:div w:id="568544489">
              <w:marLeft w:val="0"/>
              <w:marRight w:val="0"/>
              <w:marTop w:val="0"/>
              <w:marBottom w:val="0"/>
              <w:divBdr>
                <w:top w:val="single" w:sz="2" w:space="0" w:color="CCCCCC"/>
                <w:left w:val="single" w:sz="6" w:space="11" w:color="CCCCCC"/>
                <w:bottom w:val="single" w:sz="6" w:space="0" w:color="CCCCCC"/>
                <w:right w:val="single" w:sz="6" w:space="11" w:color="CCCCCC"/>
              </w:divBdr>
              <w:divsChild>
                <w:div w:id="994601115">
                  <w:marLeft w:val="0"/>
                  <w:marRight w:val="0"/>
                  <w:marTop w:val="0"/>
                  <w:marBottom w:val="0"/>
                  <w:divBdr>
                    <w:top w:val="none" w:sz="0" w:space="0" w:color="auto"/>
                    <w:left w:val="none" w:sz="0" w:space="0" w:color="auto"/>
                    <w:bottom w:val="none" w:sz="0" w:space="0" w:color="auto"/>
                    <w:right w:val="single" w:sz="6" w:space="0" w:color="CCCCCC"/>
                  </w:divBdr>
                  <w:divsChild>
                    <w:div w:id="1062368586">
                      <w:marLeft w:val="0"/>
                      <w:marRight w:val="0"/>
                      <w:marTop w:val="0"/>
                      <w:marBottom w:val="225"/>
                      <w:divBdr>
                        <w:top w:val="none" w:sz="0" w:space="0" w:color="auto"/>
                        <w:left w:val="none" w:sz="0" w:space="0" w:color="auto"/>
                        <w:bottom w:val="none" w:sz="0" w:space="0" w:color="auto"/>
                        <w:right w:val="none" w:sz="0" w:space="0" w:color="auto"/>
                      </w:divBdr>
                      <w:divsChild>
                        <w:div w:id="16357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497486">
      <w:bodyDiv w:val="1"/>
      <w:marLeft w:val="0"/>
      <w:marRight w:val="0"/>
      <w:marTop w:val="0"/>
      <w:marBottom w:val="0"/>
      <w:divBdr>
        <w:top w:val="none" w:sz="0" w:space="0" w:color="auto"/>
        <w:left w:val="none" w:sz="0" w:space="0" w:color="auto"/>
        <w:bottom w:val="none" w:sz="0" w:space="0" w:color="auto"/>
        <w:right w:val="none" w:sz="0" w:space="0" w:color="auto"/>
      </w:divBdr>
    </w:div>
    <w:div w:id="1311594186">
      <w:bodyDiv w:val="1"/>
      <w:marLeft w:val="0"/>
      <w:marRight w:val="0"/>
      <w:marTop w:val="0"/>
      <w:marBottom w:val="0"/>
      <w:divBdr>
        <w:top w:val="none" w:sz="0" w:space="0" w:color="auto"/>
        <w:left w:val="none" w:sz="0" w:space="0" w:color="auto"/>
        <w:bottom w:val="none" w:sz="0" w:space="0" w:color="auto"/>
        <w:right w:val="none" w:sz="0" w:space="0" w:color="auto"/>
      </w:divBdr>
    </w:div>
    <w:div w:id="1369063612">
      <w:bodyDiv w:val="1"/>
      <w:marLeft w:val="0"/>
      <w:marRight w:val="0"/>
      <w:marTop w:val="0"/>
      <w:marBottom w:val="0"/>
      <w:divBdr>
        <w:top w:val="none" w:sz="0" w:space="0" w:color="auto"/>
        <w:left w:val="none" w:sz="0" w:space="0" w:color="auto"/>
        <w:bottom w:val="none" w:sz="0" w:space="0" w:color="auto"/>
        <w:right w:val="none" w:sz="0" w:space="0" w:color="auto"/>
      </w:divBdr>
    </w:div>
    <w:div w:id="1410620305">
      <w:bodyDiv w:val="1"/>
      <w:marLeft w:val="0"/>
      <w:marRight w:val="0"/>
      <w:marTop w:val="0"/>
      <w:marBottom w:val="0"/>
      <w:divBdr>
        <w:top w:val="none" w:sz="0" w:space="0" w:color="auto"/>
        <w:left w:val="none" w:sz="0" w:space="0" w:color="auto"/>
        <w:bottom w:val="none" w:sz="0" w:space="0" w:color="auto"/>
        <w:right w:val="none" w:sz="0" w:space="0" w:color="auto"/>
      </w:divBdr>
    </w:div>
    <w:div w:id="1510674351">
      <w:bodyDiv w:val="1"/>
      <w:marLeft w:val="0"/>
      <w:marRight w:val="0"/>
      <w:marTop w:val="0"/>
      <w:marBottom w:val="0"/>
      <w:divBdr>
        <w:top w:val="none" w:sz="0" w:space="0" w:color="auto"/>
        <w:left w:val="none" w:sz="0" w:space="0" w:color="auto"/>
        <w:bottom w:val="none" w:sz="0" w:space="0" w:color="auto"/>
        <w:right w:val="none" w:sz="0" w:space="0" w:color="auto"/>
      </w:divBdr>
    </w:div>
    <w:div w:id="1518470399">
      <w:bodyDiv w:val="1"/>
      <w:marLeft w:val="0"/>
      <w:marRight w:val="0"/>
      <w:marTop w:val="0"/>
      <w:marBottom w:val="0"/>
      <w:divBdr>
        <w:top w:val="none" w:sz="0" w:space="0" w:color="auto"/>
        <w:left w:val="none" w:sz="0" w:space="0" w:color="auto"/>
        <w:bottom w:val="none" w:sz="0" w:space="0" w:color="auto"/>
        <w:right w:val="none" w:sz="0" w:space="0" w:color="auto"/>
      </w:divBdr>
    </w:div>
    <w:div w:id="1654407263">
      <w:bodyDiv w:val="1"/>
      <w:marLeft w:val="0"/>
      <w:marRight w:val="0"/>
      <w:marTop w:val="0"/>
      <w:marBottom w:val="0"/>
      <w:divBdr>
        <w:top w:val="none" w:sz="0" w:space="0" w:color="auto"/>
        <w:left w:val="none" w:sz="0" w:space="0" w:color="auto"/>
        <w:bottom w:val="none" w:sz="0" w:space="0" w:color="auto"/>
        <w:right w:val="none" w:sz="0" w:space="0" w:color="auto"/>
      </w:divBdr>
    </w:div>
    <w:div w:id="1750611140">
      <w:bodyDiv w:val="1"/>
      <w:marLeft w:val="0"/>
      <w:marRight w:val="0"/>
      <w:marTop w:val="0"/>
      <w:marBottom w:val="0"/>
      <w:divBdr>
        <w:top w:val="none" w:sz="0" w:space="0" w:color="auto"/>
        <w:left w:val="none" w:sz="0" w:space="0" w:color="auto"/>
        <w:bottom w:val="none" w:sz="0" w:space="0" w:color="auto"/>
        <w:right w:val="none" w:sz="0" w:space="0" w:color="auto"/>
      </w:divBdr>
    </w:div>
    <w:div w:id="1803840091">
      <w:bodyDiv w:val="1"/>
      <w:marLeft w:val="0"/>
      <w:marRight w:val="0"/>
      <w:marTop w:val="0"/>
      <w:marBottom w:val="0"/>
      <w:divBdr>
        <w:top w:val="none" w:sz="0" w:space="0" w:color="auto"/>
        <w:left w:val="none" w:sz="0" w:space="0" w:color="auto"/>
        <w:bottom w:val="none" w:sz="0" w:space="0" w:color="auto"/>
        <w:right w:val="none" w:sz="0" w:space="0" w:color="auto"/>
      </w:divBdr>
    </w:div>
    <w:div w:id="1836459913">
      <w:bodyDiv w:val="1"/>
      <w:marLeft w:val="0"/>
      <w:marRight w:val="0"/>
      <w:marTop w:val="0"/>
      <w:marBottom w:val="0"/>
      <w:divBdr>
        <w:top w:val="none" w:sz="0" w:space="0" w:color="auto"/>
        <w:left w:val="none" w:sz="0" w:space="0" w:color="auto"/>
        <w:bottom w:val="none" w:sz="0" w:space="0" w:color="auto"/>
        <w:right w:val="none" w:sz="0" w:space="0" w:color="auto"/>
      </w:divBdr>
    </w:div>
    <w:div w:id="1882208438">
      <w:bodyDiv w:val="1"/>
      <w:marLeft w:val="0"/>
      <w:marRight w:val="0"/>
      <w:marTop w:val="0"/>
      <w:marBottom w:val="0"/>
      <w:divBdr>
        <w:top w:val="none" w:sz="0" w:space="0" w:color="auto"/>
        <w:left w:val="none" w:sz="0" w:space="0" w:color="auto"/>
        <w:bottom w:val="none" w:sz="0" w:space="0" w:color="auto"/>
        <w:right w:val="none" w:sz="0" w:space="0" w:color="auto"/>
      </w:divBdr>
    </w:div>
    <w:div w:id="19943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120"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C563C-654F-4441-9ADF-586F1273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12239</Words>
  <Characters>69768</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CAP</Company>
  <LinksUpToDate>false</LinksUpToDate>
  <CharactersWithSpaces>81844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Fatheree</dc:creator>
  <cp:lastModifiedBy>mwick</cp:lastModifiedBy>
  <cp:revision>3</cp:revision>
  <cp:lastPrinted>2013-03-19T19:07:00Z</cp:lastPrinted>
  <dcterms:created xsi:type="dcterms:W3CDTF">2013-04-17T18:43:00Z</dcterms:created>
  <dcterms:modified xsi:type="dcterms:W3CDTF">2013-04-17T18:48:00Z</dcterms:modified>
</cp:coreProperties>
</file>