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72" w:rsidRPr="00407E85" w:rsidRDefault="00DA2A72" w:rsidP="00DA2A72">
      <w:pPr>
        <w:spacing w:line="480" w:lineRule="auto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407E85">
        <w:rPr>
          <w:rFonts w:ascii="Arial" w:hAnsi="Arial" w:cs="Arial"/>
          <w:b/>
          <w:sz w:val="24"/>
          <w:szCs w:val="24"/>
          <w:lang w:val="en-US"/>
        </w:rPr>
        <w:t>SUPPLEMENTARY TABLE AND FIGURE</w:t>
      </w:r>
    </w:p>
    <w:p w:rsidR="00DA2A72" w:rsidRPr="00407E85" w:rsidRDefault="001F10B1" w:rsidP="00DA2A72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407E85">
        <w:rPr>
          <w:rFonts w:ascii="Arial" w:hAnsi="Arial" w:cs="Arial"/>
          <w:b/>
          <w:sz w:val="24"/>
          <w:szCs w:val="24"/>
          <w:lang w:val="en-US"/>
        </w:rPr>
        <w:t xml:space="preserve">SUPPLEMENTARY TABLE </w:t>
      </w:r>
      <w:r w:rsidR="00DA2A72" w:rsidRPr="00407E85">
        <w:rPr>
          <w:rFonts w:ascii="Arial" w:hAnsi="Arial" w:cs="Arial"/>
          <w:b/>
          <w:sz w:val="24"/>
          <w:szCs w:val="24"/>
          <w:lang w:val="en-US"/>
        </w:rPr>
        <w:t>S1.</w:t>
      </w:r>
      <w:proofErr w:type="gramEnd"/>
      <w:r w:rsidR="00DA2A72" w:rsidRPr="00407E8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A2A72" w:rsidRPr="00407E85">
        <w:rPr>
          <w:rFonts w:ascii="Arial" w:hAnsi="Arial" w:cs="Arial"/>
          <w:sz w:val="24"/>
          <w:szCs w:val="24"/>
          <w:lang w:val="en-US"/>
        </w:rPr>
        <w:t xml:space="preserve">Treatment </w:t>
      </w:r>
      <w:r w:rsidRPr="00407E85">
        <w:rPr>
          <w:rFonts w:ascii="Arial" w:hAnsi="Arial" w:cs="Arial"/>
          <w:sz w:val="24"/>
          <w:szCs w:val="24"/>
          <w:lang w:val="en-US"/>
        </w:rPr>
        <w:t>Exposu</w:t>
      </w:r>
      <w:r w:rsidR="00DA2A72" w:rsidRPr="00407E85">
        <w:rPr>
          <w:rFonts w:ascii="Arial" w:hAnsi="Arial" w:cs="Arial"/>
          <w:sz w:val="24"/>
          <w:szCs w:val="24"/>
          <w:lang w:val="en-US"/>
        </w:rPr>
        <w:t xml:space="preserve">re by </w:t>
      </w:r>
      <w:r w:rsidRPr="00407E85">
        <w:rPr>
          <w:rFonts w:ascii="Arial" w:hAnsi="Arial" w:cs="Arial"/>
          <w:sz w:val="24"/>
          <w:szCs w:val="24"/>
          <w:lang w:val="en-US"/>
        </w:rPr>
        <w:t xml:space="preserve">Treatment Arm </w:t>
      </w:r>
      <w:r w:rsidR="00DA2A72" w:rsidRPr="00407E85">
        <w:rPr>
          <w:rFonts w:ascii="Arial" w:hAnsi="Arial" w:cs="Arial"/>
          <w:sz w:val="24"/>
          <w:szCs w:val="24"/>
          <w:lang w:val="en-US"/>
        </w:rPr>
        <w:t xml:space="preserve">in the </w:t>
      </w:r>
      <w:r w:rsidRPr="00407E85">
        <w:rPr>
          <w:rFonts w:ascii="Arial" w:hAnsi="Arial" w:cs="Arial"/>
          <w:sz w:val="24"/>
          <w:szCs w:val="24"/>
          <w:lang w:val="en-US"/>
        </w:rPr>
        <w:t xml:space="preserve">Overall Treated Population </w:t>
      </w:r>
      <w:r w:rsidR="00DA2A72" w:rsidRPr="00407E85">
        <w:rPr>
          <w:rFonts w:ascii="Arial" w:hAnsi="Arial" w:cs="Arial"/>
          <w:sz w:val="24"/>
          <w:szCs w:val="24"/>
          <w:lang w:val="en-US"/>
        </w:rPr>
        <w:t xml:space="preserve">and in </w:t>
      </w:r>
      <w:proofErr w:type="spellStart"/>
      <w:r w:rsidRPr="00407E85">
        <w:rPr>
          <w:rFonts w:ascii="Arial" w:hAnsi="Arial" w:cs="Arial"/>
          <w:sz w:val="24"/>
          <w:szCs w:val="24"/>
          <w:lang w:val="en-US"/>
        </w:rPr>
        <w:t>Chem</w:t>
      </w:r>
      <w:r w:rsidR="00DA2A72" w:rsidRPr="00407E85">
        <w:rPr>
          <w:rFonts w:ascii="Arial" w:hAnsi="Arial" w:cs="Arial"/>
          <w:sz w:val="24"/>
          <w:szCs w:val="24"/>
          <w:lang w:val="en-US"/>
        </w:rPr>
        <w:t>orefractory</w:t>
      </w:r>
      <w:proofErr w:type="spellEnd"/>
      <w:r w:rsidR="00DA2A72" w:rsidRPr="00407E85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Pr="00407E85">
        <w:rPr>
          <w:rFonts w:ascii="Arial" w:hAnsi="Arial" w:cs="Arial"/>
          <w:sz w:val="24"/>
          <w:szCs w:val="24"/>
          <w:lang w:val="en-US"/>
        </w:rPr>
        <w:t>Chemosensitive</w:t>
      </w:r>
      <w:proofErr w:type="spellEnd"/>
      <w:r w:rsidRPr="00407E85">
        <w:rPr>
          <w:rFonts w:ascii="Arial" w:hAnsi="Arial" w:cs="Arial"/>
          <w:sz w:val="24"/>
          <w:szCs w:val="24"/>
          <w:lang w:val="en-US"/>
        </w:rPr>
        <w:t xml:space="preserve"> Subgroups</w:t>
      </w:r>
      <w:r w:rsidR="00DA2A72" w:rsidRPr="00407E85"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20" w:firstRow="1" w:lastRow="0" w:firstColumn="0" w:lastColumn="0" w:noHBand="0" w:noVBand="1"/>
      </w:tblPr>
      <w:tblGrid>
        <w:gridCol w:w="3227"/>
        <w:gridCol w:w="1823"/>
        <w:gridCol w:w="1826"/>
        <w:gridCol w:w="1823"/>
        <w:gridCol w:w="1826"/>
        <w:gridCol w:w="1823"/>
        <w:gridCol w:w="1826"/>
      </w:tblGrid>
      <w:tr w:rsidR="00DA2A72" w:rsidRPr="00407E85" w:rsidTr="00DA2A72">
        <w:trPr>
          <w:trHeight w:val="278"/>
        </w:trPr>
        <w:tc>
          <w:tcPr>
            <w:tcW w:w="1138" w:type="pct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DA2A72" w:rsidRPr="00407E85" w:rsidRDefault="00DA2A72" w:rsidP="001D577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2A72" w:rsidRPr="00407E85" w:rsidRDefault="00DA2A72" w:rsidP="001D5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val="en-US"/>
              </w:rPr>
              <w:t>Overall population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2A72" w:rsidRPr="00407E85" w:rsidRDefault="00DA2A72" w:rsidP="001D5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val="en-US"/>
              </w:rPr>
              <w:t>Chemorefractory subgroup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2A72" w:rsidRPr="00407E85" w:rsidRDefault="00DA2A72" w:rsidP="001D5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val="en-US"/>
              </w:rPr>
              <w:t>Chemosensitive subgroup</w:t>
            </w:r>
          </w:p>
        </w:tc>
      </w:tr>
      <w:tr w:rsidR="00DA2A72" w:rsidRPr="00407E85" w:rsidTr="00DA2A72">
        <w:trPr>
          <w:trHeight w:val="507"/>
        </w:trPr>
        <w:tc>
          <w:tcPr>
            <w:tcW w:w="1138" w:type="pct"/>
            <w:vMerge/>
            <w:tcBorders>
              <w:top w:val="nil"/>
              <w:bottom w:val="single" w:sz="4" w:space="0" w:color="auto"/>
            </w:tcBorders>
            <w:hideMark/>
          </w:tcPr>
          <w:p w:rsidR="00DA2A72" w:rsidRPr="00407E85" w:rsidRDefault="00DA2A72" w:rsidP="001D577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2A72" w:rsidRPr="00407E85" w:rsidRDefault="00DA2A72" w:rsidP="001D5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val="en-US"/>
              </w:rPr>
              <w:t>Cabazitaxel</w:t>
            </w:r>
            <w:r w:rsidRPr="00407E85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val="en-US"/>
              </w:rPr>
              <w:br/>
              <w:t>(n = 89)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2A72" w:rsidRPr="00407E85" w:rsidRDefault="00DA2A72" w:rsidP="001D5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val="en-US"/>
              </w:rPr>
              <w:t>Topotecan</w:t>
            </w:r>
            <w:r w:rsidRPr="00407E85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val="en-US"/>
              </w:rPr>
              <w:br/>
              <w:t>(n = 88)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2A72" w:rsidRPr="00407E85" w:rsidRDefault="00DA2A72" w:rsidP="001D5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val="en-US"/>
              </w:rPr>
              <w:t>Cabazitaxel</w:t>
            </w:r>
          </w:p>
          <w:p w:rsidR="00DA2A72" w:rsidRPr="00407E85" w:rsidRDefault="00DA2A72" w:rsidP="001D5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val="en-US"/>
              </w:rPr>
              <w:t>(n = 45)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2A72" w:rsidRPr="00407E85" w:rsidRDefault="00DA2A72" w:rsidP="001D5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val="en-US"/>
              </w:rPr>
              <w:t>Topotecan</w:t>
            </w:r>
          </w:p>
          <w:p w:rsidR="00DA2A72" w:rsidRPr="00407E85" w:rsidRDefault="00DA2A72" w:rsidP="001D5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val="en-US"/>
              </w:rPr>
              <w:t>(n = 43)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2A72" w:rsidRPr="00407E85" w:rsidRDefault="00DA2A72" w:rsidP="001D5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val="en-US"/>
              </w:rPr>
              <w:t>Cabazitaxel</w:t>
            </w:r>
          </w:p>
          <w:p w:rsidR="00DA2A72" w:rsidRPr="00407E85" w:rsidRDefault="00DA2A72" w:rsidP="001D5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val="en-US"/>
              </w:rPr>
              <w:t>(n = 44)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2A72" w:rsidRPr="00407E85" w:rsidRDefault="00DA2A72" w:rsidP="001D5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val="en-US"/>
              </w:rPr>
              <w:t>Topotecan</w:t>
            </w:r>
          </w:p>
          <w:p w:rsidR="00DA2A72" w:rsidRPr="00407E85" w:rsidRDefault="00DA2A72" w:rsidP="001D5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val="en-US"/>
              </w:rPr>
              <w:t>(n = 45)</w:t>
            </w:r>
          </w:p>
        </w:tc>
      </w:tr>
      <w:tr w:rsidR="00DA2A72" w:rsidRPr="00407E85" w:rsidTr="00DA2A72">
        <w:trPr>
          <w:trHeight w:val="715"/>
        </w:trPr>
        <w:tc>
          <w:tcPr>
            <w:tcW w:w="1138" w:type="pct"/>
            <w:tcBorders>
              <w:top w:val="single" w:sz="4" w:space="0" w:color="auto"/>
            </w:tcBorders>
            <w:vAlign w:val="center"/>
            <w:hideMark/>
          </w:tcPr>
          <w:p w:rsidR="00DA2A72" w:rsidRPr="00407E85" w:rsidRDefault="00DA2A72" w:rsidP="001D5773">
            <w:pPr>
              <w:ind w:left="13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val="en-US"/>
              </w:rPr>
              <w:t>Median number of treatment cycles (range)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  <w:hideMark/>
          </w:tcPr>
          <w:p w:rsidR="00DA2A72" w:rsidRPr="00407E85" w:rsidRDefault="00DA2A72" w:rsidP="001D5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kern w:val="24"/>
                <w:sz w:val="18"/>
                <w:szCs w:val="18"/>
                <w:lang w:val="en-US"/>
              </w:rPr>
              <w:t>2.0</w:t>
            </w:r>
          </w:p>
          <w:p w:rsidR="00DA2A72" w:rsidRPr="00407E85" w:rsidRDefault="00DA2A72" w:rsidP="001D5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sz w:val="18"/>
                <w:szCs w:val="18"/>
                <w:lang w:val="en-US"/>
              </w:rPr>
              <w:t>(1–20)</w:t>
            </w:r>
          </w:p>
        </w:tc>
        <w:tc>
          <w:tcPr>
            <w:tcW w:w="644" w:type="pct"/>
            <w:tcBorders>
              <w:top w:val="single" w:sz="4" w:space="0" w:color="auto"/>
            </w:tcBorders>
            <w:vAlign w:val="center"/>
            <w:hideMark/>
          </w:tcPr>
          <w:p w:rsidR="00DA2A72" w:rsidRPr="00407E85" w:rsidRDefault="00DA2A72" w:rsidP="001D5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kern w:val="24"/>
                <w:sz w:val="18"/>
                <w:szCs w:val="18"/>
                <w:lang w:val="en-US"/>
              </w:rPr>
              <w:t>4.0</w:t>
            </w:r>
          </w:p>
          <w:p w:rsidR="00DA2A72" w:rsidRPr="00407E85" w:rsidRDefault="00DA2A72" w:rsidP="001D5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kern w:val="24"/>
                <w:sz w:val="18"/>
                <w:szCs w:val="18"/>
                <w:lang w:val="en-US"/>
              </w:rPr>
              <w:t>(1–11)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  <w:hideMark/>
          </w:tcPr>
          <w:p w:rsidR="00DA2A72" w:rsidRPr="00407E85" w:rsidRDefault="00DA2A72" w:rsidP="001D5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kern w:val="24"/>
                <w:sz w:val="18"/>
                <w:szCs w:val="18"/>
                <w:lang w:val="en-US"/>
              </w:rPr>
              <w:t>2.0</w:t>
            </w:r>
            <w:r>
              <w:rPr>
                <w:rFonts w:ascii="Arial" w:hAnsi="Arial" w:cs="Arial"/>
                <w:kern w:val="24"/>
                <w:sz w:val="18"/>
                <w:szCs w:val="18"/>
                <w:lang w:val="en-US"/>
              </w:rPr>
              <w:br/>
              <w:t>(1–20</w:t>
            </w:r>
            <w:r w:rsidRPr="00407E85">
              <w:rPr>
                <w:rFonts w:ascii="Arial" w:hAnsi="Arial" w:cs="Arial"/>
                <w:kern w:val="24"/>
                <w:sz w:val="18"/>
                <w:szCs w:val="18"/>
                <w:lang w:val="en-US"/>
              </w:rPr>
              <w:t>)</w:t>
            </w:r>
          </w:p>
        </w:tc>
        <w:tc>
          <w:tcPr>
            <w:tcW w:w="644" w:type="pct"/>
            <w:tcBorders>
              <w:top w:val="single" w:sz="4" w:space="0" w:color="auto"/>
            </w:tcBorders>
            <w:vAlign w:val="center"/>
            <w:hideMark/>
          </w:tcPr>
          <w:p w:rsidR="00DA2A72" w:rsidRPr="00407E85" w:rsidRDefault="00DA2A72" w:rsidP="001D5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kern w:val="24"/>
                <w:sz w:val="18"/>
                <w:szCs w:val="18"/>
                <w:lang w:val="en-US"/>
              </w:rPr>
              <w:t>3.0</w:t>
            </w:r>
            <w:r w:rsidRPr="00407E85">
              <w:rPr>
                <w:rFonts w:ascii="Arial" w:hAnsi="Arial" w:cs="Arial"/>
                <w:kern w:val="24"/>
                <w:sz w:val="18"/>
                <w:szCs w:val="18"/>
                <w:lang w:val="en-US"/>
              </w:rPr>
              <w:br/>
              <w:t>(1–8)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  <w:hideMark/>
          </w:tcPr>
          <w:p w:rsidR="00DA2A72" w:rsidRPr="00407E85" w:rsidRDefault="00DA2A72" w:rsidP="001D5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kern w:val="24"/>
                <w:sz w:val="18"/>
                <w:szCs w:val="18"/>
                <w:lang w:val="en-US"/>
              </w:rPr>
              <w:t>2.5</w:t>
            </w:r>
            <w:r w:rsidRPr="00407E85">
              <w:rPr>
                <w:rFonts w:ascii="Arial" w:hAnsi="Arial" w:cs="Arial"/>
                <w:kern w:val="24"/>
                <w:sz w:val="18"/>
                <w:szCs w:val="18"/>
                <w:lang w:val="en-US"/>
              </w:rPr>
              <w:br/>
              <w:t>(1–8)</w:t>
            </w:r>
          </w:p>
        </w:tc>
        <w:tc>
          <w:tcPr>
            <w:tcW w:w="644" w:type="pct"/>
            <w:tcBorders>
              <w:top w:val="single" w:sz="4" w:space="0" w:color="auto"/>
            </w:tcBorders>
            <w:vAlign w:val="center"/>
            <w:hideMark/>
          </w:tcPr>
          <w:p w:rsidR="00DA2A72" w:rsidRPr="00407E85" w:rsidRDefault="00DA2A72" w:rsidP="001D5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kern w:val="24"/>
                <w:sz w:val="18"/>
                <w:szCs w:val="18"/>
                <w:lang w:val="en-US"/>
              </w:rPr>
              <w:t>4.0</w:t>
            </w:r>
            <w:r w:rsidRPr="00407E85">
              <w:rPr>
                <w:rFonts w:ascii="Arial" w:hAnsi="Arial" w:cs="Arial"/>
                <w:kern w:val="24"/>
                <w:sz w:val="18"/>
                <w:szCs w:val="18"/>
                <w:lang w:val="en-US"/>
              </w:rPr>
              <w:br/>
              <w:t>(1–11)</w:t>
            </w:r>
          </w:p>
        </w:tc>
      </w:tr>
      <w:tr w:rsidR="00DA2A72" w:rsidRPr="00407E85" w:rsidTr="00DA2A72">
        <w:trPr>
          <w:trHeight w:val="512"/>
        </w:trPr>
        <w:tc>
          <w:tcPr>
            <w:tcW w:w="1138" w:type="pct"/>
            <w:vAlign w:val="center"/>
            <w:hideMark/>
          </w:tcPr>
          <w:p w:rsidR="00DA2A72" w:rsidRPr="00407E85" w:rsidRDefault="00DA2A72" w:rsidP="001D5773">
            <w:pPr>
              <w:ind w:left="13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val="en-US"/>
              </w:rPr>
              <w:t>Median relative dose intensity,*</w:t>
            </w:r>
            <w:r w:rsidRPr="00407E85">
              <w:rPr>
                <w:rFonts w:ascii="Arial" w:hAnsi="Arial" w:cs="Arial"/>
                <w:b/>
                <w:bCs/>
                <w:kern w:val="24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07E85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val="en-US"/>
              </w:rPr>
              <w:t>% (range)</w:t>
            </w:r>
          </w:p>
        </w:tc>
        <w:tc>
          <w:tcPr>
            <w:tcW w:w="643" w:type="pct"/>
            <w:vAlign w:val="center"/>
            <w:hideMark/>
          </w:tcPr>
          <w:p w:rsidR="00DA2A72" w:rsidRPr="00407E85" w:rsidRDefault="00DA2A72" w:rsidP="001D5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kern w:val="24"/>
                <w:sz w:val="18"/>
                <w:szCs w:val="18"/>
                <w:lang w:val="en-US"/>
              </w:rPr>
              <w:t>98.9</w:t>
            </w:r>
          </w:p>
          <w:p w:rsidR="00DA2A72" w:rsidRPr="00407E85" w:rsidRDefault="00DA2A72" w:rsidP="001D5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kern w:val="24"/>
                <w:sz w:val="18"/>
                <w:szCs w:val="18"/>
                <w:lang w:val="en-US"/>
              </w:rPr>
              <w:t>(61.1–103.0)</w:t>
            </w:r>
          </w:p>
        </w:tc>
        <w:tc>
          <w:tcPr>
            <w:tcW w:w="644" w:type="pct"/>
            <w:vAlign w:val="center"/>
            <w:hideMark/>
          </w:tcPr>
          <w:p w:rsidR="00DA2A72" w:rsidRPr="00407E85" w:rsidRDefault="00DA2A72" w:rsidP="001D5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kern w:val="24"/>
                <w:sz w:val="18"/>
                <w:szCs w:val="18"/>
                <w:lang w:val="en-US"/>
              </w:rPr>
              <w:t>91.8</w:t>
            </w:r>
          </w:p>
          <w:p w:rsidR="00DA2A72" w:rsidRPr="00407E85" w:rsidRDefault="00DA2A72" w:rsidP="001D5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kern w:val="24"/>
                <w:sz w:val="18"/>
                <w:szCs w:val="18"/>
                <w:lang w:val="en-US"/>
              </w:rPr>
              <w:t>(57.6–104.8)</w:t>
            </w:r>
          </w:p>
        </w:tc>
        <w:tc>
          <w:tcPr>
            <w:tcW w:w="643" w:type="pct"/>
            <w:vAlign w:val="center"/>
            <w:hideMark/>
          </w:tcPr>
          <w:p w:rsidR="00DA2A72" w:rsidRPr="00407E85" w:rsidRDefault="00DA2A72" w:rsidP="001D5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kern w:val="24"/>
                <w:sz w:val="18"/>
                <w:szCs w:val="18"/>
                <w:lang w:val="en-US"/>
              </w:rPr>
              <w:t>98.9</w:t>
            </w:r>
          </w:p>
          <w:p w:rsidR="00DA2A72" w:rsidRPr="00407E85" w:rsidRDefault="00DA2A72" w:rsidP="001D5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kern w:val="24"/>
                <w:sz w:val="18"/>
                <w:szCs w:val="18"/>
                <w:lang w:val="en-US"/>
              </w:rPr>
              <w:t>(72.5–101.7)</w:t>
            </w:r>
          </w:p>
        </w:tc>
        <w:tc>
          <w:tcPr>
            <w:tcW w:w="644" w:type="pct"/>
            <w:vAlign w:val="center"/>
            <w:hideMark/>
          </w:tcPr>
          <w:p w:rsidR="00DA2A72" w:rsidRPr="00407E85" w:rsidRDefault="00DA2A72" w:rsidP="001D5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kern w:val="24"/>
                <w:sz w:val="18"/>
                <w:szCs w:val="18"/>
                <w:lang w:val="en-US"/>
              </w:rPr>
              <w:t>93.2</w:t>
            </w:r>
          </w:p>
          <w:p w:rsidR="00DA2A72" w:rsidRPr="00407E85" w:rsidRDefault="00DA2A72" w:rsidP="001D5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kern w:val="24"/>
                <w:sz w:val="18"/>
                <w:szCs w:val="18"/>
                <w:lang w:val="en-US"/>
              </w:rPr>
              <w:t>(59.2–104.8)</w:t>
            </w:r>
          </w:p>
        </w:tc>
        <w:tc>
          <w:tcPr>
            <w:tcW w:w="643" w:type="pct"/>
            <w:vAlign w:val="center"/>
            <w:hideMark/>
          </w:tcPr>
          <w:p w:rsidR="00DA2A72" w:rsidRPr="00407E85" w:rsidRDefault="00DA2A72" w:rsidP="001D5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kern w:val="24"/>
                <w:sz w:val="18"/>
                <w:szCs w:val="18"/>
                <w:lang w:val="en-US"/>
              </w:rPr>
              <w:t>98.6</w:t>
            </w:r>
          </w:p>
          <w:p w:rsidR="00DA2A72" w:rsidRPr="00407E85" w:rsidRDefault="00DA2A72" w:rsidP="001D5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kern w:val="24"/>
                <w:sz w:val="18"/>
                <w:szCs w:val="18"/>
                <w:lang w:val="en-US"/>
              </w:rPr>
              <w:t>(61.1–103.0)</w:t>
            </w:r>
          </w:p>
        </w:tc>
        <w:tc>
          <w:tcPr>
            <w:tcW w:w="644" w:type="pct"/>
            <w:vAlign w:val="center"/>
            <w:hideMark/>
          </w:tcPr>
          <w:p w:rsidR="00DA2A72" w:rsidRPr="00407E85" w:rsidRDefault="00DA2A72" w:rsidP="001D5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kern w:val="24"/>
                <w:sz w:val="18"/>
                <w:szCs w:val="18"/>
                <w:lang w:val="en-US"/>
              </w:rPr>
              <w:t>86.8</w:t>
            </w:r>
          </w:p>
          <w:p w:rsidR="00DA2A72" w:rsidRPr="00407E85" w:rsidRDefault="00DA2A72" w:rsidP="001D5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kern w:val="24"/>
                <w:sz w:val="18"/>
                <w:szCs w:val="18"/>
                <w:lang w:val="en-US"/>
              </w:rPr>
              <w:t>(57.6–101.6)</w:t>
            </w:r>
          </w:p>
        </w:tc>
      </w:tr>
      <w:tr w:rsidR="00DA2A72" w:rsidRPr="00407E85" w:rsidTr="00DA2A72">
        <w:trPr>
          <w:trHeight w:val="278"/>
        </w:trPr>
        <w:tc>
          <w:tcPr>
            <w:tcW w:w="1138" w:type="pct"/>
            <w:vAlign w:val="center"/>
            <w:hideMark/>
          </w:tcPr>
          <w:p w:rsidR="00DA2A72" w:rsidRPr="00407E85" w:rsidRDefault="00DA2A72" w:rsidP="001D5773">
            <w:pPr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val="en-US"/>
              </w:rPr>
              <w:t>Treatment discontinuation, n (%)</w:t>
            </w:r>
          </w:p>
        </w:tc>
        <w:tc>
          <w:tcPr>
            <w:tcW w:w="643" w:type="pct"/>
            <w:vAlign w:val="center"/>
            <w:hideMark/>
          </w:tcPr>
          <w:p w:rsidR="00DA2A72" w:rsidRPr="00407E85" w:rsidRDefault="00DA2A72" w:rsidP="001D5773">
            <w:pPr>
              <w:tabs>
                <w:tab w:val="right" w:pos="305"/>
                <w:tab w:val="decimal" w:pos="625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>88</w:t>
            </w: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ab/>
              <w:t xml:space="preserve"> (98.9)</w:t>
            </w:r>
          </w:p>
        </w:tc>
        <w:tc>
          <w:tcPr>
            <w:tcW w:w="644" w:type="pct"/>
            <w:vAlign w:val="center"/>
            <w:hideMark/>
          </w:tcPr>
          <w:p w:rsidR="00DA2A72" w:rsidRPr="00407E85" w:rsidRDefault="00DA2A72" w:rsidP="001D5773">
            <w:pPr>
              <w:tabs>
                <w:tab w:val="right" w:pos="236"/>
                <w:tab w:val="decimal" w:pos="556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>87</w:t>
            </w: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ab/>
              <w:t xml:space="preserve"> (98.9)</w:t>
            </w:r>
          </w:p>
        </w:tc>
        <w:tc>
          <w:tcPr>
            <w:tcW w:w="643" w:type="pct"/>
            <w:vAlign w:val="center"/>
            <w:hideMark/>
          </w:tcPr>
          <w:p w:rsidR="00DA2A72" w:rsidRPr="00407E85" w:rsidRDefault="00DA2A72" w:rsidP="001D5773">
            <w:pPr>
              <w:tabs>
                <w:tab w:val="right" w:pos="307"/>
                <w:tab w:val="decimal" w:pos="627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>44</w:t>
            </w: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ab/>
              <w:t xml:space="preserve"> (97.8)</w:t>
            </w:r>
          </w:p>
        </w:tc>
        <w:tc>
          <w:tcPr>
            <w:tcW w:w="644" w:type="pct"/>
            <w:vAlign w:val="center"/>
            <w:hideMark/>
          </w:tcPr>
          <w:p w:rsidR="00DA2A72" w:rsidRPr="00407E85" w:rsidRDefault="00DA2A72" w:rsidP="001D5773">
            <w:pPr>
              <w:tabs>
                <w:tab w:val="right" w:pos="225"/>
                <w:tab w:val="decimal" w:pos="645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>43</w:t>
            </w: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ab/>
              <w:t xml:space="preserve"> (100)</w:t>
            </w:r>
          </w:p>
        </w:tc>
        <w:tc>
          <w:tcPr>
            <w:tcW w:w="643" w:type="pct"/>
            <w:vAlign w:val="center"/>
            <w:hideMark/>
          </w:tcPr>
          <w:p w:rsidR="00DA2A72" w:rsidRPr="00407E85" w:rsidRDefault="00DA2A72" w:rsidP="001D5773">
            <w:pPr>
              <w:tabs>
                <w:tab w:val="right" w:pos="312"/>
                <w:tab w:val="decimal" w:pos="632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>44</w:t>
            </w: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ab/>
              <w:t xml:space="preserve"> (100)</w:t>
            </w:r>
          </w:p>
        </w:tc>
        <w:tc>
          <w:tcPr>
            <w:tcW w:w="644" w:type="pct"/>
            <w:vAlign w:val="center"/>
            <w:hideMark/>
          </w:tcPr>
          <w:p w:rsidR="00DA2A72" w:rsidRPr="00407E85" w:rsidRDefault="00DA2A72" w:rsidP="001D5773">
            <w:pPr>
              <w:tabs>
                <w:tab w:val="right" w:pos="243"/>
                <w:tab w:val="decimal" w:pos="563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>44</w:t>
            </w: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ab/>
              <w:t xml:space="preserve"> (97.8)</w:t>
            </w:r>
          </w:p>
        </w:tc>
      </w:tr>
      <w:tr w:rsidR="00DA2A72" w:rsidRPr="00407E85" w:rsidTr="00DA2A72">
        <w:trPr>
          <w:trHeight w:val="278"/>
        </w:trPr>
        <w:tc>
          <w:tcPr>
            <w:tcW w:w="1138" w:type="pct"/>
            <w:vAlign w:val="center"/>
            <w:hideMark/>
          </w:tcPr>
          <w:p w:rsidR="00DA2A72" w:rsidRPr="00407E85" w:rsidRDefault="00DA2A72" w:rsidP="001D5773">
            <w:pPr>
              <w:ind w:left="27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kern w:val="24"/>
                <w:sz w:val="18"/>
                <w:szCs w:val="18"/>
                <w:lang w:val="en-US"/>
              </w:rPr>
              <w:t>Disease progression</w:t>
            </w:r>
          </w:p>
        </w:tc>
        <w:tc>
          <w:tcPr>
            <w:tcW w:w="643" w:type="pct"/>
            <w:vAlign w:val="center"/>
            <w:hideMark/>
          </w:tcPr>
          <w:p w:rsidR="00DA2A72" w:rsidRPr="00407E85" w:rsidRDefault="00DA2A72" w:rsidP="001D5773">
            <w:pPr>
              <w:tabs>
                <w:tab w:val="right" w:pos="305"/>
                <w:tab w:val="decimal" w:pos="625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>70</w:t>
            </w: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ab/>
              <w:t xml:space="preserve"> (78.7)</w:t>
            </w:r>
          </w:p>
        </w:tc>
        <w:tc>
          <w:tcPr>
            <w:tcW w:w="644" w:type="pct"/>
            <w:vAlign w:val="center"/>
            <w:hideMark/>
          </w:tcPr>
          <w:p w:rsidR="00DA2A72" w:rsidRPr="00407E85" w:rsidRDefault="00DA2A72" w:rsidP="001D5773">
            <w:pPr>
              <w:tabs>
                <w:tab w:val="right" w:pos="236"/>
                <w:tab w:val="decimal" w:pos="556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>50</w:t>
            </w: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ab/>
              <w:t xml:space="preserve"> (56.8)</w:t>
            </w:r>
          </w:p>
        </w:tc>
        <w:tc>
          <w:tcPr>
            <w:tcW w:w="643" w:type="pct"/>
            <w:vAlign w:val="center"/>
            <w:hideMark/>
          </w:tcPr>
          <w:p w:rsidR="00DA2A72" w:rsidRPr="00407E85" w:rsidRDefault="00DA2A72" w:rsidP="001D5773">
            <w:pPr>
              <w:tabs>
                <w:tab w:val="right" w:pos="307"/>
                <w:tab w:val="decimal" w:pos="627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>38</w:t>
            </w: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ab/>
              <w:t xml:space="preserve"> (84.4)</w:t>
            </w:r>
          </w:p>
        </w:tc>
        <w:tc>
          <w:tcPr>
            <w:tcW w:w="644" w:type="pct"/>
            <w:vAlign w:val="center"/>
            <w:hideMark/>
          </w:tcPr>
          <w:p w:rsidR="00DA2A72" w:rsidRPr="00407E85" w:rsidRDefault="00DA2A72" w:rsidP="001D5773">
            <w:pPr>
              <w:tabs>
                <w:tab w:val="right" w:pos="225"/>
                <w:tab w:val="decimal" w:pos="645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>30</w:t>
            </w: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ab/>
              <w:t xml:space="preserve"> (69.8)</w:t>
            </w:r>
          </w:p>
        </w:tc>
        <w:tc>
          <w:tcPr>
            <w:tcW w:w="643" w:type="pct"/>
            <w:vAlign w:val="center"/>
            <w:hideMark/>
          </w:tcPr>
          <w:p w:rsidR="00DA2A72" w:rsidRPr="00407E85" w:rsidRDefault="00DA2A72" w:rsidP="001D5773">
            <w:pPr>
              <w:tabs>
                <w:tab w:val="right" w:pos="312"/>
                <w:tab w:val="decimal" w:pos="632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>32</w:t>
            </w: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ab/>
              <w:t xml:space="preserve"> (72.7)</w:t>
            </w:r>
          </w:p>
        </w:tc>
        <w:tc>
          <w:tcPr>
            <w:tcW w:w="644" w:type="pct"/>
            <w:vAlign w:val="center"/>
            <w:hideMark/>
          </w:tcPr>
          <w:p w:rsidR="00DA2A72" w:rsidRPr="00407E85" w:rsidRDefault="00DA2A72" w:rsidP="001D5773">
            <w:pPr>
              <w:tabs>
                <w:tab w:val="right" w:pos="243"/>
                <w:tab w:val="decimal" w:pos="563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>20</w:t>
            </w: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ab/>
              <w:t xml:space="preserve"> (44.4)</w:t>
            </w:r>
          </w:p>
        </w:tc>
      </w:tr>
      <w:tr w:rsidR="00DA2A72" w:rsidRPr="00407E85" w:rsidTr="00DA2A72">
        <w:trPr>
          <w:trHeight w:val="278"/>
        </w:trPr>
        <w:tc>
          <w:tcPr>
            <w:tcW w:w="1138" w:type="pct"/>
            <w:vAlign w:val="center"/>
            <w:hideMark/>
          </w:tcPr>
          <w:p w:rsidR="00DA2A72" w:rsidRPr="00407E85" w:rsidRDefault="00DA2A72" w:rsidP="001D5773">
            <w:pPr>
              <w:ind w:firstLine="27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hAnsi="Arial" w:cs="Arial"/>
                <w:kern w:val="24"/>
                <w:sz w:val="18"/>
                <w:szCs w:val="18"/>
                <w:lang w:val="en-US"/>
              </w:rPr>
              <w:t>Adverse event</w:t>
            </w:r>
          </w:p>
        </w:tc>
        <w:tc>
          <w:tcPr>
            <w:tcW w:w="643" w:type="pct"/>
            <w:vAlign w:val="center"/>
            <w:hideMark/>
          </w:tcPr>
          <w:p w:rsidR="00DA2A72" w:rsidRPr="00407E85" w:rsidRDefault="00DA2A72" w:rsidP="001D5773">
            <w:pPr>
              <w:tabs>
                <w:tab w:val="right" w:pos="305"/>
                <w:tab w:val="decimal" w:pos="625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>14</w:t>
            </w: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ab/>
              <w:t xml:space="preserve"> (15.7)</w:t>
            </w:r>
          </w:p>
        </w:tc>
        <w:tc>
          <w:tcPr>
            <w:tcW w:w="644" w:type="pct"/>
            <w:vAlign w:val="center"/>
            <w:hideMark/>
          </w:tcPr>
          <w:p w:rsidR="00DA2A72" w:rsidRPr="00407E85" w:rsidRDefault="00DA2A72" w:rsidP="001D5773">
            <w:pPr>
              <w:tabs>
                <w:tab w:val="right" w:pos="236"/>
                <w:tab w:val="decimal" w:pos="556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>24</w:t>
            </w: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ab/>
              <w:t xml:space="preserve"> (27.3)</w:t>
            </w:r>
          </w:p>
        </w:tc>
        <w:tc>
          <w:tcPr>
            <w:tcW w:w="643" w:type="pct"/>
            <w:vAlign w:val="center"/>
            <w:hideMark/>
          </w:tcPr>
          <w:p w:rsidR="00DA2A72" w:rsidRPr="00407E85" w:rsidRDefault="00DA2A72" w:rsidP="001D5773">
            <w:pPr>
              <w:tabs>
                <w:tab w:val="right" w:pos="307"/>
                <w:tab w:val="decimal" w:pos="627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>4</w:t>
            </w: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ab/>
              <w:t xml:space="preserve"> (8.9)</w:t>
            </w:r>
          </w:p>
        </w:tc>
        <w:tc>
          <w:tcPr>
            <w:tcW w:w="644" w:type="pct"/>
            <w:vAlign w:val="center"/>
            <w:hideMark/>
          </w:tcPr>
          <w:p w:rsidR="00DA2A72" w:rsidRPr="00407E85" w:rsidRDefault="00DA2A72" w:rsidP="001D5773">
            <w:pPr>
              <w:tabs>
                <w:tab w:val="right" w:pos="225"/>
                <w:tab w:val="decimal" w:pos="645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>8</w:t>
            </w: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ab/>
              <w:t xml:space="preserve"> (18.6)</w:t>
            </w:r>
          </w:p>
        </w:tc>
        <w:tc>
          <w:tcPr>
            <w:tcW w:w="643" w:type="pct"/>
            <w:vAlign w:val="center"/>
            <w:hideMark/>
          </w:tcPr>
          <w:p w:rsidR="00DA2A72" w:rsidRPr="00407E85" w:rsidRDefault="00DA2A72" w:rsidP="001D5773">
            <w:pPr>
              <w:tabs>
                <w:tab w:val="right" w:pos="312"/>
                <w:tab w:val="decimal" w:pos="632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>10</w:t>
            </w: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ab/>
              <w:t xml:space="preserve"> (22.7)</w:t>
            </w:r>
          </w:p>
        </w:tc>
        <w:tc>
          <w:tcPr>
            <w:tcW w:w="644" w:type="pct"/>
            <w:vAlign w:val="center"/>
            <w:hideMark/>
          </w:tcPr>
          <w:p w:rsidR="00DA2A72" w:rsidRPr="00407E85" w:rsidRDefault="00DA2A72" w:rsidP="001D5773">
            <w:pPr>
              <w:tabs>
                <w:tab w:val="right" w:pos="243"/>
                <w:tab w:val="decimal" w:pos="563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>16</w:t>
            </w: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ab/>
              <w:t xml:space="preserve"> (35.6)</w:t>
            </w:r>
          </w:p>
        </w:tc>
      </w:tr>
      <w:tr w:rsidR="00DA2A72" w:rsidRPr="00407E85" w:rsidTr="00DA2A72">
        <w:trPr>
          <w:trHeight w:val="278"/>
        </w:trPr>
        <w:tc>
          <w:tcPr>
            <w:tcW w:w="1138" w:type="pct"/>
            <w:vAlign w:val="center"/>
          </w:tcPr>
          <w:p w:rsidR="00DA2A72" w:rsidRPr="00407E85" w:rsidRDefault="00DA2A72" w:rsidP="001D5773">
            <w:pPr>
              <w:tabs>
                <w:tab w:val="left" w:pos="280"/>
                <w:tab w:val="left" w:pos="2123"/>
              </w:tabs>
              <w:spacing w:before="30" w:after="30"/>
              <w:ind w:left="27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>Patient request</w:t>
            </w:r>
          </w:p>
        </w:tc>
        <w:tc>
          <w:tcPr>
            <w:tcW w:w="643" w:type="pct"/>
            <w:vAlign w:val="center"/>
          </w:tcPr>
          <w:p w:rsidR="00DA2A72" w:rsidRPr="00407E85" w:rsidRDefault="00DA2A72" w:rsidP="001D5773">
            <w:pPr>
              <w:tabs>
                <w:tab w:val="right" w:pos="305"/>
                <w:tab w:val="decimal" w:pos="625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>1</w:t>
            </w: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ab/>
              <w:t xml:space="preserve"> (1.1)</w:t>
            </w:r>
          </w:p>
        </w:tc>
        <w:tc>
          <w:tcPr>
            <w:tcW w:w="644" w:type="pct"/>
            <w:vAlign w:val="center"/>
          </w:tcPr>
          <w:p w:rsidR="00DA2A72" w:rsidRPr="00407E85" w:rsidRDefault="00DA2A72" w:rsidP="001D5773">
            <w:pPr>
              <w:tabs>
                <w:tab w:val="right" w:pos="236"/>
                <w:tab w:val="decimal" w:pos="556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>5</w:t>
            </w: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ab/>
              <w:t xml:space="preserve"> (5.7)</w:t>
            </w:r>
          </w:p>
        </w:tc>
        <w:tc>
          <w:tcPr>
            <w:tcW w:w="643" w:type="pct"/>
            <w:vAlign w:val="center"/>
          </w:tcPr>
          <w:p w:rsidR="00DA2A72" w:rsidRPr="00407E85" w:rsidRDefault="00DA2A72" w:rsidP="001D5773">
            <w:pPr>
              <w:tabs>
                <w:tab w:val="right" w:pos="307"/>
                <w:tab w:val="decimal" w:pos="627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>1</w:t>
            </w: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ab/>
              <w:t xml:space="preserve"> (2.2)</w:t>
            </w:r>
          </w:p>
        </w:tc>
        <w:tc>
          <w:tcPr>
            <w:tcW w:w="644" w:type="pct"/>
            <w:vAlign w:val="center"/>
          </w:tcPr>
          <w:p w:rsidR="00DA2A72" w:rsidRPr="00407E85" w:rsidRDefault="00DA2A72" w:rsidP="001D5773">
            <w:pPr>
              <w:tabs>
                <w:tab w:val="right" w:pos="225"/>
                <w:tab w:val="decimal" w:pos="645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>2</w:t>
            </w: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ab/>
              <w:t xml:space="preserve"> (4.7)</w:t>
            </w:r>
          </w:p>
        </w:tc>
        <w:tc>
          <w:tcPr>
            <w:tcW w:w="643" w:type="pct"/>
            <w:vAlign w:val="center"/>
          </w:tcPr>
          <w:p w:rsidR="00DA2A72" w:rsidRPr="00407E85" w:rsidRDefault="00DA2A72" w:rsidP="001D5773">
            <w:pPr>
              <w:tabs>
                <w:tab w:val="right" w:pos="312"/>
                <w:tab w:val="decimal" w:pos="632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>0</w:t>
            </w:r>
          </w:p>
        </w:tc>
        <w:tc>
          <w:tcPr>
            <w:tcW w:w="644" w:type="pct"/>
            <w:vAlign w:val="center"/>
          </w:tcPr>
          <w:p w:rsidR="00DA2A72" w:rsidRPr="00407E85" w:rsidRDefault="00DA2A72" w:rsidP="001D5773">
            <w:pPr>
              <w:tabs>
                <w:tab w:val="right" w:pos="243"/>
                <w:tab w:val="decimal" w:pos="563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>3</w:t>
            </w: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ab/>
              <w:t xml:space="preserve"> (6.7)</w:t>
            </w:r>
          </w:p>
        </w:tc>
      </w:tr>
      <w:tr w:rsidR="00DA2A72" w:rsidRPr="00407E85" w:rsidTr="00DA2A72">
        <w:trPr>
          <w:trHeight w:val="278"/>
        </w:trPr>
        <w:tc>
          <w:tcPr>
            <w:tcW w:w="1138" w:type="pct"/>
            <w:vAlign w:val="center"/>
            <w:hideMark/>
          </w:tcPr>
          <w:p w:rsidR="00DA2A72" w:rsidRPr="00407E85" w:rsidRDefault="00DA2A72" w:rsidP="001D5773">
            <w:pPr>
              <w:tabs>
                <w:tab w:val="left" w:pos="2123"/>
              </w:tabs>
              <w:spacing w:before="30" w:after="30"/>
              <w:ind w:left="360" w:hanging="8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643" w:type="pct"/>
            <w:vAlign w:val="center"/>
            <w:hideMark/>
          </w:tcPr>
          <w:p w:rsidR="00DA2A72" w:rsidRPr="00407E85" w:rsidRDefault="00DA2A72" w:rsidP="001D5773">
            <w:pPr>
              <w:tabs>
                <w:tab w:val="right" w:pos="305"/>
                <w:tab w:val="decimal" w:pos="625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>3</w:t>
            </w: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ab/>
              <w:t xml:space="preserve"> (3.4)</w:t>
            </w:r>
          </w:p>
        </w:tc>
        <w:tc>
          <w:tcPr>
            <w:tcW w:w="644" w:type="pct"/>
            <w:vAlign w:val="center"/>
            <w:hideMark/>
          </w:tcPr>
          <w:p w:rsidR="00DA2A72" w:rsidRPr="00407E85" w:rsidRDefault="00DA2A72" w:rsidP="001D5773">
            <w:pPr>
              <w:tabs>
                <w:tab w:val="right" w:pos="236"/>
                <w:tab w:val="decimal" w:pos="556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>8</w:t>
            </w: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ab/>
              <w:t xml:space="preserve"> (9.1)</w:t>
            </w:r>
          </w:p>
        </w:tc>
        <w:tc>
          <w:tcPr>
            <w:tcW w:w="643" w:type="pct"/>
            <w:vAlign w:val="center"/>
            <w:hideMark/>
          </w:tcPr>
          <w:p w:rsidR="00DA2A72" w:rsidRPr="00407E85" w:rsidRDefault="00DA2A72" w:rsidP="001D5773">
            <w:pPr>
              <w:tabs>
                <w:tab w:val="right" w:pos="307"/>
                <w:tab w:val="decimal" w:pos="627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>1</w:t>
            </w: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ab/>
              <w:t xml:space="preserve"> (2.2)</w:t>
            </w:r>
          </w:p>
        </w:tc>
        <w:tc>
          <w:tcPr>
            <w:tcW w:w="644" w:type="pct"/>
            <w:vAlign w:val="center"/>
            <w:hideMark/>
          </w:tcPr>
          <w:p w:rsidR="00DA2A72" w:rsidRPr="00407E85" w:rsidRDefault="00DA2A72" w:rsidP="001D5773">
            <w:pPr>
              <w:tabs>
                <w:tab w:val="right" w:pos="225"/>
                <w:tab w:val="decimal" w:pos="645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>3</w:t>
            </w: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ab/>
              <w:t xml:space="preserve"> (7.0)</w:t>
            </w:r>
          </w:p>
        </w:tc>
        <w:tc>
          <w:tcPr>
            <w:tcW w:w="643" w:type="pct"/>
            <w:vAlign w:val="center"/>
            <w:hideMark/>
          </w:tcPr>
          <w:p w:rsidR="00DA2A72" w:rsidRPr="00407E85" w:rsidRDefault="00DA2A72" w:rsidP="001D5773">
            <w:pPr>
              <w:tabs>
                <w:tab w:val="right" w:pos="312"/>
                <w:tab w:val="decimal" w:pos="632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>2</w:t>
            </w: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ab/>
              <w:t xml:space="preserve"> (4.5)</w:t>
            </w:r>
          </w:p>
        </w:tc>
        <w:tc>
          <w:tcPr>
            <w:tcW w:w="644" w:type="pct"/>
            <w:vAlign w:val="center"/>
            <w:hideMark/>
          </w:tcPr>
          <w:p w:rsidR="00DA2A72" w:rsidRPr="00407E85" w:rsidRDefault="00DA2A72" w:rsidP="001D5773">
            <w:pPr>
              <w:tabs>
                <w:tab w:val="right" w:pos="243"/>
                <w:tab w:val="decimal" w:pos="563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>5</w:t>
            </w:r>
            <w:r w:rsidRPr="00407E85">
              <w:rPr>
                <w:rFonts w:ascii="Arial" w:eastAsia="SimSun" w:hAnsi="Arial" w:cs="Arial"/>
                <w:kern w:val="24"/>
                <w:sz w:val="18"/>
                <w:szCs w:val="18"/>
                <w:lang w:val="en-US"/>
              </w:rPr>
              <w:tab/>
              <w:t xml:space="preserve"> (11.1)</w:t>
            </w:r>
          </w:p>
        </w:tc>
      </w:tr>
    </w:tbl>
    <w:p w:rsidR="00DA2A72" w:rsidRPr="00407E85" w:rsidRDefault="00DA2A72" w:rsidP="00DA2A72">
      <w:pPr>
        <w:rPr>
          <w:rFonts w:ascii="Arial" w:hAnsi="Arial" w:cs="Arial"/>
          <w:sz w:val="18"/>
          <w:szCs w:val="24"/>
          <w:lang w:val="en-US"/>
        </w:rPr>
      </w:pPr>
      <w:r w:rsidRPr="00407E85">
        <w:rPr>
          <w:rFonts w:ascii="Arial" w:hAnsi="Arial" w:cs="Arial"/>
          <w:sz w:val="18"/>
          <w:szCs w:val="24"/>
          <w:lang w:val="en-US"/>
        </w:rPr>
        <w:t>*Relative dose intensity is defined as the ratio of the actual dose intensity (the cumulative dose divided by the number of weeks on study) to the planned dose intensity.</w:t>
      </w:r>
    </w:p>
    <w:p w:rsidR="00DA2A72" w:rsidRPr="00407E85" w:rsidRDefault="00DA2A72" w:rsidP="00DA2A72">
      <w:pPr>
        <w:rPr>
          <w:rFonts w:ascii="Arial" w:hAnsi="Arial" w:cs="Arial"/>
          <w:sz w:val="18"/>
          <w:szCs w:val="24"/>
          <w:lang w:val="en-US"/>
        </w:rPr>
      </w:pPr>
      <w:r w:rsidRPr="00407E85">
        <w:rPr>
          <w:rFonts w:ascii="Arial" w:hAnsi="Arial" w:cs="Arial"/>
          <w:sz w:val="18"/>
          <w:szCs w:val="24"/>
          <w:lang w:val="en-US"/>
        </w:rPr>
        <w:br w:type="page"/>
      </w:r>
    </w:p>
    <w:p w:rsidR="00DA2A72" w:rsidRPr="00407E85" w:rsidRDefault="00DA2A72" w:rsidP="00DA2A72">
      <w:pPr>
        <w:rPr>
          <w:rFonts w:ascii="Arial" w:hAnsi="Arial" w:cs="Arial"/>
          <w:sz w:val="18"/>
          <w:szCs w:val="24"/>
          <w:lang w:val="en-US"/>
        </w:rPr>
        <w:sectPr w:rsidR="00DA2A72" w:rsidRPr="00407E85" w:rsidSect="00B56E5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A2A72" w:rsidRPr="00407E85" w:rsidRDefault="001F10B1" w:rsidP="00DA2A72">
      <w:pPr>
        <w:spacing w:line="480" w:lineRule="auto"/>
        <w:outlineLvl w:val="0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proofErr w:type="gramStart"/>
      <w:r w:rsidRPr="00407E85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SUPPLEMENTARY FIGURE </w:t>
      </w:r>
      <w:bookmarkEnd w:id="0"/>
      <w:r w:rsidR="00DA2A72" w:rsidRPr="00407E85">
        <w:rPr>
          <w:rFonts w:ascii="Arial" w:hAnsi="Arial" w:cs="Arial"/>
          <w:b/>
          <w:sz w:val="24"/>
          <w:szCs w:val="24"/>
          <w:lang w:val="en-US"/>
        </w:rPr>
        <w:t>S1.</w:t>
      </w:r>
      <w:proofErr w:type="gramEnd"/>
      <w:r w:rsidR="00DA2A72" w:rsidRPr="00407E85">
        <w:rPr>
          <w:rFonts w:ascii="Arial" w:hAnsi="Arial" w:cs="Arial"/>
          <w:b/>
          <w:sz w:val="24"/>
          <w:szCs w:val="24"/>
          <w:lang w:val="en-US"/>
        </w:rPr>
        <w:t xml:space="preserve"> CONSORT diagram</w:t>
      </w:r>
    </w:p>
    <w:p w:rsidR="00DA2A72" w:rsidRDefault="00DA2A72" w:rsidP="00DA2A72">
      <w:pPr>
        <w:rPr>
          <w:rFonts w:ascii="Arial" w:hAnsi="Arial" w:cs="Arial"/>
          <w:sz w:val="24"/>
          <w:szCs w:val="24"/>
          <w:lang w:val="en-US"/>
        </w:rPr>
      </w:pPr>
      <w:r w:rsidRPr="00521D4C">
        <w:rPr>
          <w:noProof/>
        </w:rPr>
        <w:drawing>
          <wp:inline distT="0" distB="0" distL="0" distR="0" wp14:anchorId="483A0F51" wp14:editId="766A804C">
            <wp:extent cx="5029636" cy="611177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636" cy="611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A72" w:rsidRDefault="00DA2A72" w:rsidP="00DA2A72">
      <w:pPr>
        <w:rPr>
          <w:rFonts w:ascii="Arial" w:hAnsi="Arial" w:cs="Arial"/>
          <w:sz w:val="24"/>
          <w:szCs w:val="24"/>
          <w:lang w:val="en-US"/>
        </w:rPr>
      </w:pPr>
    </w:p>
    <w:p w:rsidR="00DA2A72" w:rsidRPr="00407E85" w:rsidRDefault="00DA2A72" w:rsidP="00DA2A72">
      <w:pPr>
        <w:tabs>
          <w:tab w:val="right" w:pos="360"/>
          <w:tab w:val="left" w:pos="540"/>
        </w:tabs>
        <w:spacing w:line="480" w:lineRule="auto"/>
        <w:ind w:left="540" w:hanging="540"/>
        <w:rPr>
          <w:rFonts w:ascii="Arial" w:hAnsi="Arial" w:cs="Arial"/>
          <w:sz w:val="24"/>
          <w:szCs w:val="24"/>
          <w:lang w:val="en-US"/>
        </w:rPr>
      </w:pPr>
    </w:p>
    <w:p w:rsidR="004A60AD" w:rsidRDefault="001F10B1"/>
    <w:sectPr w:rsidR="004A60AD" w:rsidSect="00D30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34"/>
    <w:rsid w:val="00002E34"/>
    <w:rsid w:val="001F10B1"/>
    <w:rsid w:val="006C26F6"/>
    <w:rsid w:val="00DA2A72"/>
    <w:rsid w:val="00E4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7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7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Nucleus Holdings LTD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Scutt (MTM)</dc:creator>
  <cp:lastModifiedBy>Keeley Sankey</cp:lastModifiedBy>
  <cp:revision>2</cp:revision>
  <dcterms:created xsi:type="dcterms:W3CDTF">2015-01-20T17:34:00Z</dcterms:created>
  <dcterms:modified xsi:type="dcterms:W3CDTF">2015-01-20T17:34:00Z</dcterms:modified>
</cp:coreProperties>
</file>