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20" w:rsidRDefault="00BC7F20" w:rsidP="00BC7F20">
      <w:pPr>
        <w:spacing w:line="480" w:lineRule="auto"/>
        <w:jc w:val="center"/>
        <w:rPr>
          <w:rFonts w:ascii="Times New Roman" w:hAnsi="Times New Roman"/>
          <w:sz w:val="24"/>
          <w:szCs w:val="24"/>
        </w:rPr>
      </w:pPr>
      <w:r>
        <w:rPr>
          <w:rFonts w:ascii="Times New Roman" w:hAnsi="Times New Roman"/>
          <w:sz w:val="24"/>
          <w:szCs w:val="24"/>
        </w:rPr>
        <w:t xml:space="preserve">SDC for Getting Ready for Certification </w:t>
      </w:r>
      <w:r w:rsidRPr="00A8087F">
        <w:rPr>
          <w:rFonts w:ascii="Times New Roman" w:hAnsi="Times New Roman"/>
          <w:sz w:val="24"/>
          <w:szCs w:val="24"/>
        </w:rPr>
        <w:t>“</w:t>
      </w:r>
      <w:r>
        <w:rPr>
          <w:rFonts w:ascii="Times New Roman" w:hAnsi="Times New Roman"/>
          <w:sz w:val="24"/>
          <w:szCs w:val="24"/>
        </w:rPr>
        <w:t>Critical Thinking WOCNCB APN Exam”</w:t>
      </w:r>
    </w:p>
    <w:p w:rsidR="00BC7F20" w:rsidRDefault="00BC7F20" w:rsidP="00BC7F20">
      <w:pPr>
        <w:spacing w:line="480" w:lineRule="auto"/>
        <w:rPr>
          <w:rFonts w:ascii="Times New Roman" w:hAnsi="Times New Roman"/>
          <w:sz w:val="24"/>
          <w:szCs w:val="24"/>
        </w:rPr>
      </w:pPr>
      <w:r>
        <w:rPr>
          <w:rFonts w:ascii="Times New Roman" w:hAnsi="Times New Roman"/>
          <w:sz w:val="24"/>
          <w:szCs w:val="24"/>
        </w:rPr>
        <w:t>(Leanne Richbourg MSN, APRN-BC, CWON-AP, GCNS-BC, Duke University Hospital</w:t>
      </w:r>
      <w:r>
        <w:rPr>
          <w:rFonts w:ascii="Times New Roman" w:hAnsi="Times New Roman"/>
          <w:sz w:val="24"/>
          <w:szCs w:val="24"/>
        </w:rPr>
        <w:br/>
        <w:t>Durham, NC)</w:t>
      </w:r>
    </w:p>
    <w:p w:rsidR="00BC7F20" w:rsidRPr="001B0D07" w:rsidRDefault="00BC7F20" w:rsidP="00BC7F20">
      <w:pPr>
        <w:spacing w:after="0" w:afterAutospacing="0" w:line="480" w:lineRule="auto"/>
        <w:rPr>
          <w:rFonts w:ascii="Times New Roman" w:hAnsi="Times New Roman"/>
          <w:sz w:val="24"/>
          <w:szCs w:val="24"/>
        </w:rPr>
      </w:pPr>
      <w:r w:rsidRPr="001B0D07">
        <w:rPr>
          <w:rFonts w:ascii="Times New Roman" w:hAnsi="Times New Roman"/>
          <w:sz w:val="24"/>
          <w:szCs w:val="24"/>
        </w:rPr>
        <w:t>In nursing, critical thinking skills have long been lauded as the key to successful outcomes for patients. A landmark study published over a decade ago defines the concept of critical thinking with this consensus statement: “</w:t>
      </w:r>
      <w:r w:rsidRPr="001B0D07">
        <w:rPr>
          <w:rFonts w:ascii="Times New Roman" w:hAnsi="Times New Roman"/>
          <w:i/>
          <w:sz w:val="24"/>
          <w:szCs w:val="24"/>
        </w:rPr>
        <w:t xml:space="preserve">Critical thinking in nursing is an essential component of professional accountability and quality nursing care. Critical thinkers in nursing exhibit these habits of the mind: confidence, contextual perspective, creativity, flexibility, inquisitiveness, intellectual integrity, intuition, open-mindedness, perseverance, and reflection. Critical thinkers in nursing practice </w:t>
      </w:r>
      <w:r>
        <w:rPr>
          <w:rFonts w:ascii="Times New Roman" w:hAnsi="Times New Roman"/>
          <w:i/>
          <w:sz w:val="24"/>
          <w:szCs w:val="24"/>
        </w:rPr>
        <w:t xml:space="preserve">manifest </w:t>
      </w:r>
      <w:r w:rsidRPr="001B0D07">
        <w:rPr>
          <w:rFonts w:ascii="Times New Roman" w:hAnsi="Times New Roman"/>
          <w:i/>
          <w:sz w:val="24"/>
          <w:szCs w:val="24"/>
        </w:rPr>
        <w:t>the cognitive skills of analyzing, logical reasoning, predicting and transforming knowledge (</w:t>
      </w:r>
      <w:proofErr w:type="spellStart"/>
      <w:r w:rsidRPr="001B0D07">
        <w:rPr>
          <w:rFonts w:ascii="Times New Roman" w:hAnsi="Times New Roman"/>
          <w:sz w:val="24"/>
          <w:szCs w:val="24"/>
        </w:rPr>
        <w:t>Scheffer</w:t>
      </w:r>
      <w:proofErr w:type="spellEnd"/>
      <w:r w:rsidRPr="001B0D07">
        <w:rPr>
          <w:rFonts w:ascii="Times New Roman" w:hAnsi="Times New Roman"/>
          <w:sz w:val="24"/>
          <w:szCs w:val="24"/>
        </w:rPr>
        <w:t xml:space="preserve"> &amp; </w:t>
      </w:r>
      <w:proofErr w:type="spellStart"/>
      <w:r w:rsidRPr="001B0D07">
        <w:rPr>
          <w:rFonts w:ascii="Times New Roman" w:hAnsi="Times New Roman"/>
          <w:sz w:val="24"/>
          <w:szCs w:val="24"/>
        </w:rPr>
        <w:t>Rubenfeld</w:t>
      </w:r>
      <w:proofErr w:type="spellEnd"/>
      <w:r w:rsidRPr="001B0D07">
        <w:rPr>
          <w:rFonts w:ascii="Times New Roman" w:hAnsi="Times New Roman"/>
          <w:sz w:val="24"/>
          <w:szCs w:val="24"/>
        </w:rPr>
        <w:t xml:space="preserve"> 2000, p</w:t>
      </w:r>
      <w:r w:rsidRPr="001B0D07">
        <w:rPr>
          <w:rFonts w:ascii="Times New Roman" w:hAnsi="Times New Roman"/>
          <w:i/>
          <w:sz w:val="24"/>
          <w:szCs w:val="24"/>
        </w:rPr>
        <w:t xml:space="preserve">. </w:t>
      </w:r>
      <w:r w:rsidRPr="001B0D07">
        <w:rPr>
          <w:rFonts w:ascii="Times New Roman" w:hAnsi="Times New Roman"/>
          <w:sz w:val="24"/>
          <w:szCs w:val="24"/>
        </w:rPr>
        <w:t>357</w:t>
      </w:r>
      <w:r w:rsidRPr="001B0D07">
        <w:rPr>
          <w:rFonts w:ascii="Times New Roman" w:hAnsi="Times New Roman"/>
          <w:i/>
          <w:sz w:val="24"/>
          <w:szCs w:val="24"/>
        </w:rPr>
        <w:t>).”</w:t>
      </w:r>
    </w:p>
    <w:p w:rsidR="00BC7F20" w:rsidRPr="001B0D07" w:rsidRDefault="00BC7F20" w:rsidP="00BC7F20">
      <w:pPr>
        <w:spacing w:after="0" w:afterAutospacing="0" w:line="480" w:lineRule="auto"/>
        <w:rPr>
          <w:rFonts w:ascii="Times New Roman" w:hAnsi="Times New Roman"/>
          <w:sz w:val="24"/>
          <w:szCs w:val="24"/>
        </w:rPr>
      </w:pPr>
    </w:p>
    <w:p w:rsidR="00BC7F20" w:rsidRPr="001B0D07" w:rsidRDefault="00BC7F20" w:rsidP="00BC7F20">
      <w:pPr>
        <w:spacing w:after="0" w:afterAutospacing="0" w:line="480" w:lineRule="auto"/>
        <w:rPr>
          <w:rFonts w:ascii="Times New Roman" w:hAnsi="Times New Roman"/>
          <w:sz w:val="24"/>
          <w:szCs w:val="24"/>
        </w:rPr>
      </w:pPr>
      <w:r w:rsidRPr="001B0D07">
        <w:rPr>
          <w:rFonts w:ascii="Times New Roman" w:hAnsi="Times New Roman"/>
          <w:sz w:val="24"/>
          <w:szCs w:val="24"/>
        </w:rPr>
        <w:t>The cognitive skills of critical thinking are best understood by considering the following definitions:</w:t>
      </w:r>
    </w:p>
    <w:p w:rsidR="00BC7F20" w:rsidRPr="001B0D07" w:rsidRDefault="00BC7F20" w:rsidP="00BC7F20">
      <w:pPr>
        <w:pStyle w:val="ListParagraph"/>
        <w:numPr>
          <w:ilvl w:val="0"/>
          <w:numId w:val="1"/>
        </w:numPr>
        <w:spacing w:after="0" w:afterAutospacing="0" w:line="480" w:lineRule="auto"/>
        <w:ind w:right="720"/>
        <w:rPr>
          <w:rFonts w:ascii="Times New Roman" w:hAnsi="Times New Roman"/>
          <w:sz w:val="24"/>
          <w:szCs w:val="24"/>
        </w:rPr>
      </w:pPr>
      <w:r w:rsidRPr="001B0D07">
        <w:rPr>
          <w:rFonts w:ascii="Times New Roman" w:hAnsi="Times New Roman"/>
          <w:i/>
          <w:sz w:val="24"/>
          <w:szCs w:val="24"/>
        </w:rPr>
        <w:t>Analyzing</w:t>
      </w:r>
      <w:r w:rsidRPr="001B0D07">
        <w:rPr>
          <w:rFonts w:ascii="Times New Roman" w:hAnsi="Times New Roman"/>
          <w:sz w:val="24"/>
          <w:szCs w:val="24"/>
        </w:rPr>
        <w:t xml:space="preserve">: separating or breaking a whole into parts to discover </w:t>
      </w:r>
      <w:r>
        <w:rPr>
          <w:rFonts w:ascii="Times New Roman" w:hAnsi="Times New Roman"/>
          <w:sz w:val="24"/>
          <w:szCs w:val="24"/>
        </w:rPr>
        <w:t>its</w:t>
      </w:r>
      <w:r w:rsidRPr="001B0D07">
        <w:rPr>
          <w:rFonts w:ascii="Times New Roman" w:hAnsi="Times New Roman"/>
          <w:sz w:val="24"/>
          <w:szCs w:val="24"/>
        </w:rPr>
        <w:t xml:space="preserve"> nature, function and relationships.</w:t>
      </w:r>
    </w:p>
    <w:p w:rsidR="00BC7F20" w:rsidRPr="001B0D07" w:rsidRDefault="00BC7F20" w:rsidP="00BC7F20">
      <w:pPr>
        <w:pStyle w:val="ListParagraph"/>
        <w:numPr>
          <w:ilvl w:val="0"/>
          <w:numId w:val="1"/>
        </w:numPr>
        <w:spacing w:after="0" w:afterAutospacing="0" w:line="480" w:lineRule="auto"/>
        <w:ind w:right="720"/>
        <w:rPr>
          <w:rFonts w:ascii="Times New Roman" w:hAnsi="Times New Roman"/>
          <w:sz w:val="24"/>
          <w:szCs w:val="24"/>
        </w:rPr>
      </w:pPr>
      <w:r w:rsidRPr="001B0D07">
        <w:rPr>
          <w:rFonts w:ascii="Times New Roman" w:hAnsi="Times New Roman"/>
          <w:i/>
          <w:sz w:val="24"/>
          <w:szCs w:val="24"/>
        </w:rPr>
        <w:t>Applying standards</w:t>
      </w:r>
      <w:r w:rsidRPr="001B0D07">
        <w:rPr>
          <w:rFonts w:ascii="Times New Roman" w:hAnsi="Times New Roman"/>
          <w:sz w:val="24"/>
          <w:szCs w:val="24"/>
        </w:rPr>
        <w:t>: judging according to established personal, professional or social rules or criteria.</w:t>
      </w:r>
    </w:p>
    <w:p w:rsidR="00BC7F20" w:rsidRPr="001B0D07" w:rsidRDefault="00BC7F20" w:rsidP="00BC7F20">
      <w:pPr>
        <w:pStyle w:val="ListParagraph"/>
        <w:numPr>
          <w:ilvl w:val="0"/>
          <w:numId w:val="1"/>
        </w:numPr>
        <w:spacing w:after="0" w:afterAutospacing="0" w:line="480" w:lineRule="auto"/>
        <w:ind w:right="720"/>
        <w:rPr>
          <w:rFonts w:ascii="Times New Roman" w:hAnsi="Times New Roman"/>
          <w:sz w:val="24"/>
          <w:szCs w:val="24"/>
        </w:rPr>
      </w:pPr>
      <w:r w:rsidRPr="001B0D07">
        <w:rPr>
          <w:rFonts w:ascii="Times New Roman" w:hAnsi="Times New Roman" w:cs="Helvetica"/>
          <w:i/>
          <w:iCs/>
          <w:sz w:val="24"/>
          <w:szCs w:val="24"/>
        </w:rPr>
        <w:t>Discriminating</w:t>
      </w:r>
      <w:r w:rsidRPr="001B0D07">
        <w:rPr>
          <w:rFonts w:ascii="Times New Roman" w:hAnsi="Times New Roman" w:cs="Helvetica"/>
          <w:iCs/>
          <w:sz w:val="24"/>
          <w:szCs w:val="24"/>
        </w:rPr>
        <w:t xml:space="preserve">: </w:t>
      </w:r>
      <w:r w:rsidRPr="001B0D07">
        <w:rPr>
          <w:rFonts w:ascii="Times New Roman" w:hAnsi="Times New Roman" w:cs="Helvetica"/>
          <w:sz w:val="24"/>
          <w:szCs w:val="24"/>
        </w:rPr>
        <w:t xml:space="preserve">recognizing differences and similarities among things or situations and distinguishing carefully </w:t>
      </w:r>
      <w:r>
        <w:rPr>
          <w:rFonts w:ascii="Times New Roman" w:hAnsi="Times New Roman" w:cs="Helvetica"/>
          <w:sz w:val="24"/>
          <w:szCs w:val="24"/>
        </w:rPr>
        <w:t xml:space="preserve">in order to categorize </w:t>
      </w:r>
      <w:r w:rsidRPr="001B0D07">
        <w:rPr>
          <w:rFonts w:ascii="Times New Roman" w:hAnsi="Times New Roman" w:cs="Helvetica"/>
          <w:sz w:val="24"/>
          <w:szCs w:val="24"/>
        </w:rPr>
        <w:t>or rank</w:t>
      </w:r>
      <w:r w:rsidRPr="001B0D07">
        <w:rPr>
          <w:rFonts w:ascii="Times New Roman" w:hAnsi="Times New Roman"/>
          <w:sz w:val="24"/>
          <w:szCs w:val="24"/>
        </w:rPr>
        <w:t xml:space="preserve">. </w:t>
      </w:r>
    </w:p>
    <w:p w:rsidR="00BC7F20" w:rsidRPr="001B0D07" w:rsidRDefault="00BC7F20" w:rsidP="00BC7F20">
      <w:pPr>
        <w:pStyle w:val="ListParagraph"/>
        <w:numPr>
          <w:ilvl w:val="0"/>
          <w:numId w:val="1"/>
        </w:numPr>
        <w:spacing w:after="0" w:afterAutospacing="0" w:line="480" w:lineRule="auto"/>
        <w:ind w:right="720"/>
        <w:rPr>
          <w:rFonts w:ascii="Times New Roman" w:hAnsi="Times New Roman" w:cs="Helvetica"/>
          <w:sz w:val="24"/>
          <w:szCs w:val="24"/>
        </w:rPr>
      </w:pPr>
      <w:r w:rsidRPr="001B0D07">
        <w:rPr>
          <w:rFonts w:ascii="Times New Roman" w:hAnsi="Times New Roman" w:cs="Helvetica"/>
          <w:bCs/>
          <w:i/>
          <w:iCs/>
          <w:sz w:val="24"/>
          <w:szCs w:val="24"/>
        </w:rPr>
        <w:lastRenderedPageBreak/>
        <w:t>Information seeking</w:t>
      </w:r>
      <w:r w:rsidRPr="001B0D07">
        <w:rPr>
          <w:rFonts w:ascii="Times New Roman" w:hAnsi="Times New Roman" w:cs="Helvetica"/>
          <w:bCs/>
          <w:iCs/>
          <w:sz w:val="24"/>
          <w:szCs w:val="24"/>
        </w:rPr>
        <w:t xml:space="preserve">: </w:t>
      </w:r>
      <w:r w:rsidRPr="001B0D07">
        <w:rPr>
          <w:rFonts w:ascii="Times New Roman" w:hAnsi="Times New Roman" w:cs="Helvetica"/>
          <w:sz w:val="24"/>
          <w:szCs w:val="24"/>
        </w:rPr>
        <w:t xml:space="preserve">searching for evidence, facts or knowledge by identifying relevant sources and gathering objective, subjective, historical, and current data from those sources. </w:t>
      </w:r>
    </w:p>
    <w:p w:rsidR="00BC7F20" w:rsidRPr="001B0D07" w:rsidRDefault="00BC7F20" w:rsidP="00BC7F20">
      <w:pPr>
        <w:pStyle w:val="ListParagraph"/>
        <w:numPr>
          <w:ilvl w:val="0"/>
          <w:numId w:val="1"/>
        </w:numPr>
        <w:spacing w:after="0" w:afterAutospacing="0" w:line="480" w:lineRule="auto"/>
        <w:ind w:right="720"/>
        <w:rPr>
          <w:rFonts w:ascii="Times New Roman" w:hAnsi="Times New Roman" w:cs="Helvetica"/>
          <w:sz w:val="24"/>
          <w:szCs w:val="24"/>
        </w:rPr>
      </w:pPr>
      <w:r w:rsidRPr="001B0D07">
        <w:rPr>
          <w:rFonts w:ascii="Times New Roman" w:hAnsi="Times New Roman" w:cs="Helvetica"/>
          <w:bCs/>
          <w:i/>
          <w:iCs/>
          <w:sz w:val="24"/>
          <w:szCs w:val="24"/>
        </w:rPr>
        <w:t>Logical reasoning</w:t>
      </w:r>
      <w:r w:rsidRPr="001B0D07">
        <w:rPr>
          <w:rFonts w:ascii="Times New Roman" w:hAnsi="Times New Roman" w:cs="Helvetica"/>
          <w:bCs/>
          <w:iCs/>
          <w:sz w:val="24"/>
          <w:szCs w:val="24"/>
        </w:rPr>
        <w:t xml:space="preserve">: </w:t>
      </w:r>
      <w:r w:rsidRPr="001B0D07">
        <w:rPr>
          <w:rFonts w:ascii="Times New Roman" w:hAnsi="Times New Roman" w:cs="Helvetica"/>
          <w:sz w:val="24"/>
          <w:szCs w:val="24"/>
        </w:rPr>
        <w:t xml:space="preserve">drawing inferences or conclusions that are supported in or justified by evidence. </w:t>
      </w:r>
    </w:p>
    <w:p w:rsidR="00BC7F20" w:rsidRPr="001B0D07" w:rsidRDefault="00BC7F20" w:rsidP="00BC7F20">
      <w:pPr>
        <w:pStyle w:val="ListParagraph"/>
        <w:numPr>
          <w:ilvl w:val="0"/>
          <w:numId w:val="1"/>
        </w:numPr>
        <w:spacing w:after="0" w:afterAutospacing="0" w:line="480" w:lineRule="auto"/>
        <w:ind w:right="720"/>
        <w:rPr>
          <w:rFonts w:ascii="Times New Roman" w:hAnsi="Times New Roman" w:cs="Helvetica"/>
          <w:sz w:val="24"/>
          <w:szCs w:val="24"/>
        </w:rPr>
      </w:pPr>
      <w:r w:rsidRPr="001B0D07">
        <w:rPr>
          <w:rFonts w:ascii="Times New Roman" w:hAnsi="Times New Roman" w:cs="Helvetica"/>
          <w:bCs/>
          <w:i/>
          <w:iCs/>
          <w:sz w:val="24"/>
          <w:szCs w:val="24"/>
        </w:rPr>
        <w:t>Predicting</w:t>
      </w:r>
      <w:r w:rsidRPr="001B0D07">
        <w:rPr>
          <w:rFonts w:ascii="Times New Roman" w:hAnsi="Times New Roman" w:cs="Helvetica"/>
          <w:bCs/>
          <w:iCs/>
          <w:sz w:val="24"/>
          <w:szCs w:val="24"/>
        </w:rPr>
        <w:t xml:space="preserve">: </w:t>
      </w:r>
      <w:r w:rsidRPr="001B0D07">
        <w:rPr>
          <w:rFonts w:ascii="Times New Roman" w:hAnsi="Times New Roman" w:cs="Helvetica"/>
          <w:sz w:val="24"/>
          <w:szCs w:val="24"/>
        </w:rPr>
        <w:t xml:space="preserve">envisioning a plan and its consequences. </w:t>
      </w:r>
    </w:p>
    <w:p w:rsidR="00BC7F20" w:rsidRPr="001B0D07" w:rsidRDefault="00BC7F20" w:rsidP="00BC7F20">
      <w:pPr>
        <w:pStyle w:val="ListParagraph"/>
        <w:numPr>
          <w:ilvl w:val="0"/>
          <w:numId w:val="1"/>
        </w:numPr>
        <w:spacing w:after="0" w:afterAutospacing="0" w:line="480" w:lineRule="auto"/>
        <w:ind w:right="720"/>
        <w:rPr>
          <w:rFonts w:ascii="Times New Roman" w:hAnsi="Times New Roman" w:cs="Helvetica"/>
          <w:sz w:val="24"/>
          <w:szCs w:val="24"/>
        </w:rPr>
      </w:pPr>
      <w:r w:rsidRPr="001B0D07">
        <w:rPr>
          <w:rFonts w:ascii="Times New Roman" w:hAnsi="Times New Roman" w:cs="Helvetica"/>
          <w:i/>
          <w:sz w:val="24"/>
          <w:szCs w:val="24"/>
        </w:rPr>
        <w:t>Transforming knowledge</w:t>
      </w:r>
      <w:r w:rsidRPr="001B0D07">
        <w:rPr>
          <w:rFonts w:ascii="Times New Roman" w:hAnsi="Times New Roman" w:cs="Helvetica"/>
          <w:sz w:val="24"/>
          <w:szCs w:val="24"/>
        </w:rPr>
        <w:t>: changing or converting the condition, nature, form, or function of concepts among contexts. (</w:t>
      </w:r>
      <w:proofErr w:type="spellStart"/>
      <w:r w:rsidRPr="001B0D07">
        <w:rPr>
          <w:rFonts w:ascii="Times New Roman" w:hAnsi="Times New Roman"/>
          <w:sz w:val="24"/>
          <w:szCs w:val="24"/>
        </w:rPr>
        <w:t>Scheffer</w:t>
      </w:r>
      <w:proofErr w:type="spellEnd"/>
      <w:r w:rsidRPr="001B0D07">
        <w:rPr>
          <w:rFonts w:ascii="Times New Roman" w:hAnsi="Times New Roman"/>
          <w:sz w:val="24"/>
          <w:szCs w:val="24"/>
        </w:rPr>
        <w:t xml:space="preserve"> &amp; </w:t>
      </w:r>
      <w:proofErr w:type="spellStart"/>
      <w:r w:rsidRPr="001B0D07">
        <w:rPr>
          <w:rFonts w:ascii="Times New Roman" w:hAnsi="Times New Roman"/>
          <w:sz w:val="24"/>
          <w:szCs w:val="24"/>
        </w:rPr>
        <w:t>Rubenfeld</w:t>
      </w:r>
      <w:proofErr w:type="spellEnd"/>
      <w:r w:rsidRPr="001B0D07">
        <w:rPr>
          <w:rFonts w:ascii="Times New Roman" w:hAnsi="Times New Roman"/>
          <w:sz w:val="24"/>
          <w:szCs w:val="24"/>
        </w:rPr>
        <w:t xml:space="preserve"> 2000, </w:t>
      </w:r>
      <w:r w:rsidRPr="001B0D07">
        <w:rPr>
          <w:rFonts w:ascii="Times New Roman" w:hAnsi="Times New Roman" w:cs="Helvetica"/>
          <w:sz w:val="24"/>
          <w:szCs w:val="24"/>
        </w:rPr>
        <w:t>p. 358)</w:t>
      </w:r>
    </w:p>
    <w:p w:rsidR="00BC7F20" w:rsidRPr="001B0D07" w:rsidRDefault="00BC7F20" w:rsidP="00BC7F20">
      <w:pPr>
        <w:spacing w:before="240" w:after="0" w:afterAutospacing="0" w:line="480" w:lineRule="auto"/>
        <w:rPr>
          <w:rFonts w:ascii="Times New Roman" w:hAnsi="Times New Roman"/>
          <w:sz w:val="24"/>
          <w:szCs w:val="24"/>
        </w:rPr>
      </w:pPr>
      <w:r w:rsidRPr="001B0D07">
        <w:rPr>
          <w:rFonts w:ascii="Times New Roman" w:hAnsi="Times New Roman"/>
          <w:sz w:val="24"/>
          <w:szCs w:val="24"/>
        </w:rPr>
        <w:t xml:space="preserve">Success on WOCNCB certification exams requires the test taker to not only utilize critical thinking but also </w:t>
      </w:r>
      <w:r w:rsidRPr="001B0D07">
        <w:rPr>
          <w:rFonts w:ascii="Times New Roman" w:hAnsi="Times New Roman"/>
          <w:i/>
          <w:sz w:val="24"/>
          <w:szCs w:val="24"/>
        </w:rPr>
        <w:t>clinical</w:t>
      </w:r>
      <w:r w:rsidRPr="001B0D07">
        <w:rPr>
          <w:rFonts w:ascii="Times New Roman" w:hAnsi="Times New Roman"/>
          <w:sz w:val="24"/>
          <w:szCs w:val="24"/>
        </w:rPr>
        <w:t xml:space="preserve"> </w:t>
      </w:r>
      <w:r w:rsidRPr="001B0D07">
        <w:rPr>
          <w:rFonts w:ascii="Times New Roman" w:hAnsi="Times New Roman"/>
          <w:i/>
          <w:sz w:val="24"/>
          <w:szCs w:val="24"/>
        </w:rPr>
        <w:t>thinking</w:t>
      </w:r>
      <w:r w:rsidRPr="001B0D07">
        <w:rPr>
          <w:rFonts w:ascii="Times New Roman" w:hAnsi="Times New Roman"/>
          <w:sz w:val="24"/>
          <w:szCs w:val="24"/>
        </w:rPr>
        <w:t xml:space="preserve">: collecting clinical data, interpreting it correctly, making judgments based on solid theoretical knowledge, devising an appropriate plan of care, and evaluating the outcomes (Tanner, 2005).  On each WOCNCB certification exam there are a percentage of testing items that require a high level of clinical critical </w:t>
      </w:r>
      <w:proofErr w:type="gramStart"/>
      <w:r w:rsidRPr="001B0D07">
        <w:rPr>
          <w:rFonts w:ascii="Times New Roman" w:hAnsi="Times New Roman"/>
          <w:sz w:val="24"/>
          <w:szCs w:val="24"/>
        </w:rPr>
        <w:t>thinking,</w:t>
      </w:r>
      <w:proofErr w:type="gramEnd"/>
      <w:r w:rsidRPr="001B0D07">
        <w:rPr>
          <w:rFonts w:ascii="Times New Roman" w:hAnsi="Times New Roman"/>
          <w:sz w:val="24"/>
          <w:szCs w:val="24"/>
        </w:rPr>
        <w:t xml:space="preserve"> these are classified as analysis questions.  The Advanced Practice WOC certification examination has a higher percentage of analysis items than the other certification exams.  The questions included here are a sampling of advanced practice analysis questions.   </w:t>
      </w:r>
    </w:p>
    <w:p w:rsidR="00BC7F20" w:rsidRPr="001B0D07" w:rsidRDefault="00BC7F20" w:rsidP="00BC7F20">
      <w:pPr>
        <w:spacing w:before="240" w:after="0" w:afterAutospacing="0" w:line="480" w:lineRule="auto"/>
        <w:rPr>
          <w:rFonts w:ascii="Times New Roman" w:hAnsi="Times New Roman"/>
          <w:sz w:val="24"/>
          <w:szCs w:val="24"/>
        </w:rPr>
      </w:pPr>
      <w:r w:rsidRPr="001B0D07">
        <w:rPr>
          <w:rFonts w:ascii="Times New Roman" w:hAnsi="Times New Roman"/>
          <w:sz w:val="24"/>
          <w:szCs w:val="24"/>
        </w:rPr>
        <w:t>References:</w:t>
      </w:r>
    </w:p>
    <w:p w:rsidR="00BC7F20" w:rsidRPr="001B0D07" w:rsidRDefault="00BC7F20" w:rsidP="00BC7F20">
      <w:pPr>
        <w:spacing w:before="240" w:after="0" w:afterAutospacing="0" w:line="480" w:lineRule="auto"/>
        <w:rPr>
          <w:rFonts w:ascii="Times New Roman" w:hAnsi="Times New Roman"/>
          <w:sz w:val="24"/>
          <w:szCs w:val="24"/>
        </w:rPr>
      </w:pPr>
      <w:proofErr w:type="spellStart"/>
      <w:proofErr w:type="gramStart"/>
      <w:r>
        <w:rPr>
          <w:rFonts w:ascii="Times New Roman" w:hAnsi="Times New Roman"/>
          <w:sz w:val="24"/>
          <w:szCs w:val="24"/>
        </w:rPr>
        <w:t>Scheffer</w:t>
      </w:r>
      <w:proofErr w:type="spellEnd"/>
      <w:r>
        <w:rPr>
          <w:rFonts w:ascii="Times New Roman" w:hAnsi="Times New Roman"/>
          <w:sz w:val="24"/>
          <w:szCs w:val="24"/>
        </w:rPr>
        <w:t xml:space="preserve"> BK &amp; </w:t>
      </w:r>
      <w:proofErr w:type="spellStart"/>
      <w:r>
        <w:rPr>
          <w:rFonts w:ascii="Times New Roman" w:hAnsi="Times New Roman"/>
          <w:sz w:val="24"/>
          <w:szCs w:val="24"/>
        </w:rPr>
        <w:t>Rubenfeld</w:t>
      </w:r>
      <w:proofErr w:type="spellEnd"/>
      <w:r>
        <w:rPr>
          <w:rFonts w:ascii="Times New Roman" w:hAnsi="Times New Roman"/>
          <w:sz w:val="24"/>
          <w:szCs w:val="24"/>
        </w:rPr>
        <w:t xml:space="preserve"> MG.</w:t>
      </w:r>
      <w:proofErr w:type="gramEnd"/>
      <w:r>
        <w:rPr>
          <w:rFonts w:ascii="Times New Roman" w:hAnsi="Times New Roman"/>
          <w:sz w:val="24"/>
          <w:szCs w:val="24"/>
        </w:rPr>
        <w:t xml:space="preserve"> </w:t>
      </w:r>
      <w:proofErr w:type="gramStart"/>
      <w:r w:rsidRPr="001B0D07">
        <w:rPr>
          <w:rFonts w:ascii="Times New Roman" w:hAnsi="Times New Roman"/>
          <w:sz w:val="24"/>
          <w:szCs w:val="24"/>
        </w:rPr>
        <w:t>A consensus statement on critical thinking in nursing.</w:t>
      </w:r>
      <w:proofErr w:type="gramEnd"/>
      <w:r w:rsidRPr="001B0D07">
        <w:rPr>
          <w:rFonts w:ascii="Times New Roman" w:hAnsi="Times New Roman"/>
          <w:sz w:val="24"/>
          <w:szCs w:val="24"/>
        </w:rPr>
        <w:t xml:space="preserve"> </w:t>
      </w:r>
      <w:proofErr w:type="gramStart"/>
      <w:r w:rsidRPr="00D44607">
        <w:rPr>
          <w:rFonts w:ascii="Times New Roman" w:hAnsi="Times New Roman"/>
          <w:i/>
          <w:sz w:val="24"/>
          <w:szCs w:val="24"/>
        </w:rPr>
        <w:t>Journal of Nursing Education</w:t>
      </w:r>
      <w:r>
        <w:rPr>
          <w:rFonts w:ascii="Times New Roman" w:hAnsi="Times New Roman"/>
          <w:sz w:val="24"/>
          <w:szCs w:val="24"/>
        </w:rPr>
        <w:t>.</w:t>
      </w:r>
      <w:proofErr w:type="gramEnd"/>
      <w:r w:rsidRPr="001B0D07">
        <w:rPr>
          <w:rFonts w:ascii="Times New Roman" w:hAnsi="Times New Roman"/>
          <w:sz w:val="24"/>
          <w:szCs w:val="24"/>
        </w:rPr>
        <w:t xml:space="preserve"> </w:t>
      </w:r>
      <w:r>
        <w:rPr>
          <w:rFonts w:ascii="Times New Roman" w:hAnsi="Times New Roman"/>
          <w:sz w:val="24"/>
          <w:szCs w:val="24"/>
        </w:rPr>
        <w:t>2000;</w:t>
      </w:r>
      <w:r w:rsidRPr="001B0D07">
        <w:rPr>
          <w:rFonts w:ascii="Times New Roman" w:hAnsi="Times New Roman"/>
          <w:sz w:val="24"/>
          <w:szCs w:val="24"/>
        </w:rPr>
        <w:t xml:space="preserve"> </w:t>
      </w:r>
      <w:r>
        <w:rPr>
          <w:rFonts w:ascii="Times New Roman" w:hAnsi="Times New Roman"/>
          <w:sz w:val="24"/>
          <w:szCs w:val="24"/>
        </w:rPr>
        <w:t>39(8):</w:t>
      </w:r>
      <w:r w:rsidRPr="001B0D07">
        <w:rPr>
          <w:rFonts w:ascii="Times New Roman" w:hAnsi="Times New Roman"/>
          <w:sz w:val="24"/>
          <w:szCs w:val="24"/>
        </w:rPr>
        <w:t>352-359.</w:t>
      </w:r>
    </w:p>
    <w:p w:rsidR="0071232F" w:rsidRDefault="00BC7F20" w:rsidP="00BC7F20">
      <w:pPr>
        <w:spacing w:before="240" w:after="0" w:afterAutospacing="0" w:line="480" w:lineRule="auto"/>
      </w:pPr>
      <w:r w:rsidRPr="001B0D07">
        <w:rPr>
          <w:rFonts w:ascii="Times New Roman" w:hAnsi="Times New Roman"/>
          <w:sz w:val="24"/>
          <w:szCs w:val="24"/>
        </w:rPr>
        <w:t>Tanner CA</w:t>
      </w:r>
      <w:r>
        <w:rPr>
          <w:rFonts w:ascii="Times New Roman" w:hAnsi="Times New Roman"/>
          <w:sz w:val="24"/>
          <w:szCs w:val="24"/>
        </w:rPr>
        <w:t>.</w:t>
      </w:r>
      <w:r w:rsidRPr="001B0D07">
        <w:rPr>
          <w:rFonts w:ascii="Times New Roman" w:hAnsi="Times New Roman"/>
          <w:sz w:val="24"/>
          <w:szCs w:val="24"/>
        </w:rPr>
        <w:t xml:space="preserve"> What have we learned about critical thinking in nursing? </w:t>
      </w:r>
      <w:proofErr w:type="gramStart"/>
      <w:r w:rsidRPr="00D44607">
        <w:rPr>
          <w:rFonts w:ascii="Times New Roman" w:hAnsi="Times New Roman"/>
          <w:i/>
          <w:sz w:val="24"/>
          <w:szCs w:val="24"/>
        </w:rPr>
        <w:t>Journal of Nursing Education</w:t>
      </w:r>
      <w:r>
        <w:rPr>
          <w:rFonts w:ascii="Times New Roman" w:hAnsi="Times New Roman"/>
          <w:sz w:val="24"/>
          <w:szCs w:val="24"/>
        </w:rPr>
        <w:t>.</w:t>
      </w:r>
      <w:proofErr w:type="gramEnd"/>
      <w:r w:rsidRPr="001B0D07">
        <w:rPr>
          <w:rFonts w:ascii="Times New Roman" w:hAnsi="Times New Roman"/>
          <w:sz w:val="24"/>
          <w:szCs w:val="24"/>
        </w:rPr>
        <w:t xml:space="preserve"> </w:t>
      </w:r>
      <w:r>
        <w:rPr>
          <w:rFonts w:ascii="Times New Roman" w:hAnsi="Times New Roman"/>
          <w:sz w:val="24"/>
          <w:szCs w:val="24"/>
        </w:rPr>
        <w:t>2005;</w:t>
      </w:r>
      <w:r w:rsidRPr="001B0D07">
        <w:rPr>
          <w:rFonts w:ascii="Times New Roman" w:hAnsi="Times New Roman"/>
          <w:sz w:val="24"/>
          <w:szCs w:val="24"/>
        </w:rPr>
        <w:t xml:space="preserve"> </w:t>
      </w:r>
      <w:r>
        <w:rPr>
          <w:rFonts w:ascii="Times New Roman" w:hAnsi="Times New Roman"/>
          <w:sz w:val="24"/>
          <w:szCs w:val="24"/>
        </w:rPr>
        <w:t>44(2):</w:t>
      </w:r>
      <w:r>
        <w:rPr>
          <w:rFonts w:ascii="Times New Roman" w:hAnsi="Times New Roman"/>
          <w:sz w:val="24"/>
          <w:szCs w:val="24"/>
        </w:rPr>
        <w:t>47-48.</w:t>
      </w:r>
      <w:bookmarkStart w:id="0" w:name="_GoBack"/>
      <w:bookmarkEnd w:id="0"/>
    </w:p>
    <w:sectPr w:rsidR="0071232F" w:rsidSect="0081116E">
      <w:pgSz w:w="12240" w:h="15840" w:code="1"/>
      <w:pgMar w:top="1440" w:right="180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65AA"/>
    <w:multiLevelType w:val="hybridMultilevel"/>
    <w:tmpl w:val="EFE852BA"/>
    <w:lvl w:ilvl="0" w:tplc="7A928EE4">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20"/>
    <w:rsid w:val="0071232F"/>
    <w:rsid w:val="0081116E"/>
    <w:rsid w:val="00BC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F20"/>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F20"/>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Virginia Health System</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Mawyer, Gary *HS</dc:creator>
  <cp:keywords/>
  <dc:description/>
  <cp:lastModifiedBy>Mawyer, Gary *HS</cp:lastModifiedBy>
  <cp:revision>1</cp:revision>
  <dcterms:created xsi:type="dcterms:W3CDTF">2013-06-05T18:08:00Z</dcterms:created>
  <dcterms:modified xsi:type="dcterms:W3CDTF">2013-06-05T18:09:00Z</dcterms:modified>
</cp:coreProperties>
</file>