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36E1" w14:textId="77777777" w:rsidR="00BF6E7E" w:rsidRDefault="00BF6E7E" w:rsidP="00BF6E7E">
      <w:pPr>
        <w:widowControl w:val="0"/>
        <w:autoSpaceDE w:val="0"/>
        <w:autoSpaceDN w:val="0"/>
        <w:adjustRightInd w:val="0"/>
        <w:ind w:left="640" w:hanging="640"/>
        <w:rPr>
          <w:b/>
          <w:sz w:val="20"/>
          <w:szCs w:val="22"/>
          <w:lang w:val="en-CA"/>
        </w:rPr>
      </w:pPr>
      <w:r>
        <w:rPr>
          <w:b/>
          <w:sz w:val="20"/>
          <w:szCs w:val="22"/>
          <w:lang w:val="en-CA"/>
        </w:rPr>
        <w:t>Appendix 1</w:t>
      </w:r>
    </w:p>
    <w:p w14:paraId="2F374C20" w14:textId="77777777" w:rsidR="00BF6E7E" w:rsidRDefault="00BF6E7E" w:rsidP="00BF6E7E">
      <w:pPr>
        <w:widowControl w:val="0"/>
        <w:autoSpaceDE w:val="0"/>
        <w:autoSpaceDN w:val="0"/>
        <w:adjustRightInd w:val="0"/>
        <w:ind w:left="640" w:hanging="640"/>
        <w:rPr>
          <w:b/>
          <w:sz w:val="20"/>
          <w:szCs w:val="22"/>
          <w:lang w:val="en-CA"/>
        </w:rPr>
      </w:pPr>
    </w:p>
    <w:p w14:paraId="77704129" w14:textId="77777777" w:rsidR="00BF6E7E" w:rsidRPr="002051B1" w:rsidRDefault="00BF6E7E" w:rsidP="00BF6E7E">
      <w:pPr>
        <w:spacing w:before="100" w:beforeAutospacing="1" w:after="100" w:afterAutospacing="1" w:line="360" w:lineRule="auto"/>
        <w:rPr>
          <w:rFonts w:eastAsia="Times New Roman"/>
          <w:b/>
          <w:color w:val="000000" w:themeColor="text1"/>
        </w:rPr>
      </w:pPr>
      <w:r w:rsidRPr="002051B1">
        <w:rPr>
          <w:rFonts w:eastAsia="Times New Roman"/>
          <w:b/>
          <w:color w:val="000000" w:themeColor="text1"/>
        </w:rPr>
        <w:t>I</w:t>
      </w:r>
      <w:r>
        <w:rPr>
          <w:rFonts w:eastAsia="Times New Roman"/>
          <w:b/>
          <w:color w:val="000000" w:themeColor="text1"/>
        </w:rPr>
        <w:t xml:space="preserve">nterrupted </w:t>
      </w:r>
      <w:r w:rsidRPr="002051B1">
        <w:rPr>
          <w:rFonts w:eastAsia="Times New Roman"/>
          <w:b/>
          <w:color w:val="000000" w:themeColor="text1"/>
        </w:rPr>
        <w:t>T</w:t>
      </w:r>
      <w:r>
        <w:rPr>
          <w:rFonts w:eastAsia="Times New Roman"/>
          <w:b/>
          <w:color w:val="000000" w:themeColor="text1"/>
        </w:rPr>
        <w:t xml:space="preserve">ime </w:t>
      </w:r>
      <w:r w:rsidRPr="002051B1">
        <w:rPr>
          <w:rFonts w:eastAsia="Times New Roman"/>
          <w:b/>
          <w:color w:val="000000" w:themeColor="text1"/>
        </w:rPr>
        <w:t>S</w:t>
      </w:r>
      <w:r>
        <w:rPr>
          <w:rFonts w:eastAsia="Times New Roman"/>
          <w:b/>
          <w:color w:val="000000" w:themeColor="text1"/>
        </w:rPr>
        <w:t xml:space="preserve">eries </w:t>
      </w:r>
      <w:r w:rsidRPr="002051B1">
        <w:rPr>
          <w:rFonts w:eastAsia="Times New Roman"/>
          <w:b/>
          <w:color w:val="000000" w:themeColor="text1"/>
        </w:rPr>
        <w:t>Analysis</w:t>
      </w:r>
      <w:r>
        <w:rPr>
          <w:rFonts w:eastAsia="Times New Roman"/>
          <w:b/>
          <w:color w:val="000000" w:themeColor="text1"/>
        </w:rPr>
        <w:t xml:space="preserve"> (ITSA)</w:t>
      </w:r>
    </w:p>
    <w:p w14:paraId="2880C46C" w14:textId="77777777" w:rsidR="00BF6E7E" w:rsidRPr="00B36269" w:rsidRDefault="00BF6E7E" w:rsidP="00C34102">
      <w:pPr>
        <w:spacing w:before="100" w:beforeAutospacing="1" w:after="100" w:afterAutospacing="1" w:line="360" w:lineRule="auto"/>
        <w:ind w:firstLine="720"/>
        <w:rPr>
          <w:rFonts w:eastAsia="Times New Roman"/>
          <w:color w:val="000000" w:themeColor="text1"/>
        </w:rPr>
      </w:pPr>
      <w:r w:rsidRPr="00136D97">
        <w:rPr>
          <w:rFonts w:eastAsia="Times New Roman"/>
          <w:color w:val="000000" w:themeColor="text1"/>
        </w:rPr>
        <w:t xml:space="preserve">Traditional methods assess the impact of policy change using mean values of the preintervention data and compare that with mean values of the postintervention data without considering the pre- and postintervention trends. Therefore, it is difficult to clearly attribute observed changes to a specific intervention. </w:t>
      </w:r>
      <w:proofErr w:type="spellStart"/>
      <w:r w:rsidRPr="00136D97">
        <w:rPr>
          <w:rFonts w:eastAsia="Times New Roman"/>
          <w:i/>
          <w:color w:val="000000" w:themeColor="text1"/>
        </w:rPr>
        <w:t>Itsa</w:t>
      </w:r>
      <w:proofErr w:type="spellEnd"/>
      <w:r w:rsidRPr="00136D97">
        <w:rPr>
          <w:rFonts w:eastAsia="Times New Roman"/>
          <w:color w:val="000000" w:themeColor="text1"/>
        </w:rPr>
        <w:t xml:space="preserve"> is a valuable statistical method to understand and visualize changes over</w:t>
      </w:r>
      <w:r>
        <w:rPr>
          <w:rFonts w:eastAsia="Times New Roman"/>
          <w:color w:val="000000" w:themeColor="text1"/>
        </w:rPr>
        <w:t xml:space="preserve"> </w:t>
      </w:r>
      <w:r w:rsidRPr="00136D97">
        <w:rPr>
          <w:rFonts w:eastAsia="Times New Roman"/>
          <w:color w:val="000000" w:themeColor="text1"/>
        </w:rPr>
        <w:t>time</w:t>
      </w:r>
      <w:r>
        <w:rPr>
          <w:rFonts w:eastAsia="Times New Roman"/>
          <w:color w:val="000000" w:themeColor="text1"/>
        </w:rPr>
        <w:t>.</w:t>
      </w:r>
    </w:p>
    <w:p w14:paraId="6EFC26E4" w14:textId="088BC15D" w:rsidR="00BF6E7E" w:rsidRPr="00136D97" w:rsidRDefault="00C34102" w:rsidP="00BF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rPr>
      </w:pPr>
      <w:r>
        <w:rPr>
          <w:rFonts w:eastAsia="Times New Roman"/>
          <w:i/>
          <w:color w:val="000000" w:themeColor="text1"/>
        </w:rPr>
        <w:tab/>
      </w:r>
      <w:proofErr w:type="spellStart"/>
      <w:r w:rsidR="00BF6E7E" w:rsidRPr="00136D97">
        <w:rPr>
          <w:rFonts w:eastAsia="Times New Roman"/>
          <w:i/>
          <w:color w:val="000000" w:themeColor="text1"/>
        </w:rPr>
        <w:t>Itsa</w:t>
      </w:r>
      <w:proofErr w:type="spellEnd"/>
      <w:r w:rsidR="00BF6E7E" w:rsidRPr="00136D97">
        <w:rPr>
          <w:rFonts w:eastAsia="Times New Roman"/>
          <w:color w:val="000000" w:themeColor="text1"/>
        </w:rPr>
        <w:t xml:space="preserve"> has the ability to limit confounding factors that threaten the validity of effect estimates. Inherently, the design of an </w:t>
      </w:r>
      <w:proofErr w:type="spellStart"/>
      <w:r w:rsidR="00BF6E7E" w:rsidRPr="00136D97">
        <w:rPr>
          <w:rFonts w:eastAsia="Times New Roman"/>
          <w:i/>
          <w:color w:val="000000" w:themeColor="text1"/>
        </w:rPr>
        <w:t>itsa</w:t>
      </w:r>
      <w:proofErr w:type="spellEnd"/>
      <w:r w:rsidR="00BF6E7E" w:rsidRPr="00136D97">
        <w:rPr>
          <w:rFonts w:eastAsia="Times New Roman"/>
          <w:i/>
          <w:color w:val="000000" w:themeColor="text1"/>
        </w:rPr>
        <w:t xml:space="preserve"> </w:t>
      </w:r>
      <w:r w:rsidR="00BF6E7E" w:rsidRPr="00136D97">
        <w:rPr>
          <w:rFonts w:eastAsia="Times New Roman"/>
          <w:color w:val="000000" w:themeColor="text1"/>
        </w:rPr>
        <w:t xml:space="preserve">makes it difficult for significant confounding, since a confounder would need to occur at approximately the same time as the study intervention to produce an effect simultaneously. Standard assumptions for </w:t>
      </w:r>
      <w:proofErr w:type="spellStart"/>
      <w:r w:rsidR="00BF6E7E" w:rsidRPr="00136D97">
        <w:rPr>
          <w:rFonts w:eastAsia="Times New Roman"/>
          <w:i/>
          <w:color w:val="000000" w:themeColor="text1"/>
        </w:rPr>
        <w:t>itsa</w:t>
      </w:r>
      <w:proofErr w:type="spellEnd"/>
      <w:r w:rsidR="00BF6E7E" w:rsidRPr="00136D97">
        <w:rPr>
          <w:rFonts w:eastAsia="Times New Roman"/>
          <w:i/>
          <w:color w:val="000000" w:themeColor="text1"/>
        </w:rPr>
        <w:t xml:space="preserve"> </w:t>
      </w:r>
      <w:r w:rsidR="00BF6E7E" w:rsidRPr="00136D97">
        <w:rPr>
          <w:rFonts w:eastAsia="Times New Roman"/>
          <w:color w:val="000000" w:themeColor="text1"/>
        </w:rPr>
        <w:t xml:space="preserve">are that the trend is linear and would continue in perpetuity. </w:t>
      </w:r>
      <w:r w:rsidR="00D45C37" w:rsidRPr="00D45C37">
        <w:rPr>
          <w:iCs/>
          <w:color w:val="000000" w:themeColor="text1"/>
        </w:rPr>
        <w:t>I</w:t>
      </w:r>
      <w:r w:rsidR="00D45C37">
        <w:rPr>
          <w:iCs/>
          <w:color w:val="000000" w:themeColor="text1"/>
        </w:rPr>
        <w:t>t</w:t>
      </w:r>
      <w:r w:rsidR="00D45C37">
        <w:rPr>
          <w:i/>
          <w:color w:val="000000" w:themeColor="text1"/>
        </w:rPr>
        <w:t xml:space="preserve"> </w:t>
      </w:r>
      <w:r w:rsidR="00BF6E7E" w:rsidRPr="00136D97">
        <w:rPr>
          <w:color w:val="000000" w:themeColor="text1"/>
        </w:rPr>
        <w:t>produces Newey-West standard errors for coefficients (</w:t>
      </w:r>
      <w:proofErr w:type="spellStart"/>
      <w:r w:rsidR="00BF6E7E" w:rsidRPr="00136D97">
        <w:rPr>
          <w:color w:val="000000" w:themeColor="text1"/>
        </w:rPr>
        <w:t>newey</w:t>
      </w:r>
      <w:proofErr w:type="spellEnd"/>
      <w:r w:rsidR="00BF6E7E" w:rsidRPr="00136D97">
        <w:rPr>
          <w:color w:val="000000" w:themeColor="text1"/>
        </w:rPr>
        <w:t xml:space="preserve">), estimated by the </w:t>
      </w:r>
      <w:r w:rsidR="00BF6E7E">
        <w:rPr>
          <w:color w:val="000000" w:themeColor="text1"/>
        </w:rPr>
        <w:t xml:space="preserve">ordinary least square </w:t>
      </w:r>
      <w:r w:rsidR="00BF6E7E" w:rsidRPr="00136D97">
        <w:rPr>
          <w:color w:val="000000" w:themeColor="text1"/>
        </w:rPr>
        <w:t>regression</w:t>
      </w:r>
      <w:r w:rsidR="00BF6E7E">
        <w:rPr>
          <w:color w:val="000000" w:themeColor="text1"/>
        </w:rPr>
        <w:t xml:space="preserve"> (</w:t>
      </w:r>
      <w:r w:rsidR="00BF6E7E" w:rsidRPr="00136D97">
        <w:rPr>
          <w:color w:val="000000" w:themeColor="text1"/>
        </w:rPr>
        <w:t>OLS</w:t>
      </w:r>
      <w:r w:rsidR="00BF6E7E">
        <w:rPr>
          <w:color w:val="000000" w:themeColor="text1"/>
        </w:rPr>
        <w:t>)</w:t>
      </w:r>
      <w:r w:rsidR="00BF6E7E" w:rsidRPr="00136D97">
        <w:rPr>
          <w:color w:val="000000" w:themeColor="text1"/>
        </w:rPr>
        <w:t xml:space="preserve">. </w:t>
      </w:r>
      <w:proofErr w:type="spellStart"/>
      <w:r w:rsidR="00BF6E7E" w:rsidRPr="00136D97">
        <w:rPr>
          <w:rFonts w:eastAsia="Times New Roman"/>
          <w:i/>
          <w:color w:val="000000" w:themeColor="text1"/>
        </w:rPr>
        <w:t>Itsa</w:t>
      </w:r>
      <w:proofErr w:type="spellEnd"/>
      <w:r w:rsidR="00BF6E7E" w:rsidRPr="00136D97">
        <w:rPr>
          <w:rFonts w:eastAsia="Times New Roman"/>
          <w:color w:val="000000" w:themeColor="text1"/>
        </w:rPr>
        <w:t xml:space="preserve"> has strong internal validity, even in the absence of a comparison group, primarily because of its control over the effects of regression to the mean. Additionally, it has strong external validity when the unit of measure is at the population level.</w:t>
      </w:r>
      <w:r w:rsidR="00BF6E7E">
        <w:rPr>
          <w:rFonts w:eastAsia="Times New Roman"/>
          <w:color w:val="000000" w:themeColor="text1"/>
        </w:rPr>
        <w:fldChar w:fldCharType="begin" w:fldLock="1"/>
      </w:r>
      <w:r>
        <w:rPr>
          <w:rFonts w:eastAsia="Times New Roman"/>
          <w:color w:val="000000" w:themeColor="text1"/>
        </w:rPr>
        <w:instrText>ADDIN CSL_CITATION {"citationItems":[{"id":"ITEM-1","itemData":{"DOI":"The Stata Journal","ISBN":"9796964600","ISSN":"1536867X","PMID":"25080530","abstract":"In this paper, I show how to estimate the parameters of the beta-binomial distribution and its multivariate generalization, the Dirichlet-multinomial distribution. This approach involves no additional programming, as it relies on an existing Stata command used for overdispersed count panel data. Including covariates to allow for regression models based in these distributions is straightforward.","author":[{"dropping-particle":"","family":"Linden","given":"Ariel","non-dropping-particle":"","parse-names":false,"suffix":""}],"container-title":"Stata Journal","id":"ITEM-1","issued":{"date-parts":[["2015"]]},"title":"Conducting interrupted time-series analysis for single- and multiple-group comparisons","type":"article-journal"},"uris":["http://www.mendeley.com/documents/?uuid=0c2602c6-3d79-3365-8969-5a701372f753"]}],"mendeley":{"formattedCitation":"&lt;sup&gt;1&lt;/sup&gt;","plainTextFormattedCitation":"1","previouslyFormattedCitation":"(16)"},"properties":{"noteIndex":0},"schema":"https://github.com/citation-style-language/schema/raw/master/csl-citation.json"}</w:instrText>
      </w:r>
      <w:r w:rsidR="00BF6E7E">
        <w:rPr>
          <w:rFonts w:eastAsia="Times New Roman"/>
          <w:color w:val="000000" w:themeColor="text1"/>
        </w:rPr>
        <w:fldChar w:fldCharType="separate"/>
      </w:r>
      <w:r w:rsidRPr="00C34102">
        <w:rPr>
          <w:rFonts w:eastAsia="Times New Roman"/>
          <w:noProof/>
          <w:color w:val="000000" w:themeColor="text1"/>
          <w:vertAlign w:val="superscript"/>
        </w:rPr>
        <w:t>1</w:t>
      </w:r>
      <w:r w:rsidR="00BF6E7E">
        <w:rPr>
          <w:rFonts w:eastAsia="Times New Roman"/>
          <w:color w:val="000000" w:themeColor="text1"/>
        </w:rPr>
        <w:fldChar w:fldCharType="end"/>
      </w:r>
    </w:p>
    <w:p w14:paraId="5A6CF9DA" w14:textId="77777777" w:rsidR="00BF6E7E" w:rsidRPr="00136D97" w:rsidRDefault="00BF6E7E" w:rsidP="00BF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rPr>
      </w:pPr>
    </w:p>
    <w:p w14:paraId="7B4348B1" w14:textId="08C2D955" w:rsidR="00BF6E7E" w:rsidRPr="00136D97" w:rsidRDefault="00BF6E7E" w:rsidP="00BF6E7E">
      <w:pPr>
        <w:autoSpaceDE w:val="0"/>
        <w:autoSpaceDN w:val="0"/>
        <w:adjustRightInd w:val="0"/>
        <w:spacing w:line="360" w:lineRule="auto"/>
      </w:pPr>
      <w:r w:rsidRPr="00136D97">
        <w:t xml:space="preserve">The </w:t>
      </w:r>
      <w:r w:rsidRPr="00136D97">
        <w:rPr>
          <w:b/>
        </w:rPr>
        <w:t>standard ITSA regression model</w:t>
      </w:r>
      <w:r w:rsidRPr="00136D97">
        <w:t xml:space="preserve"> is represented by:</w:t>
      </w:r>
    </w:p>
    <w:p w14:paraId="7FFFB7C4" w14:textId="2896E373" w:rsidR="00BF6E7E" w:rsidRPr="0018477F" w:rsidRDefault="00BF6E7E" w:rsidP="00BF6E7E">
      <w:pPr>
        <w:autoSpaceDE w:val="0"/>
        <w:autoSpaceDN w:val="0"/>
        <w:adjustRightInd w:val="0"/>
        <w:spacing w:line="360" w:lineRule="auto"/>
        <w:rPr>
          <w:b/>
        </w:rPr>
      </w:pPr>
      <w:proofErr w:type="spellStart"/>
      <w:r w:rsidRPr="00136D97">
        <w:rPr>
          <w:b/>
        </w:rPr>
        <w:t>Y</w:t>
      </w:r>
      <w:r w:rsidRPr="00136D97">
        <w:rPr>
          <w:b/>
          <w:vertAlign w:val="subscript"/>
        </w:rPr>
        <w:t>t</w:t>
      </w:r>
      <w:proofErr w:type="spellEnd"/>
      <w:r w:rsidRPr="00136D97">
        <w:rPr>
          <w:b/>
        </w:rPr>
        <w:t xml:space="preserve"> = </w:t>
      </w:r>
      <m:oMath>
        <m:r>
          <m:rPr>
            <m:sty m:val="bi"/>
          </m:rPr>
          <w:rPr>
            <w:rFonts w:ascii="Cambria Math" w:hAnsi="Cambria Math"/>
          </w:rPr>
          <m:t>β</m:t>
        </m:r>
      </m:oMath>
      <w:r w:rsidRPr="00136D97">
        <w:rPr>
          <w:b/>
          <w:vertAlign w:val="subscript"/>
        </w:rPr>
        <w:t>0</w:t>
      </w:r>
      <w:r w:rsidRPr="00136D97">
        <w:rPr>
          <w:b/>
        </w:rPr>
        <w:t xml:space="preserve"> + </w:t>
      </w:r>
      <m:oMath>
        <m:r>
          <m:rPr>
            <m:sty m:val="bi"/>
          </m:rPr>
          <w:rPr>
            <w:rFonts w:ascii="Cambria Math" w:hAnsi="Cambria Math"/>
          </w:rPr>
          <m:t>β</m:t>
        </m:r>
      </m:oMath>
      <w:r w:rsidRPr="00136D97">
        <w:rPr>
          <w:b/>
          <w:vertAlign w:val="subscript"/>
        </w:rPr>
        <w:t>1</w:t>
      </w:r>
      <w:r w:rsidRPr="00136D97">
        <w:rPr>
          <w:b/>
        </w:rPr>
        <w:t>T</w:t>
      </w:r>
      <w:r w:rsidRPr="00136D97">
        <w:rPr>
          <w:b/>
          <w:vertAlign w:val="subscript"/>
        </w:rPr>
        <w:t>t</w:t>
      </w:r>
      <w:r w:rsidRPr="00136D97">
        <w:rPr>
          <w:b/>
        </w:rPr>
        <w:t xml:space="preserve"> + </w:t>
      </w:r>
      <m:oMath>
        <m:r>
          <m:rPr>
            <m:sty m:val="bi"/>
          </m:rPr>
          <w:rPr>
            <w:rFonts w:ascii="Cambria Math" w:hAnsi="Cambria Math"/>
          </w:rPr>
          <m:t>β</m:t>
        </m:r>
      </m:oMath>
      <w:r w:rsidRPr="00136D97">
        <w:rPr>
          <w:b/>
          <w:vertAlign w:val="subscript"/>
        </w:rPr>
        <w:t>2</w:t>
      </w:r>
      <w:proofErr w:type="spellStart"/>
      <w:r w:rsidRPr="00136D97">
        <w:rPr>
          <w:b/>
        </w:rPr>
        <w:t>X</w:t>
      </w:r>
      <w:r w:rsidRPr="00136D97">
        <w:rPr>
          <w:b/>
          <w:vertAlign w:val="subscript"/>
        </w:rPr>
        <w:t>t</w:t>
      </w:r>
      <w:proofErr w:type="spellEnd"/>
      <w:r w:rsidRPr="00136D97">
        <w:rPr>
          <w:b/>
        </w:rPr>
        <w:t xml:space="preserve"> + </w:t>
      </w:r>
      <m:oMath>
        <m:r>
          <m:rPr>
            <m:sty m:val="bi"/>
          </m:rPr>
          <w:rPr>
            <w:rFonts w:ascii="Cambria Math" w:hAnsi="Cambria Math"/>
          </w:rPr>
          <m:t>β</m:t>
        </m:r>
      </m:oMath>
      <w:r w:rsidRPr="00136D97">
        <w:rPr>
          <w:b/>
          <w:vertAlign w:val="subscript"/>
        </w:rPr>
        <w:t>3</w:t>
      </w:r>
      <w:proofErr w:type="spellStart"/>
      <w:r w:rsidRPr="00136D97">
        <w:rPr>
          <w:b/>
        </w:rPr>
        <w:t>X</w:t>
      </w:r>
      <w:r w:rsidRPr="00136D97">
        <w:rPr>
          <w:b/>
          <w:vertAlign w:val="subscript"/>
        </w:rPr>
        <w:t>t</w:t>
      </w:r>
      <w:r w:rsidRPr="00136D97">
        <w:rPr>
          <w:b/>
        </w:rPr>
        <w:t>T</w:t>
      </w:r>
      <w:r w:rsidRPr="00136D97">
        <w:rPr>
          <w:b/>
          <w:vertAlign w:val="subscript"/>
        </w:rPr>
        <w:t>t</w:t>
      </w:r>
      <w:proofErr w:type="spellEnd"/>
      <w:r w:rsidRPr="00136D97">
        <w:rPr>
          <w:b/>
        </w:rPr>
        <w:t xml:space="preserve"> + </w:t>
      </w:r>
      <m:oMath>
        <m:r>
          <m:rPr>
            <m:sty m:val="bi"/>
          </m:rPr>
          <w:rPr>
            <w:rFonts w:ascii="Cambria Math" w:hAnsi="Cambria Math"/>
          </w:rPr>
          <m:t>ϵ</m:t>
        </m:r>
      </m:oMath>
      <w:r w:rsidRPr="00136D97">
        <w:rPr>
          <w:b/>
          <w:vertAlign w:val="subscript"/>
        </w:rPr>
        <w:t>t</w:t>
      </w:r>
    </w:p>
    <w:p w14:paraId="1039CFFE" w14:textId="3031DBD5" w:rsidR="00BF6E7E" w:rsidRPr="00136D97" w:rsidRDefault="007B6D71" w:rsidP="00BF6E7E">
      <w:pPr>
        <w:autoSpaceDE w:val="0"/>
        <w:autoSpaceDN w:val="0"/>
        <w:adjustRightInd w:val="0"/>
        <w:spacing w:line="360" w:lineRule="auto"/>
      </w:pPr>
      <w:r>
        <w:rPr>
          <w:sz w:val="20"/>
          <w:szCs w:val="20"/>
        </w:rPr>
        <w:t>w</w:t>
      </w:r>
      <w:r w:rsidR="00BF6E7E" w:rsidRPr="007B6D71">
        <w:rPr>
          <w:sz w:val="20"/>
          <w:szCs w:val="20"/>
        </w:rPr>
        <w:t>here</w:t>
      </w:r>
      <w:r w:rsidR="00BF6E7E" w:rsidRPr="00136D97">
        <w:t>,</w:t>
      </w:r>
    </w:p>
    <w:p w14:paraId="14ED0B6F" w14:textId="77777777" w:rsidR="00BF6E7E" w:rsidRPr="0018477F" w:rsidRDefault="00BF6E7E" w:rsidP="00BF6E7E">
      <w:pPr>
        <w:autoSpaceDE w:val="0"/>
        <w:autoSpaceDN w:val="0"/>
        <w:adjustRightInd w:val="0"/>
        <w:spacing w:line="360" w:lineRule="auto"/>
        <w:rPr>
          <w:sz w:val="20"/>
          <w:szCs w:val="20"/>
        </w:rPr>
      </w:pPr>
      <w:proofErr w:type="spellStart"/>
      <w:r w:rsidRPr="0018477F">
        <w:rPr>
          <w:sz w:val="20"/>
          <w:szCs w:val="20"/>
        </w:rPr>
        <w:t>Yt</w:t>
      </w:r>
      <w:proofErr w:type="spellEnd"/>
      <w:r w:rsidRPr="0018477F">
        <w:rPr>
          <w:sz w:val="20"/>
          <w:szCs w:val="20"/>
        </w:rPr>
        <w:t xml:space="preserve"> is the aggregated outcome variable measured at each equally spaced time-point t, </w:t>
      </w:r>
    </w:p>
    <w:p w14:paraId="64DC51BA" w14:textId="77777777" w:rsidR="00BF6E7E" w:rsidRPr="0018477F" w:rsidRDefault="00BF6E7E" w:rsidP="00BF6E7E">
      <w:pPr>
        <w:autoSpaceDE w:val="0"/>
        <w:autoSpaceDN w:val="0"/>
        <w:adjustRightInd w:val="0"/>
        <w:spacing w:line="360" w:lineRule="auto"/>
        <w:rPr>
          <w:sz w:val="20"/>
          <w:szCs w:val="20"/>
        </w:rPr>
      </w:pPr>
      <w:r w:rsidRPr="0018477F">
        <w:rPr>
          <w:sz w:val="20"/>
          <w:szCs w:val="20"/>
        </w:rPr>
        <w:t xml:space="preserve">Tt is the time since the start of the study </w:t>
      </w:r>
    </w:p>
    <w:p w14:paraId="73383372" w14:textId="77777777" w:rsidR="00BF6E7E" w:rsidRPr="0018477F" w:rsidRDefault="00BF6E7E" w:rsidP="00BF6E7E">
      <w:pPr>
        <w:autoSpaceDE w:val="0"/>
        <w:autoSpaceDN w:val="0"/>
        <w:adjustRightInd w:val="0"/>
        <w:spacing w:line="360" w:lineRule="auto"/>
        <w:rPr>
          <w:sz w:val="20"/>
          <w:szCs w:val="20"/>
        </w:rPr>
      </w:pPr>
      <w:proofErr w:type="spellStart"/>
      <w:r w:rsidRPr="0018477F">
        <w:rPr>
          <w:sz w:val="20"/>
          <w:szCs w:val="20"/>
        </w:rPr>
        <w:t>Xt</w:t>
      </w:r>
      <w:proofErr w:type="spellEnd"/>
      <w:r w:rsidRPr="0018477F">
        <w:rPr>
          <w:sz w:val="20"/>
          <w:szCs w:val="20"/>
        </w:rPr>
        <w:t xml:space="preserve"> is a dummy (indicator) variable representing the intervention (pre-intervention periods 0, otherwise 1), and </w:t>
      </w:r>
      <w:proofErr w:type="spellStart"/>
      <w:r w:rsidRPr="0018477F">
        <w:rPr>
          <w:sz w:val="20"/>
          <w:szCs w:val="20"/>
        </w:rPr>
        <w:t>XtTt</w:t>
      </w:r>
      <w:proofErr w:type="spellEnd"/>
      <w:r w:rsidRPr="0018477F">
        <w:rPr>
          <w:sz w:val="20"/>
          <w:szCs w:val="20"/>
        </w:rPr>
        <w:t xml:space="preserve"> is an interaction term. </w:t>
      </w:r>
    </w:p>
    <w:p w14:paraId="4E1A8550" w14:textId="6DC061B3" w:rsidR="00BF6E7E" w:rsidRPr="0018477F" w:rsidRDefault="00BF6E7E" w:rsidP="00BF6E7E">
      <w:pPr>
        <w:autoSpaceDE w:val="0"/>
        <w:autoSpaceDN w:val="0"/>
        <w:adjustRightInd w:val="0"/>
        <w:spacing w:line="360" w:lineRule="auto"/>
        <w:rPr>
          <w:sz w:val="20"/>
          <w:szCs w:val="20"/>
        </w:rPr>
      </w:pPr>
      <m:oMath>
        <m:r>
          <w:rPr>
            <w:rFonts w:ascii="Cambria Math" w:hAnsi="Cambria Math"/>
            <w:sz w:val="20"/>
            <w:szCs w:val="20"/>
          </w:rPr>
          <m:t>β</m:t>
        </m:r>
      </m:oMath>
      <w:r w:rsidRPr="0018477F">
        <w:rPr>
          <w:sz w:val="20"/>
          <w:szCs w:val="20"/>
          <w:vertAlign w:val="subscript"/>
        </w:rPr>
        <w:t>0</w:t>
      </w:r>
      <w:r w:rsidRPr="0018477F">
        <w:rPr>
          <w:sz w:val="20"/>
          <w:szCs w:val="20"/>
        </w:rPr>
        <w:t xml:space="preserve"> represents the intercept/ or starting level of the outcome variable.</w:t>
      </w:r>
    </w:p>
    <w:p w14:paraId="6A79334A" w14:textId="47C50E3F" w:rsidR="00BF6E7E" w:rsidRPr="0018477F" w:rsidRDefault="00BF6E7E" w:rsidP="00BF6E7E">
      <w:pPr>
        <w:autoSpaceDE w:val="0"/>
        <w:autoSpaceDN w:val="0"/>
        <w:adjustRightInd w:val="0"/>
        <w:spacing w:line="360" w:lineRule="auto"/>
        <w:rPr>
          <w:sz w:val="20"/>
          <w:szCs w:val="20"/>
        </w:rPr>
      </w:pPr>
      <m:oMath>
        <m:r>
          <w:rPr>
            <w:rFonts w:ascii="Cambria Math" w:hAnsi="Cambria Math"/>
            <w:sz w:val="20"/>
            <w:szCs w:val="20"/>
          </w:rPr>
          <m:t>β</m:t>
        </m:r>
      </m:oMath>
      <w:r w:rsidRPr="0018477F">
        <w:rPr>
          <w:sz w:val="20"/>
          <w:szCs w:val="20"/>
          <w:vertAlign w:val="subscript"/>
        </w:rPr>
        <w:t>1</w:t>
      </w:r>
      <w:r w:rsidRPr="0018477F">
        <w:rPr>
          <w:sz w:val="20"/>
          <w:szCs w:val="20"/>
        </w:rPr>
        <w:t xml:space="preserve"> is the slope, or trajectory of the outcome variable until the introduction of the intervention. </w:t>
      </w:r>
    </w:p>
    <w:p w14:paraId="46B186EF" w14:textId="0FEB8F7F" w:rsidR="00BF6E7E" w:rsidRPr="0018477F" w:rsidRDefault="00BF6E7E" w:rsidP="00BF6E7E">
      <w:pPr>
        <w:autoSpaceDE w:val="0"/>
        <w:autoSpaceDN w:val="0"/>
        <w:adjustRightInd w:val="0"/>
        <w:spacing w:line="360" w:lineRule="auto"/>
        <w:rPr>
          <w:sz w:val="20"/>
          <w:szCs w:val="20"/>
        </w:rPr>
      </w:pPr>
      <m:oMath>
        <m:r>
          <w:rPr>
            <w:rFonts w:ascii="Cambria Math" w:hAnsi="Cambria Math"/>
            <w:sz w:val="20"/>
            <w:szCs w:val="20"/>
          </w:rPr>
          <m:t>β</m:t>
        </m:r>
      </m:oMath>
      <w:r w:rsidRPr="0018477F">
        <w:rPr>
          <w:sz w:val="20"/>
          <w:szCs w:val="20"/>
          <w:vertAlign w:val="subscript"/>
        </w:rPr>
        <w:t xml:space="preserve">2 </w:t>
      </w:r>
      <w:r w:rsidRPr="0018477F">
        <w:rPr>
          <w:sz w:val="20"/>
          <w:szCs w:val="20"/>
        </w:rPr>
        <w:t xml:space="preserve">represents the change in the level of the outcome that occurs in the period immediately following the introduction of the intervention (compared to the counterfactual). Thus, we look for significant P-values in </w:t>
      </w:r>
      <m:oMath>
        <m:r>
          <w:rPr>
            <w:rFonts w:ascii="Cambria Math" w:hAnsi="Cambria Math"/>
            <w:sz w:val="20"/>
            <w:szCs w:val="20"/>
          </w:rPr>
          <m:t>β</m:t>
        </m:r>
      </m:oMath>
      <w:r w:rsidRPr="0018477F">
        <w:rPr>
          <w:sz w:val="20"/>
          <w:szCs w:val="20"/>
        </w:rPr>
        <w:t>2 to indicate an immediate treatment effect</w:t>
      </w:r>
    </w:p>
    <w:p w14:paraId="23924BA1" w14:textId="5AECC16B" w:rsidR="00BF6E7E" w:rsidRPr="0018477F" w:rsidRDefault="00BF6E7E" w:rsidP="00BF6E7E">
      <w:pPr>
        <w:autoSpaceDE w:val="0"/>
        <w:autoSpaceDN w:val="0"/>
        <w:adjustRightInd w:val="0"/>
        <w:spacing w:line="360" w:lineRule="auto"/>
        <w:rPr>
          <w:sz w:val="20"/>
          <w:szCs w:val="20"/>
        </w:rPr>
      </w:pPr>
      <m:oMath>
        <m:r>
          <w:rPr>
            <w:rFonts w:ascii="Cambria Math" w:hAnsi="Cambria Math"/>
            <w:sz w:val="20"/>
            <w:szCs w:val="20"/>
          </w:rPr>
          <m:t>β</m:t>
        </m:r>
      </m:oMath>
      <w:r w:rsidRPr="0018477F">
        <w:rPr>
          <w:sz w:val="20"/>
          <w:szCs w:val="20"/>
          <w:vertAlign w:val="subscript"/>
        </w:rPr>
        <w:t>3</w:t>
      </w:r>
      <w:r w:rsidRPr="0018477F">
        <w:rPr>
          <w:sz w:val="20"/>
          <w:szCs w:val="20"/>
        </w:rPr>
        <w:t xml:space="preserve"> represents the difference between pre- and post-intervention slopes of the outcome. Thus, we look for significant P-values in </w:t>
      </w:r>
      <m:oMath>
        <m:r>
          <w:rPr>
            <w:rFonts w:ascii="Cambria Math" w:hAnsi="Cambria Math"/>
            <w:sz w:val="20"/>
            <w:szCs w:val="20"/>
          </w:rPr>
          <m:t>β</m:t>
        </m:r>
      </m:oMath>
      <w:r w:rsidRPr="0018477F">
        <w:rPr>
          <w:sz w:val="20"/>
          <w:szCs w:val="20"/>
        </w:rPr>
        <w:t xml:space="preserve"> 3 to indicate a treatment effect over time.</w:t>
      </w:r>
    </w:p>
    <w:p w14:paraId="3E6C19EF" w14:textId="4CBF75B1" w:rsidR="00BF6E7E" w:rsidRPr="00136D97" w:rsidRDefault="00BF6E7E" w:rsidP="003A3777">
      <w:pPr>
        <w:pStyle w:val="NormalWeb"/>
        <w:spacing w:line="360" w:lineRule="auto"/>
        <w:ind w:firstLine="720"/>
        <w:rPr>
          <w:color w:val="000000" w:themeColor="text1"/>
        </w:rPr>
      </w:pPr>
      <w:r w:rsidRPr="00136D97">
        <w:rPr>
          <w:color w:val="000000" w:themeColor="text1"/>
        </w:rPr>
        <w:lastRenderedPageBreak/>
        <w:t xml:space="preserve">In the ITSA model for a single group (in this case, females living in Calgary) exposed to two sequentially administered policy interventions, there are </w:t>
      </w:r>
      <w:r w:rsidR="009E1822">
        <w:rPr>
          <w:color w:val="000000" w:themeColor="text1"/>
        </w:rPr>
        <w:t xml:space="preserve">five </w:t>
      </w:r>
      <w:r w:rsidRPr="00136D97">
        <w:rPr>
          <w:color w:val="000000" w:themeColor="text1"/>
        </w:rPr>
        <w:t xml:space="preserve">measures of interest: the trends in each of the three periods (preintervention and the two intervention periods) and the differences between each period’s trends (preintervention versus the first intervention, first intervention versus the second intervention). </w:t>
      </w:r>
      <w:r>
        <w:rPr>
          <w:color w:val="000000" w:themeColor="text1"/>
        </w:rPr>
        <w:fldChar w:fldCharType="begin" w:fldLock="1"/>
      </w:r>
      <w:r w:rsidR="00C34102">
        <w:rPr>
          <w:color w:val="000000" w:themeColor="text1"/>
        </w:rPr>
        <w:instrText>ADDIN CSL_CITATION {"citationItems":[{"id":"ITEM-1","itemData":{"DOI":"The Stata Journal","ISBN":"9796964600","ISSN":"1536867X","PMID":"25080530","abstract":"In this paper, I show how to estimate the parameters of the beta-binomial distribution and its multivariate generalization, the Dirichlet-multinomial distribution. This approach involves no additional programming, as it relies on an existing Stata command used for overdispersed count panel data. Including covariates to allow for regression models based in these distributions is straightforward.","author":[{"dropping-particle":"","family":"Linden","given":"Ariel","non-dropping-particle":"","parse-names":false,"suffix":""}],"container-title":"Stata Journal","id":"ITEM-1","issued":{"date-parts":[["2015"]]},"title":"Conducting interrupted time-series analysis for single- and multiple-group comparisons","type":"article-journal"},"uris":["http://www.mendeley.com/documents/?uuid=0c2602c6-3d79-3365-8969-5a701372f753"]}],"mendeley":{"formattedCitation":"&lt;sup&gt;1&lt;/sup&gt;","plainTextFormattedCitation":"1","previouslyFormattedCitation":"(16)"},"properties":{"noteIndex":0},"schema":"https://github.com/citation-style-language/schema/raw/master/csl-citation.json"}</w:instrText>
      </w:r>
      <w:r>
        <w:rPr>
          <w:color w:val="000000" w:themeColor="text1"/>
        </w:rPr>
        <w:fldChar w:fldCharType="separate"/>
      </w:r>
      <w:r w:rsidR="00C34102" w:rsidRPr="00C34102">
        <w:rPr>
          <w:noProof/>
          <w:color w:val="000000" w:themeColor="text1"/>
          <w:vertAlign w:val="superscript"/>
        </w:rPr>
        <w:t>1</w:t>
      </w:r>
      <w:r>
        <w:rPr>
          <w:color w:val="000000" w:themeColor="text1"/>
        </w:rPr>
        <w:fldChar w:fldCharType="end"/>
      </w:r>
    </w:p>
    <w:p w14:paraId="542BB360" w14:textId="77777777" w:rsidR="00BF6E7E" w:rsidRPr="00136D97" w:rsidRDefault="00BF6E7E" w:rsidP="00BF6E7E">
      <w:pPr>
        <w:spacing w:line="360" w:lineRule="auto"/>
        <w:rPr>
          <w:b/>
        </w:rPr>
      </w:pPr>
      <w:proofErr w:type="spellStart"/>
      <w:r w:rsidRPr="00136D97">
        <w:rPr>
          <w:b/>
        </w:rPr>
        <w:t>Y</w:t>
      </w:r>
      <w:r w:rsidRPr="00136D97">
        <w:rPr>
          <w:b/>
          <w:vertAlign w:val="subscript"/>
        </w:rPr>
        <w:t>t</w:t>
      </w:r>
      <w:proofErr w:type="spellEnd"/>
      <w:r w:rsidRPr="00136D97">
        <w:rPr>
          <w:b/>
        </w:rPr>
        <w:t xml:space="preserve"> = </w:t>
      </w:r>
      <m:oMath>
        <m:r>
          <m:rPr>
            <m:sty m:val="bi"/>
          </m:rPr>
          <w:rPr>
            <w:rFonts w:ascii="Cambria Math" w:hAnsi="Cambria Math"/>
          </w:rPr>
          <m:t>β</m:t>
        </m:r>
      </m:oMath>
      <w:r w:rsidRPr="00136D97">
        <w:rPr>
          <w:b/>
          <w:vertAlign w:val="subscript"/>
        </w:rPr>
        <w:t>0</w:t>
      </w:r>
      <w:r w:rsidRPr="00136D97">
        <w:rPr>
          <w:b/>
        </w:rPr>
        <w:t xml:space="preserve"> + </w:t>
      </w:r>
      <m:oMath>
        <m:r>
          <m:rPr>
            <m:sty m:val="bi"/>
          </m:rPr>
          <w:rPr>
            <w:rFonts w:ascii="Cambria Math" w:hAnsi="Cambria Math"/>
          </w:rPr>
          <m:t>β</m:t>
        </m:r>
      </m:oMath>
      <w:r w:rsidRPr="00136D97">
        <w:rPr>
          <w:b/>
          <w:vertAlign w:val="subscript"/>
        </w:rPr>
        <w:t>1</w:t>
      </w:r>
      <w:r w:rsidRPr="00136D97">
        <w:rPr>
          <w:b/>
        </w:rPr>
        <w:t>T</w:t>
      </w:r>
      <w:r w:rsidRPr="00136D97">
        <w:rPr>
          <w:b/>
          <w:vertAlign w:val="subscript"/>
        </w:rPr>
        <w:t>t</w:t>
      </w:r>
      <w:r w:rsidRPr="00136D97">
        <w:rPr>
          <w:b/>
        </w:rPr>
        <w:t xml:space="preserve"> + </w:t>
      </w:r>
      <m:oMath>
        <m:r>
          <m:rPr>
            <m:sty m:val="bi"/>
          </m:rPr>
          <w:rPr>
            <w:rFonts w:ascii="Cambria Math" w:hAnsi="Cambria Math"/>
          </w:rPr>
          <m:t>β</m:t>
        </m:r>
      </m:oMath>
      <w:r w:rsidRPr="00136D97">
        <w:rPr>
          <w:b/>
          <w:vertAlign w:val="subscript"/>
        </w:rPr>
        <w:t>2</w:t>
      </w:r>
      <w:r w:rsidRPr="00136D97">
        <w:rPr>
          <w:b/>
        </w:rPr>
        <w:t>X</w:t>
      </w:r>
      <w:r w:rsidRPr="00136D97">
        <w:rPr>
          <w:b/>
          <w:vertAlign w:val="subscript"/>
        </w:rPr>
        <w:t>1t</w:t>
      </w:r>
      <w:r w:rsidRPr="00136D97">
        <w:rPr>
          <w:b/>
        </w:rPr>
        <w:t xml:space="preserve"> + </w:t>
      </w:r>
      <m:oMath>
        <m:r>
          <m:rPr>
            <m:sty m:val="bi"/>
          </m:rPr>
          <w:rPr>
            <w:rFonts w:ascii="Cambria Math" w:hAnsi="Cambria Math"/>
          </w:rPr>
          <m:t>β</m:t>
        </m:r>
      </m:oMath>
      <w:r w:rsidRPr="00136D97">
        <w:rPr>
          <w:b/>
          <w:vertAlign w:val="subscript"/>
        </w:rPr>
        <w:t>3</w:t>
      </w:r>
      <w:r w:rsidRPr="00136D97">
        <w:rPr>
          <w:b/>
        </w:rPr>
        <w:t>X</w:t>
      </w:r>
      <w:r w:rsidRPr="00136D97">
        <w:rPr>
          <w:b/>
          <w:vertAlign w:val="subscript"/>
        </w:rPr>
        <w:t>1t</w:t>
      </w:r>
      <w:r w:rsidRPr="00136D97">
        <w:rPr>
          <w:b/>
        </w:rPr>
        <w:t>T</w:t>
      </w:r>
      <w:r w:rsidRPr="00136D97">
        <w:rPr>
          <w:b/>
          <w:vertAlign w:val="subscript"/>
        </w:rPr>
        <w:t>1t</w:t>
      </w:r>
      <w:r w:rsidRPr="00136D97">
        <w:rPr>
          <w:b/>
        </w:rPr>
        <w:t xml:space="preserve"> + </w:t>
      </w:r>
      <m:oMath>
        <m:r>
          <m:rPr>
            <m:sty m:val="bi"/>
          </m:rPr>
          <w:rPr>
            <w:rFonts w:ascii="Cambria Math" w:hAnsi="Cambria Math"/>
          </w:rPr>
          <m:t>β</m:t>
        </m:r>
      </m:oMath>
      <w:r w:rsidRPr="00136D97">
        <w:rPr>
          <w:b/>
          <w:vertAlign w:val="subscript"/>
        </w:rPr>
        <w:t>4</w:t>
      </w:r>
      <w:r w:rsidRPr="00136D97">
        <w:rPr>
          <w:b/>
        </w:rPr>
        <w:t>X</w:t>
      </w:r>
      <w:r w:rsidRPr="00136D97">
        <w:rPr>
          <w:b/>
          <w:vertAlign w:val="subscript"/>
        </w:rPr>
        <w:t xml:space="preserve">2t </w:t>
      </w:r>
      <w:r w:rsidRPr="00136D97">
        <w:rPr>
          <w:b/>
        </w:rPr>
        <w:t xml:space="preserve">+ </w:t>
      </w:r>
      <m:oMath>
        <m:r>
          <m:rPr>
            <m:sty m:val="bi"/>
          </m:rPr>
          <w:rPr>
            <w:rFonts w:ascii="Cambria Math" w:hAnsi="Cambria Math"/>
          </w:rPr>
          <m:t>β</m:t>
        </m:r>
      </m:oMath>
      <w:r w:rsidRPr="00136D97">
        <w:rPr>
          <w:b/>
          <w:vertAlign w:val="subscript"/>
        </w:rPr>
        <w:t>5</w:t>
      </w:r>
      <w:r w:rsidRPr="00136D97">
        <w:rPr>
          <w:b/>
        </w:rPr>
        <w:t>X</w:t>
      </w:r>
      <w:r w:rsidRPr="00136D97">
        <w:rPr>
          <w:b/>
          <w:vertAlign w:val="subscript"/>
        </w:rPr>
        <w:t>2t</w:t>
      </w:r>
      <w:r w:rsidRPr="00136D97">
        <w:rPr>
          <w:b/>
        </w:rPr>
        <w:t>T</w:t>
      </w:r>
      <w:r w:rsidRPr="00136D97">
        <w:rPr>
          <w:b/>
          <w:vertAlign w:val="subscript"/>
        </w:rPr>
        <w:t>2t</w:t>
      </w:r>
      <w:r w:rsidRPr="00136D97">
        <w:rPr>
          <w:rFonts w:eastAsia="Times New Roman"/>
          <w:color w:val="000000" w:themeColor="text1"/>
          <w:position w:val="-2"/>
        </w:rPr>
        <w:t xml:space="preserve"> </w:t>
      </w:r>
      <w:r w:rsidRPr="00136D97">
        <w:rPr>
          <w:b/>
        </w:rPr>
        <w:t xml:space="preserve">+ </w:t>
      </w:r>
      <m:oMath>
        <m:r>
          <m:rPr>
            <m:sty m:val="bi"/>
          </m:rPr>
          <w:rPr>
            <w:rFonts w:ascii="Cambria Math" w:hAnsi="Cambria Math"/>
          </w:rPr>
          <m:t>ϵ</m:t>
        </m:r>
      </m:oMath>
      <w:r w:rsidRPr="00136D97">
        <w:rPr>
          <w:b/>
          <w:vertAlign w:val="subscript"/>
        </w:rPr>
        <w:t>t</w:t>
      </w:r>
    </w:p>
    <w:p w14:paraId="2B8D43A4" w14:textId="77777777" w:rsidR="00BF6E7E" w:rsidRPr="007B6D71" w:rsidRDefault="00BF6E7E" w:rsidP="00BF6E7E">
      <w:pPr>
        <w:autoSpaceDE w:val="0"/>
        <w:autoSpaceDN w:val="0"/>
        <w:adjustRightInd w:val="0"/>
        <w:spacing w:line="360" w:lineRule="auto"/>
        <w:rPr>
          <w:rFonts w:eastAsiaTheme="minorEastAsia"/>
          <w:sz w:val="20"/>
          <w:szCs w:val="20"/>
        </w:rPr>
      </w:pPr>
      <m:oMathPara>
        <m:oMathParaPr>
          <m:jc m:val="left"/>
        </m:oMathParaPr>
        <m:oMath>
          <m:r>
            <w:rPr>
              <w:rFonts w:ascii="Cambria Math" w:hAnsi="Cambria Math"/>
              <w:sz w:val="20"/>
              <w:szCs w:val="20"/>
            </w:rPr>
            <m:t xml:space="preserve">where, </m:t>
          </m:r>
        </m:oMath>
      </m:oMathPara>
    </w:p>
    <w:p w14:paraId="6568B548" w14:textId="77777777" w:rsidR="00BF6E7E" w:rsidRPr="007B6D71" w:rsidRDefault="00BF6E7E" w:rsidP="00BF6E7E">
      <w:pPr>
        <w:autoSpaceDE w:val="0"/>
        <w:autoSpaceDN w:val="0"/>
        <w:adjustRightInd w:val="0"/>
        <w:spacing w:line="360" w:lineRule="auto"/>
        <w:rPr>
          <w:rFonts w:eastAsiaTheme="minorEastAsia"/>
          <w:sz w:val="20"/>
          <w:szCs w:val="20"/>
        </w:rPr>
      </w:pPr>
      <m:oMath>
        <m:r>
          <w:rPr>
            <w:rFonts w:ascii="Cambria Math" w:hAnsi="Cambria Math"/>
            <w:sz w:val="20"/>
            <w:szCs w:val="20"/>
          </w:rPr>
          <m:t>β</m:t>
        </m:r>
      </m:oMath>
      <w:r w:rsidRPr="007B6D71">
        <w:rPr>
          <w:sz w:val="20"/>
          <w:szCs w:val="20"/>
          <w:vertAlign w:val="subscript"/>
        </w:rPr>
        <w:t>0</w:t>
      </w:r>
      <w:r w:rsidRPr="007B6D71">
        <w:rPr>
          <w:sz w:val="20"/>
          <w:szCs w:val="20"/>
        </w:rPr>
        <w:t xml:space="preserve"> is the intercept</w:t>
      </w:r>
      <w:r w:rsidRPr="007B6D71">
        <w:rPr>
          <w:b/>
          <w:sz w:val="20"/>
          <w:szCs w:val="20"/>
        </w:rPr>
        <w:t xml:space="preserve"> </w:t>
      </w:r>
      <w:r w:rsidRPr="007B6D71">
        <w:rPr>
          <w:sz w:val="20"/>
          <w:szCs w:val="20"/>
        </w:rPr>
        <w:t>or starting level of the outcome variable.</w:t>
      </w:r>
    </w:p>
    <w:p w14:paraId="7CFF68AA" w14:textId="77777777" w:rsidR="00BF6E7E" w:rsidRPr="007B6D71" w:rsidRDefault="00BF6E7E" w:rsidP="00BF6E7E">
      <w:pPr>
        <w:autoSpaceDE w:val="0"/>
        <w:autoSpaceDN w:val="0"/>
        <w:adjustRightInd w:val="0"/>
        <w:spacing w:line="360" w:lineRule="auto"/>
        <w:rPr>
          <w:color w:val="000000" w:themeColor="text1"/>
          <w:sz w:val="20"/>
          <w:szCs w:val="20"/>
        </w:rPr>
      </w:pPr>
      <m:oMath>
        <m:r>
          <w:rPr>
            <w:rFonts w:ascii="Cambria Math" w:hAnsi="Cambria Math"/>
            <w:sz w:val="20"/>
            <w:szCs w:val="20"/>
          </w:rPr>
          <m:t>β</m:t>
        </m:r>
      </m:oMath>
      <w:r w:rsidRPr="007B6D71">
        <w:rPr>
          <w:sz w:val="20"/>
          <w:szCs w:val="20"/>
          <w:vertAlign w:val="subscript"/>
        </w:rPr>
        <w:t>1</w:t>
      </w:r>
      <w:r w:rsidRPr="007B6D71">
        <w:rPr>
          <w:sz w:val="20"/>
          <w:szCs w:val="20"/>
        </w:rPr>
        <w:t xml:space="preserve"> is </w:t>
      </w:r>
      <w:r w:rsidRPr="007B6D71">
        <w:rPr>
          <w:color w:val="000000" w:themeColor="text1"/>
          <w:sz w:val="20"/>
          <w:szCs w:val="20"/>
        </w:rPr>
        <w:t>the preintervention trend</w:t>
      </w:r>
    </w:p>
    <w:p w14:paraId="6D5F35F8" w14:textId="77777777" w:rsidR="00BF6E7E" w:rsidRPr="007B6D71" w:rsidRDefault="00BF6E7E" w:rsidP="00BF6E7E">
      <w:pPr>
        <w:autoSpaceDE w:val="0"/>
        <w:autoSpaceDN w:val="0"/>
        <w:adjustRightInd w:val="0"/>
        <w:spacing w:line="360" w:lineRule="auto"/>
        <w:rPr>
          <w:color w:val="000000" w:themeColor="text1"/>
          <w:position w:val="-2"/>
          <w:sz w:val="20"/>
          <w:szCs w:val="20"/>
        </w:rPr>
      </w:pPr>
      <m:oMath>
        <m:r>
          <w:rPr>
            <w:rFonts w:ascii="Cambria Math" w:hAnsi="Cambria Math"/>
            <w:sz w:val="20"/>
            <w:szCs w:val="20"/>
          </w:rPr>
          <m:t>β</m:t>
        </m:r>
      </m:oMath>
      <w:r w:rsidRPr="007B6D71">
        <w:rPr>
          <w:rFonts w:eastAsiaTheme="minorEastAsia"/>
          <w:sz w:val="20"/>
          <w:szCs w:val="20"/>
          <w:vertAlign w:val="subscript"/>
        </w:rPr>
        <w:t>2</w:t>
      </w:r>
      <w:r w:rsidRPr="007B6D71">
        <w:rPr>
          <w:rFonts w:eastAsiaTheme="minorEastAsia"/>
          <w:sz w:val="20"/>
          <w:szCs w:val="20"/>
        </w:rPr>
        <w:t xml:space="preserve"> represent </w:t>
      </w:r>
      <w:r w:rsidRPr="007B6D71">
        <w:rPr>
          <w:sz w:val="20"/>
          <w:szCs w:val="20"/>
        </w:rPr>
        <w:t>the</w:t>
      </w:r>
      <w:r w:rsidRPr="007B6D71">
        <w:rPr>
          <w:rFonts w:eastAsiaTheme="minorEastAsia"/>
          <w:sz w:val="20"/>
          <w:szCs w:val="20"/>
        </w:rPr>
        <w:t xml:space="preserve"> </w:t>
      </w:r>
      <w:r w:rsidRPr="007B6D71">
        <w:rPr>
          <w:sz w:val="20"/>
          <w:szCs w:val="20"/>
        </w:rPr>
        <w:t>first intervention trend</w:t>
      </w:r>
      <m:oMath>
        <m:r>
          <w:rPr>
            <w:rFonts w:ascii="Cambria Math" w:hAnsi="Cambria Math"/>
            <w:sz w:val="20"/>
            <w:szCs w:val="20"/>
          </w:rPr>
          <m:t xml:space="preserve">. </m:t>
        </m:r>
      </m:oMath>
    </w:p>
    <w:p w14:paraId="78A660CE" w14:textId="77777777" w:rsidR="00BF6E7E" w:rsidRPr="007B6D71" w:rsidRDefault="00BF6E7E" w:rsidP="00BF6E7E">
      <w:pPr>
        <w:autoSpaceDE w:val="0"/>
        <w:autoSpaceDN w:val="0"/>
        <w:adjustRightInd w:val="0"/>
        <w:spacing w:line="360" w:lineRule="auto"/>
        <w:rPr>
          <w:color w:val="000000" w:themeColor="text1"/>
          <w:sz w:val="20"/>
          <w:szCs w:val="20"/>
        </w:rPr>
      </w:pPr>
      <m:oMath>
        <m:r>
          <w:rPr>
            <w:rFonts w:ascii="Cambria Math" w:hAnsi="Cambria Math"/>
            <w:sz w:val="20"/>
            <w:szCs w:val="20"/>
          </w:rPr>
          <m:t>β</m:t>
        </m:r>
      </m:oMath>
      <w:r w:rsidRPr="007B6D71">
        <w:rPr>
          <w:color w:val="000000" w:themeColor="text1"/>
          <w:position w:val="-2"/>
          <w:sz w:val="20"/>
          <w:szCs w:val="20"/>
          <w:vertAlign w:val="subscript"/>
        </w:rPr>
        <w:t>3</w:t>
      </w:r>
      <w:r w:rsidRPr="007B6D71">
        <w:rPr>
          <w:color w:val="000000" w:themeColor="text1"/>
          <w:position w:val="-2"/>
          <w:sz w:val="20"/>
          <w:szCs w:val="20"/>
        </w:rPr>
        <w:t xml:space="preserve"> </w:t>
      </w:r>
      <w:r w:rsidRPr="007B6D71">
        <w:rPr>
          <w:color w:val="000000" w:themeColor="text1"/>
          <w:sz w:val="20"/>
          <w:szCs w:val="20"/>
        </w:rPr>
        <w:t>the difference between the preintervention trend and the first-intervention trend,</w:t>
      </w:r>
    </w:p>
    <w:p w14:paraId="21DCA677" w14:textId="77777777" w:rsidR="00BF6E7E" w:rsidRPr="007B6D71" w:rsidRDefault="00BF6E7E" w:rsidP="00BF6E7E">
      <w:pPr>
        <w:autoSpaceDE w:val="0"/>
        <w:autoSpaceDN w:val="0"/>
        <w:adjustRightInd w:val="0"/>
        <w:spacing w:line="360" w:lineRule="auto"/>
        <w:rPr>
          <w:rFonts w:eastAsia="Times New Roman"/>
          <w:color w:val="000000" w:themeColor="text1"/>
          <w:sz w:val="20"/>
          <w:szCs w:val="20"/>
        </w:rPr>
      </w:pPr>
      <m:oMath>
        <m:r>
          <w:rPr>
            <w:rFonts w:ascii="Cambria Math" w:hAnsi="Cambria Math"/>
            <w:sz w:val="20"/>
            <w:szCs w:val="20"/>
          </w:rPr>
          <m:t>β</m:t>
        </m:r>
      </m:oMath>
      <w:r w:rsidRPr="007B6D71">
        <w:rPr>
          <w:sz w:val="20"/>
          <w:szCs w:val="20"/>
          <w:vertAlign w:val="subscript"/>
        </w:rPr>
        <w:t>4</w:t>
      </w:r>
      <w:r w:rsidRPr="007B6D71">
        <w:rPr>
          <w:rFonts w:eastAsia="Times New Roman"/>
          <w:color w:val="000000" w:themeColor="text1"/>
          <w:sz w:val="20"/>
          <w:szCs w:val="20"/>
        </w:rPr>
        <w:t>,</w:t>
      </w:r>
      <w:r w:rsidRPr="007B6D71">
        <w:rPr>
          <w:rFonts w:eastAsia="Times New Roman"/>
          <w:color w:val="000000" w:themeColor="text1"/>
          <w:position w:val="-2"/>
          <w:sz w:val="20"/>
          <w:szCs w:val="20"/>
        </w:rPr>
        <w:t xml:space="preserve"> </w:t>
      </w:r>
      <w:r w:rsidRPr="007B6D71">
        <w:rPr>
          <w:rFonts w:eastAsia="Times New Roman"/>
          <w:color w:val="000000" w:themeColor="text1"/>
          <w:sz w:val="20"/>
          <w:szCs w:val="20"/>
        </w:rPr>
        <w:t xml:space="preserve">represents the change in the level of the outcome that occurs in the period immediately following the introduction of the second intervention, and </w:t>
      </w:r>
    </w:p>
    <w:p w14:paraId="28EADECD" w14:textId="03CB520D" w:rsidR="00BF6E7E" w:rsidRDefault="00BF6E7E" w:rsidP="00BF6E7E">
      <w:pPr>
        <w:autoSpaceDE w:val="0"/>
        <w:autoSpaceDN w:val="0"/>
        <w:adjustRightInd w:val="0"/>
        <w:spacing w:line="360" w:lineRule="auto"/>
        <w:rPr>
          <w:rFonts w:eastAsia="Times New Roman"/>
          <w:color w:val="000000" w:themeColor="text1"/>
          <w:sz w:val="20"/>
          <w:szCs w:val="20"/>
        </w:rPr>
      </w:pPr>
      <m:oMath>
        <m:r>
          <w:rPr>
            <w:rFonts w:ascii="Cambria Math" w:hAnsi="Cambria Math"/>
            <w:sz w:val="20"/>
            <w:szCs w:val="20"/>
          </w:rPr>
          <m:t>β</m:t>
        </m:r>
      </m:oMath>
      <w:r w:rsidRPr="007B6D71">
        <w:rPr>
          <w:sz w:val="20"/>
          <w:szCs w:val="20"/>
          <w:vertAlign w:val="subscript"/>
        </w:rPr>
        <w:t>5</w:t>
      </w:r>
      <w:r w:rsidRPr="007B6D71">
        <w:rPr>
          <w:rFonts w:eastAsia="Times New Roman"/>
          <w:color w:val="000000" w:themeColor="text1"/>
          <w:sz w:val="20"/>
          <w:szCs w:val="20"/>
        </w:rPr>
        <w:t xml:space="preserve"> represents the difference in the level (intercept) of the outcome variable between the first and second intervention trends. </w:t>
      </w:r>
    </w:p>
    <w:p w14:paraId="2A175DC5" w14:textId="77777777" w:rsidR="007B6D71" w:rsidRPr="007B6D71" w:rsidRDefault="007B6D71" w:rsidP="00BF6E7E">
      <w:pPr>
        <w:autoSpaceDE w:val="0"/>
        <w:autoSpaceDN w:val="0"/>
        <w:adjustRightInd w:val="0"/>
        <w:spacing w:line="360" w:lineRule="auto"/>
        <w:rPr>
          <w:rFonts w:eastAsia="Times New Roman"/>
          <w:color w:val="000000" w:themeColor="text1"/>
          <w:sz w:val="20"/>
          <w:szCs w:val="20"/>
        </w:rPr>
      </w:pPr>
    </w:p>
    <w:p w14:paraId="43D26FEE" w14:textId="12998AD2" w:rsidR="00C34102" w:rsidRDefault="007B6D71" w:rsidP="00BF6E7E">
      <w:pPr>
        <w:autoSpaceDE w:val="0"/>
        <w:autoSpaceDN w:val="0"/>
        <w:adjustRightInd w:val="0"/>
        <w:spacing w:line="360" w:lineRule="auto"/>
        <w:rPr>
          <w:color w:val="000000" w:themeColor="text1"/>
        </w:rPr>
      </w:pPr>
      <w:r>
        <w:rPr>
          <w:color w:val="000000" w:themeColor="text1"/>
        </w:rPr>
        <w:t xml:space="preserve">In this paper, </w:t>
      </w:r>
      <w:r w:rsidR="00BF6E7E" w:rsidRPr="00136D97">
        <w:rPr>
          <w:color w:val="000000" w:themeColor="text1"/>
        </w:rPr>
        <w:t>X</w:t>
      </w:r>
      <w:r w:rsidR="00BF6E7E" w:rsidRPr="00136D97">
        <w:rPr>
          <w:color w:val="000000" w:themeColor="text1"/>
          <w:position w:val="-2"/>
          <w:vertAlign w:val="subscript"/>
        </w:rPr>
        <w:t>2t</w:t>
      </w:r>
      <w:r w:rsidR="00BF6E7E" w:rsidRPr="00136D97">
        <w:rPr>
          <w:color w:val="000000" w:themeColor="text1"/>
          <w:position w:val="-2"/>
        </w:rPr>
        <w:t xml:space="preserve"> </w:t>
      </w:r>
      <w:r w:rsidR="00BF6E7E" w:rsidRPr="00136D97">
        <w:rPr>
          <w:color w:val="000000" w:themeColor="text1"/>
        </w:rPr>
        <w:t>and X</w:t>
      </w:r>
      <w:r w:rsidR="00BF6E7E" w:rsidRPr="00136D97">
        <w:rPr>
          <w:color w:val="000000" w:themeColor="text1"/>
          <w:position w:val="-2"/>
          <w:vertAlign w:val="subscript"/>
        </w:rPr>
        <w:t>2t</w:t>
      </w:r>
      <w:r w:rsidR="00BF6E7E" w:rsidRPr="00136D97">
        <w:rPr>
          <w:color w:val="000000" w:themeColor="text1"/>
        </w:rPr>
        <w:t>T</w:t>
      </w:r>
      <w:r w:rsidR="00BF6E7E" w:rsidRPr="00136D97">
        <w:rPr>
          <w:color w:val="000000" w:themeColor="text1"/>
          <w:position w:val="-2"/>
          <w:vertAlign w:val="subscript"/>
        </w:rPr>
        <w:t xml:space="preserve">2t </w:t>
      </w:r>
      <w:r w:rsidR="00BF6E7E" w:rsidRPr="00136D97">
        <w:rPr>
          <w:color w:val="000000" w:themeColor="text1"/>
        </w:rPr>
        <w:t>are the variables representing the second intervention period in the study. (</w:t>
      </w:r>
      <w:r w:rsidR="004958B5">
        <w:rPr>
          <w:color w:val="000000" w:themeColor="text1"/>
        </w:rPr>
        <w:t xml:space="preserve">Canadian Task Force </w:t>
      </w:r>
      <w:r w:rsidR="00BF6E7E" w:rsidRPr="00136D97">
        <w:rPr>
          <w:color w:val="000000" w:themeColor="text1"/>
        </w:rPr>
        <w:t>2013</w:t>
      </w:r>
      <w:r w:rsidR="004958B5">
        <w:rPr>
          <w:color w:val="000000" w:themeColor="text1"/>
        </w:rPr>
        <w:t xml:space="preserve"> guidelines</w:t>
      </w:r>
      <w:r w:rsidR="00BF6E7E" w:rsidRPr="00136D97">
        <w:rPr>
          <w:color w:val="000000" w:themeColor="text1"/>
        </w:rPr>
        <w:t xml:space="preserve"> on </w:t>
      </w:r>
      <w:r w:rsidR="00BF6E7E">
        <w:rPr>
          <w:color w:val="000000" w:themeColor="text1"/>
        </w:rPr>
        <w:t>cervical cancer screening</w:t>
      </w:r>
      <w:r w:rsidR="00BF6E7E" w:rsidRPr="00136D97">
        <w:rPr>
          <w:color w:val="000000" w:themeColor="text1"/>
        </w:rPr>
        <w:t xml:space="preserve">). The </w:t>
      </w:r>
      <w:r w:rsidR="0046001E">
        <w:rPr>
          <w:color w:val="000000" w:themeColor="text1"/>
        </w:rPr>
        <w:t xml:space="preserve">two </w:t>
      </w:r>
      <w:r w:rsidR="00BF6E7E" w:rsidRPr="00136D97">
        <w:rPr>
          <w:color w:val="000000" w:themeColor="text1"/>
        </w:rPr>
        <w:t>remaining measures of interest that require calculation are the first-intervention period trend, β</w:t>
      </w:r>
      <w:r w:rsidR="00BF6E7E" w:rsidRPr="00136D97">
        <w:rPr>
          <w:color w:val="000000" w:themeColor="text1"/>
          <w:position w:val="-2"/>
        </w:rPr>
        <w:t xml:space="preserve">1 </w:t>
      </w:r>
      <w:r w:rsidR="00BF6E7E" w:rsidRPr="00136D97">
        <w:rPr>
          <w:color w:val="000000" w:themeColor="text1"/>
        </w:rPr>
        <w:t>+ β</w:t>
      </w:r>
      <w:r w:rsidR="00BF6E7E" w:rsidRPr="00136D97">
        <w:rPr>
          <w:color w:val="000000" w:themeColor="text1"/>
          <w:position w:val="-2"/>
        </w:rPr>
        <w:t>3</w:t>
      </w:r>
      <w:r w:rsidR="002A5C67">
        <w:rPr>
          <w:color w:val="000000" w:themeColor="text1"/>
        </w:rPr>
        <w:t xml:space="preserve"> and </w:t>
      </w:r>
      <w:r w:rsidR="00BF6E7E" w:rsidRPr="00136D97">
        <w:rPr>
          <w:color w:val="000000" w:themeColor="text1"/>
        </w:rPr>
        <w:t>the second-intervention period trend, β</w:t>
      </w:r>
      <w:r w:rsidR="00BF6E7E" w:rsidRPr="00136D97">
        <w:rPr>
          <w:color w:val="000000" w:themeColor="text1"/>
          <w:position w:val="-2"/>
        </w:rPr>
        <w:t xml:space="preserve">1 </w:t>
      </w:r>
      <w:r w:rsidR="00BF6E7E" w:rsidRPr="00136D97">
        <w:rPr>
          <w:color w:val="000000" w:themeColor="text1"/>
        </w:rPr>
        <w:t>+ β</w:t>
      </w:r>
      <w:r w:rsidR="00BF6E7E" w:rsidRPr="00136D97">
        <w:rPr>
          <w:color w:val="000000" w:themeColor="text1"/>
          <w:position w:val="-2"/>
        </w:rPr>
        <w:t xml:space="preserve">3 </w:t>
      </w:r>
      <w:r w:rsidR="00BF6E7E" w:rsidRPr="00136D97">
        <w:rPr>
          <w:color w:val="000000" w:themeColor="text1"/>
        </w:rPr>
        <w:t>+ β</w:t>
      </w:r>
      <w:r w:rsidR="00BF6E7E" w:rsidRPr="00136D97">
        <w:rPr>
          <w:color w:val="000000" w:themeColor="text1"/>
          <w:position w:val="-2"/>
        </w:rPr>
        <w:t>5</w:t>
      </w:r>
      <w:r w:rsidR="002A5C67">
        <w:rPr>
          <w:color w:val="000000" w:themeColor="text1"/>
        </w:rPr>
        <w:t xml:space="preserve">. </w:t>
      </w:r>
      <w:r w:rsidR="00BF6E7E">
        <w:rPr>
          <w:color w:val="000000" w:themeColor="text1"/>
        </w:rPr>
        <w:fldChar w:fldCharType="begin" w:fldLock="1"/>
      </w:r>
      <w:r w:rsidR="00C34102">
        <w:rPr>
          <w:color w:val="000000" w:themeColor="text1"/>
        </w:rPr>
        <w:instrText>ADDIN CSL_CITATION {"citationItems":[{"id":"ITEM-1","itemData":{"DOI":"The Stata Journal","ISBN":"9796964600","ISSN":"1536867X","PMID":"25080530","abstract":"While the primary goal of interrupted time-series analysis (ITSA) is to evaluate whether there is a change in the level or trend of an outcome following an interruption (for example, policy change, intervention initiation), a series of additional measures may be relevant to the analysis. In this article, I seek to fill a gap in the ITSA literature by describing a comprehensive set of measures that can be computed following ITSA models, including those that fulfill the primary goal and those that provide supplementary information about trends. These measures can be calculated using the itsa command; this article therefore serves as a complement to \"Conducting interrupted time-series analysis for single and multiple group comparisons\" (Linden, 2015, Stata Journal 15: 480-500), which introduced the itsa command. Specific ITSA postestimation measures described in this article include individual trend lines, comparisons between multiple interventions, and comparisons with a counterfactual.","author":[{"dropping-particle":"","family":"Linden","given":"Ariel","non-dropping-particle":"","parse-names":false,"suffix":""}],"container-title":"Stata Journal","id":"ITEM-1","issued":{"date-parts":[["2017"]]},"title":"A comprehensive set of postestimation measures to enrich interrupted time-series analysis","type":"article-journal"},"uris":["http://www.mendeley.com/documents/?uuid=120d5b96-c5c4-323d-a75a-025624e4b169"]}],"mendeley":{"formattedCitation":"&lt;sup&gt;2&lt;/sup&gt;","plainTextFormattedCitation":"2","previouslyFormattedCitation":"(42)"},"properties":{"noteIndex":0},"schema":"https://github.com/citation-style-language/schema/raw/master/csl-citation.json"}</w:instrText>
      </w:r>
      <w:r w:rsidR="00BF6E7E">
        <w:rPr>
          <w:color w:val="000000" w:themeColor="text1"/>
        </w:rPr>
        <w:fldChar w:fldCharType="separate"/>
      </w:r>
      <w:r w:rsidR="00C34102" w:rsidRPr="00C34102">
        <w:rPr>
          <w:noProof/>
          <w:color w:val="000000" w:themeColor="text1"/>
          <w:vertAlign w:val="superscript"/>
        </w:rPr>
        <w:t>2</w:t>
      </w:r>
      <w:r w:rsidR="00BF6E7E">
        <w:rPr>
          <w:color w:val="000000" w:themeColor="text1"/>
        </w:rPr>
        <w:fldChar w:fldCharType="end"/>
      </w:r>
    </w:p>
    <w:p w14:paraId="77242B6C" w14:textId="77777777" w:rsidR="007B6D71" w:rsidRDefault="007B6D71" w:rsidP="00BF6E7E">
      <w:pPr>
        <w:autoSpaceDE w:val="0"/>
        <w:autoSpaceDN w:val="0"/>
        <w:adjustRightInd w:val="0"/>
        <w:spacing w:line="360" w:lineRule="auto"/>
        <w:rPr>
          <w:color w:val="000000" w:themeColor="text1"/>
        </w:rPr>
      </w:pPr>
    </w:p>
    <w:p w14:paraId="11983E0E" w14:textId="5EE7B1BE" w:rsidR="001C7E3A" w:rsidRPr="001C7E3A" w:rsidRDefault="001C7E3A" w:rsidP="00BF6E7E">
      <w:pPr>
        <w:autoSpaceDE w:val="0"/>
        <w:autoSpaceDN w:val="0"/>
        <w:adjustRightInd w:val="0"/>
        <w:spacing w:line="360" w:lineRule="auto"/>
        <w:rPr>
          <w:color w:val="000000" w:themeColor="text1"/>
          <w:sz w:val="20"/>
          <w:szCs w:val="20"/>
        </w:rPr>
      </w:pPr>
      <w:r w:rsidRPr="001C7E3A">
        <w:rPr>
          <w:color w:val="000000" w:themeColor="text1"/>
          <w:sz w:val="20"/>
          <w:szCs w:val="20"/>
        </w:rPr>
        <w:t>References:</w:t>
      </w:r>
    </w:p>
    <w:p w14:paraId="704FF2AB" w14:textId="22D961DB" w:rsidR="00C34102" w:rsidRPr="001C7E3A" w:rsidRDefault="00C34102" w:rsidP="00C34102">
      <w:pPr>
        <w:widowControl w:val="0"/>
        <w:autoSpaceDE w:val="0"/>
        <w:autoSpaceDN w:val="0"/>
        <w:adjustRightInd w:val="0"/>
        <w:spacing w:line="360" w:lineRule="auto"/>
        <w:ind w:left="640" w:hanging="640"/>
        <w:rPr>
          <w:noProof/>
          <w:sz w:val="20"/>
          <w:szCs w:val="20"/>
        </w:rPr>
      </w:pPr>
      <w:r w:rsidRPr="001C7E3A">
        <w:rPr>
          <w:color w:val="000000" w:themeColor="text1"/>
          <w:sz w:val="20"/>
          <w:szCs w:val="20"/>
        </w:rPr>
        <w:fldChar w:fldCharType="begin" w:fldLock="1"/>
      </w:r>
      <w:r w:rsidRPr="001C7E3A">
        <w:rPr>
          <w:color w:val="000000" w:themeColor="text1"/>
          <w:sz w:val="20"/>
          <w:szCs w:val="20"/>
        </w:rPr>
        <w:instrText xml:space="preserve">ADDIN Mendeley Bibliography CSL_BIBLIOGRAPHY </w:instrText>
      </w:r>
      <w:r w:rsidRPr="001C7E3A">
        <w:rPr>
          <w:color w:val="000000" w:themeColor="text1"/>
          <w:sz w:val="20"/>
          <w:szCs w:val="20"/>
        </w:rPr>
        <w:fldChar w:fldCharType="separate"/>
      </w:r>
      <w:r w:rsidRPr="001C7E3A">
        <w:rPr>
          <w:noProof/>
          <w:sz w:val="20"/>
          <w:szCs w:val="20"/>
        </w:rPr>
        <w:t xml:space="preserve">1. </w:t>
      </w:r>
      <w:r w:rsidRPr="001C7E3A">
        <w:rPr>
          <w:noProof/>
          <w:sz w:val="20"/>
          <w:szCs w:val="20"/>
        </w:rPr>
        <w:tab/>
        <w:t xml:space="preserve">Linden A. Conducting interrupted time-series analysis for single- and multiple-group comparisons. </w:t>
      </w:r>
      <w:r w:rsidRPr="001C7E3A">
        <w:rPr>
          <w:i/>
          <w:iCs/>
          <w:noProof/>
          <w:sz w:val="20"/>
          <w:szCs w:val="20"/>
        </w:rPr>
        <w:t>Stata J</w:t>
      </w:r>
      <w:r w:rsidRPr="001C7E3A">
        <w:rPr>
          <w:noProof/>
          <w:sz w:val="20"/>
          <w:szCs w:val="20"/>
        </w:rPr>
        <w:t>. 2015. doi:The Stata Journal</w:t>
      </w:r>
    </w:p>
    <w:p w14:paraId="461D84A1" w14:textId="77777777" w:rsidR="00C34102" w:rsidRPr="001C7E3A" w:rsidRDefault="00C34102" w:rsidP="00C34102">
      <w:pPr>
        <w:widowControl w:val="0"/>
        <w:autoSpaceDE w:val="0"/>
        <w:autoSpaceDN w:val="0"/>
        <w:adjustRightInd w:val="0"/>
        <w:spacing w:line="360" w:lineRule="auto"/>
        <w:ind w:left="640" w:hanging="640"/>
        <w:rPr>
          <w:noProof/>
          <w:sz w:val="20"/>
          <w:szCs w:val="20"/>
        </w:rPr>
      </w:pPr>
      <w:r w:rsidRPr="001C7E3A">
        <w:rPr>
          <w:noProof/>
          <w:sz w:val="20"/>
          <w:szCs w:val="20"/>
        </w:rPr>
        <w:t xml:space="preserve">2. </w:t>
      </w:r>
      <w:r w:rsidRPr="001C7E3A">
        <w:rPr>
          <w:noProof/>
          <w:sz w:val="20"/>
          <w:szCs w:val="20"/>
        </w:rPr>
        <w:tab/>
        <w:t xml:space="preserve">Linden A. A comprehensive set of postestimation measures to enrich interrupted time-series analysis. </w:t>
      </w:r>
      <w:r w:rsidRPr="001C7E3A">
        <w:rPr>
          <w:i/>
          <w:iCs/>
          <w:noProof/>
          <w:sz w:val="20"/>
          <w:szCs w:val="20"/>
        </w:rPr>
        <w:t>Stata J</w:t>
      </w:r>
      <w:r w:rsidRPr="001C7E3A">
        <w:rPr>
          <w:noProof/>
          <w:sz w:val="20"/>
          <w:szCs w:val="20"/>
        </w:rPr>
        <w:t>. 2017. doi:The Stata Journal</w:t>
      </w:r>
    </w:p>
    <w:p w14:paraId="14CD9361" w14:textId="3EE1F134" w:rsidR="00F91996" w:rsidRPr="001C7E3A" w:rsidRDefault="00C34102" w:rsidP="001C7E3A">
      <w:pPr>
        <w:autoSpaceDE w:val="0"/>
        <w:autoSpaceDN w:val="0"/>
        <w:adjustRightInd w:val="0"/>
        <w:spacing w:line="360" w:lineRule="auto"/>
        <w:rPr>
          <w:color w:val="000000" w:themeColor="text1"/>
          <w:sz w:val="20"/>
          <w:szCs w:val="20"/>
        </w:rPr>
      </w:pPr>
      <w:r w:rsidRPr="001C7E3A">
        <w:rPr>
          <w:color w:val="000000" w:themeColor="text1"/>
          <w:sz w:val="20"/>
          <w:szCs w:val="20"/>
        </w:rPr>
        <w:fldChar w:fldCharType="end"/>
      </w:r>
    </w:p>
    <w:sectPr w:rsidR="00F91996" w:rsidRPr="001C7E3A" w:rsidSect="002E3B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E7E"/>
    <w:rsid w:val="001040CC"/>
    <w:rsid w:val="00107E5B"/>
    <w:rsid w:val="00114074"/>
    <w:rsid w:val="0018477F"/>
    <w:rsid w:val="001A657A"/>
    <w:rsid w:val="001C7E3A"/>
    <w:rsid w:val="002A5C67"/>
    <w:rsid w:val="002B4C8B"/>
    <w:rsid w:val="002E3BFC"/>
    <w:rsid w:val="003A3777"/>
    <w:rsid w:val="0046001E"/>
    <w:rsid w:val="00485E40"/>
    <w:rsid w:val="004958B5"/>
    <w:rsid w:val="004A03BD"/>
    <w:rsid w:val="00591101"/>
    <w:rsid w:val="007B6D71"/>
    <w:rsid w:val="00806BFD"/>
    <w:rsid w:val="009E1822"/>
    <w:rsid w:val="00A04BA8"/>
    <w:rsid w:val="00B91685"/>
    <w:rsid w:val="00BD592C"/>
    <w:rsid w:val="00BF6E7E"/>
    <w:rsid w:val="00C201C2"/>
    <w:rsid w:val="00C34102"/>
    <w:rsid w:val="00C72BCE"/>
    <w:rsid w:val="00CC46EB"/>
    <w:rsid w:val="00D45C37"/>
    <w:rsid w:val="00EC32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4AB11"/>
  <w15:docId w15:val="{8567E527-C6A1-724E-BCDF-DAB1C73C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7E"/>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E7E"/>
    <w:pPr>
      <w:spacing w:before="100" w:beforeAutospacing="1" w:after="100" w:afterAutospacing="1"/>
    </w:pPr>
    <w:rPr>
      <w:rFonts w:eastAsia="Times New Roman"/>
      <w:lang w:val="en-CA"/>
    </w:rPr>
  </w:style>
  <w:style w:type="character" w:styleId="PlaceholderText">
    <w:name w:val="Placeholder Text"/>
    <w:basedOn w:val="DefaultParagraphFont"/>
    <w:uiPriority w:val="99"/>
    <w:semiHidden/>
    <w:rsid w:val="001040CC"/>
    <w:rPr>
      <w:color w:val="808080"/>
    </w:rPr>
  </w:style>
  <w:style w:type="paragraph" w:styleId="BalloonText">
    <w:name w:val="Balloon Text"/>
    <w:basedOn w:val="Normal"/>
    <w:link w:val="BalloonTextChar"/>
    <w:uiPriority w:val="99"/>
    <w:semiHidden/>
    <w:unhideWhenUsed/>
    <w:rsid w:val="009E1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822"/>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9E1822"/>
    <w:rPr>
      <w:sz w:val="18"/>
      <w:szCs w:val="18"/>
    </w:rPr>
  </w:style>
  <w:style w:type="paragraph" w:styleId="CommentText">
    <w:name w:val="annotation text"/>
    <w:basedOn w:val="Normal"/>
    <w:link w:val="CommentTextChar"/>
    <w:uiPriority w:val="99"/>
    <w:semiHidden/>
    <w:unhideWhenUsed/>
    <w:rsid w:val="009E1822"/>
  </w:style>
  <w:style w:type="character" w:customStyle="1" w:styleId="CommentTextChar">
    <w:name w:val="Comment Text Char"/>
    <w:basedOn w:val="DefaultParagraphFont"/>
    <w:link w:val="CommentText"/>
    <w:uiPriority w:val="99"/>
    <w:semiHidden/>
    <w:rsid w:val="009E1822"/>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9E1822"/>
    <w:rPr>
      <w:b/>
      <w:bCs/>
      <w:sz w:val="20"/>
      <w:szCs w:val="20"/>
    </w:rPr>
  </w:style>
  <w:style w:type="character" w:customStyle="1" w:styleId="CommentSubjectChar">
    <w:name w:val="Comment Subject Char"/>
    <w:basedOn w:val="CommentTextChar"/>
    <w:link w:val="CommentSubject"/>
    <w:uiPriority w:val="99"/>
    <w:semiHidden/>
    <w:rsid w:val="009E1822"/>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B4520AC7-BD94-0D4D-BF04-AFDBF16F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Sayeeda (Amber) Sayed</dc:creator>
  <cp:keywords/>
  <dc:description/>
  <cp:lastModifiedBy>Sayeeda (Amber) Sayed</cp:lastModifiedBy>
  <cp:revision>7</cp:revision>
  <dcterms:created xsi:type="dcterms:W3CDTF">2020-02-06T16:42:00Z</dcterms:created>
  <dcterms:modified xsi:type="dcterms:W3CDTF">2020-05-12T11:53:00Z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6bc4a59a-366d-3c44-83f5-261ca4e2616c</vt:lpwstr>
  </property>
  <property fmtid="{D5CDD505-2E9C-101B-9397-08002B2CF9AE}" pid="4" name="Mendeley Citation Style_1">
    <vt:lpwstr>http://www.zotero.org/styles/american-medical-association</vt:lpwstr>
  </property>
</Properties>
</file>