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284" w:rsidRDefault="00EF4284" w:rsidP="00EF4284">
      <w:pPr>
        <w:spacing w:line="360" w:lineRule="auto"/>
        <w:rPr>
          <w:bCs/>
        </w:rPr>
      </w:pPr>
      <w:r>
        <w:rPr>
          <w:b/>
          <w:bCs/>
        </w:rPr>
        <w:t xml:space="preserve">Figure 1C: </w:t>
      </w:r>
      <w:r>
        <w:rPr>
          <w:bCs/>
        </w:rPr>
        <w:t xml:space="preserve">Scanning session schematic timeline summaries showing the scanning periods depending of which scanner the full session starts (HRRT or TrueV), typical transfer times between scanners, and the acquisition of transmission (TX) or CT scans for the HRRT and TrueV respectively. </w:t>
      </w:r>
    </w:p>
    <w:p w:rsidR="00EF4284" w:rsidRDefault="00EF4284" w:rsidP="00EF4284">
      <w:pPr>
        <w:spacing w:line="360" w:lineRule="auto"/>
        <w:rPr>
          <w:bCs/>
        </w:rPr>
      </w:pPr>
    </w:p>
    <w:p w:rsidR="00EF4284" w:rsidRDefault="00EF4284" w:rsidP="00EF4284">
      <w:pPr>
        <w:spacing w:line="360" w:lineRule="auto"/>
        <w:rPr>
          <w:bCs/>
        </w:rPr>
      </w:pPr>
      <w:r>
        <w:rPr>
          <w:noProof/>
        </w:rPr>
        <w:drawing>
          <wp:inline distT="0" distB="0" distL="0" distR="0" wp14:anchorId="7445FFEB" wp14:editId="3C77CF7C">
            <wp:extent cx="5731510" cy="2981960"/>
            <wp:effectExtent l="0" t="0" r="2540" b="8890"/>
            <wp:docPr id="2" name="Picture 2" descr="D:\phd\thesis\chapter_7_NF2_clinical_paper\otology_neurology\re-submission\final_documents\refinitiva\figures_and_tables\Complementary\figure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thesis\chapter_7_NF2_clinical_paper\otology_neurology\re-submission\final_documents\refinitiva\figures_and_tables\Complementary\figure1C.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981960"/>
                    </a:xfrm>
                    <a:prstGeom prst="rect">
                      <a:avLst/>
                    </a:prstGeom>
                    <a:noFill/>
                    <a:ln>
                      <a:noFill/>
                    </a:ln>
                  </pic:spPr>
                </pic:pic>
              </a:graphicData>
            </a:graphic>
          </wp:inline>
        </w:drawing>
      </w:r>
    </w:p>
    <w:p w:rsidR="00EF4284" w:rsidRDefault="00EF4284" w:rsidP="00EF4284">
      <w:pPr>
        <w:spacing w:line="360" w:lineRule="auto"/>
        <w:rPr>
          <w:bCs/>
        </w:rPr>
      </w:pPr>
    </w:p>
    <w:p w:rsidR="00EF4284" w:rsidRDefault="00EF4284" w:rsidP="00EF4284">
      <w:pPr>
        <w:spacing w:line="360" w:lineRule="auto"/>
        <w:rPr>
          <w:bCs/>
        </w:rPr>
      </w:pPr>
    </w:p>
    <w:p w:rsidR="00EF4284" w:rsidRDefault="00EF4284" w:rsidP="00EF4284">
      <w:pPr>
        <w:spacing w:line="360" w:lineRule="auto"/>
        <w:rPr>
          <w:bCs/>
        </w:rPr>
      </w:pPr>
    </w:p>
    <w:p w:rsidR="00EF4284" w:rsidRDefault="00EF4284" w:rsidP="00EF4284">
      <w:pPr>
        <w:spacing w:line="360" w:lineRule="auto"/>
        <w:rPr>
          <w:bCs/>
        </w:rPr>
      </w:pPr>
    </w:p>
    <w:p w:rsidR="00EF4284" w:rsidRDefault="00EF4284" w:rsidP="00EF4284">
      <w:pPr>
        <w:spacing w:line="360" w:lineRule="auto"/>
        <w:rPr>
          <w:bCs/>
        </w:rPr>
      </w:pPr>
    </w:p>
    <w:p w:rsidR="00EF4284" w:rsidRDefault="00EF4284" w:rsidP="00EF4284">
      <w:pPr>
        <w:spacing w:line="360" w:lineRule="auto"/>
        <w:rPr>
          <w:bCs/>
        </w:rPr>
      </w:pPr>
    </w:p>
    <w:p w:rsidR="00EF4284" w:rsidRDefault="00EF4284" w:rsidP="00EF4284">
      <w:pPr>
        <w:spacing w:line="360" w:lineRule="auto"/>
        <w:rPr>
          <w:bCs/>
        </w:rPr>
      </w:pPr>
    </w:p>
    <w:p w:rsidR="00EF4284" w:rsidRDefault="00EF4284" w:rsidP="00EF4284">
      <w:pPr>
        <w:spacing w:line="360" w:lineRule="auto"/>
        <w:rPr>
          <w:bCs/>
        </w:rPr>
      </w:pPr>
    </w:p>
    <w:p w:rsidR="00EF4284" w:rsidRDefault="00EF4284" w:rsidP="00EF4284">
      <w:pPr>
        <w:spacing w:line="360" w:lineRule="auto"/>
        <w:rPr>
          <w:bCs/>
        </w:rPr>
      </w:pPr>
    </w:p>
    <w:p w:rsidR="00EF4284" w:rsidRDefault="00EF4284" w:rsidP="00EF4284">
      <w:pPr>
        <w:spacing w:line="360" w:lineRule="auto"/>
        <w:rPr>
          <w:bCs/>
        </w:rPr>
      </w:pPr>
    </w:p>
    <w:p w:rsidR="00EF4284" w:rsidRDefault="00EF4284" w:rsidP="00EF4284">
      <w:pPr>
        <w:spacing w:line="360" w:lineRule="auto"/>
        <w:rPr>
          <w:bCs/>
        </w:rPr>
      </w:pPr>
    </w:p>
    <w:p w:rsidR="00EF4284" w:rsidRDefault="00EF4284" w:rsidP="00EF4284">
      <w:pPr>
        <w:spacing w:line="360" w:lineRule="auto"/>
        <w:rPr>
          <w:bCs/>
        </w:rPr>
      </w:pPr>
    </w:p>
    <w:p w:rsidR="00EF4284" w:rsidRDefault="00EF4284" w:rsidP="00EF4284">
      <w:pPr>
        <w:spacing w:line="360" w:lineRule="auto"/>
        <w:rPr>
          <w:bCs/>
        </w:rPr>
      </w:pPr>
    </w:p>
    <w:p w:rsidR="00EF4284" w:rsidRDefault="00EF4284" w:rsidP="00EF4284">
      <w:pPr>
        <w:spacing w:line="360" w:lineRule="auto"/>
        <w:rPr>
          <w:bCs/>
        </w:rPr>
      </w:pPr>
      <w:r>
        <w:rPr>
          <w:b/>
          <w:bCs/>
        </w:rPr>
        <w:t xml:space="preserve">Figure 2C: </w:t>
      </w:r>
      <w:r>
        <w:rPr>
          <w:bCs/>
        </w:rPr>
        <w:t xml:space="preserve">Inter-tumour scatterplot comparison of SUVmax and </w:t>
      </w:r>
      <w:proofErr w:type="spellStart"/>
      <w:r>
        <w:rPr>
          <w:bCs/>
        </w:rPr>
        <w:t>SUVpeak</w:t>
      </w:r>
      <w:proofErr w:type="spellEnd"/>
      <w:r>
        <w:rPr>
          <w:bCs/>
        </w:rPr>
        <w:t xml:space="preserve"> for TrueV scanner. Scatter plots of the max (left column), and peak (right column) SUV values of FDG against FLT for TrueV scanner without RM (top row) and with RM (bottom row). For each graph, a line of best fit for proportionality is shown, along with the equation and R</w:t>
      </w:r>
      <w:r>
        <w:rPr>
          <w:bCs/>
          <w:vertAlign w:val="superscript"/>
        </w:rPr>
        <w:t>2</w:t>
      </w:r>
      <w:r>
        <w:rPr>
          <w:bCs/>
        </w:rPr>
        <w:t xml:space="preserve"> values. Lesions classified as rapid growing (growing) are shown as solid circles, whereas </w:t>
      </w:r>
      <w:proofErr w:type="gramStart"/>
      <w:r>
        <w:rPr>
          <w:bCs/>
        </w:rPr>
        <w:t>a slow growing/indolent lesions</w:t>
      </w:r>
      <w:proofErr w:type="gramEnd"/>
      <w:r>
        <w:rPr>
          <w:bCs/>
        </w:rPr>
        <w:t xml:space="preserve"> are shown as an open square.</w:t>
      </w:r>
    </w:p>
    <w:p w:rsidR="00EF4284" w:rsidRDefault="00EF4284" w:rsidP="00EF4284">
      <w:pPr>
        <w:spacing w:line="360" w:lineRule="auto"/>
        <w:rPr>
          <w:bCs/>
        </w:rPr>
      </w:pPr>
      <w:r>
        <w:rPr>
          <w:bCs/>
          <w:noProof/>
        </w:rPr>
        <w:drawing>
          <wp:inline distT="0" distB="0" distL="0" distR="0">
            <wp:extent cx="6285464" cy="4123267"/>
            <wp:effectExtent l="0" t="0" r="1270" b="0"/>
            <wp:docPr id="3" name="Picture 3" descr="D:\phd\thesis\chapter_7_NF2_clinical_paper\otology_neurology\re-submission\final_documents\refinitiva\figures_and_tables\Complementary\Figure_2c_Jan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d\thesis\chapter_7_NF2_clinical_paper\otology_neurology\re-submission\final_documents\refinitiva\figures_and_tables\Complementary\Figure_2c_Jan2019.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86589" cy="4124005"/>
                    </a:xfrm>
                    <a:prstGeom prst="rect">
                      <a:avLst/>
                    </a:prstGeom>
                    <a:noFill/>
                    <a:ln>
                      <a:noFill/>
                    </a:ln>
                  </pic:spPr>
                </pic:pic>
              </a:graphicData>
            </a:graphic>
          </wp:inline>
        </w:drawing>
      </w:r>
    </w:p>
    <w:p w:rsidR="00EF4284" w:rsidRDefault="00EF4284" w:rsidP="00EF4284">
      <w:pPr>
        <w:spacing w:line="360" w:lineRule="auto"/>
        <w:rPr>
          <w:bCs/>
        </w:rPr>
      </w:pPr>
    </w:p>
    <w:p w:rsidR="00EF4284" w:rsidRDefault="00EF4284" w:rsidP="00EF4284">
      <w:pPr>
        <w:spacing w:line="360" w:lineRule="auto"/>
        <w:rPr>
          <w:bCs/>
        </w:rPr>
      </w:pPr>
    </w:p>
    <w:p w:rsidR="00EF4284" w:rsidRDefault="00EF4284" w:rsidP="00EF4284">
      <w:pPr>
        <w:spacing w:line="360" w:lineRule="auto"/>
        <w:rPr>
          <w:bCs/>
        </w:rPr>
      </w:pPr>
    </w:p>
    <w:p w:rsidR="00EF4284" w:rsidRDefault="00EF4284" w:rsidP="00EF4284">
      <w:pPr>
        <w:spacing w:line="360" w:lineRule="auto"/>
        <w:rPr>
          <w:bCs/>
        </w:rPr>
      </w:pPr>
    </w:p>
    <w:p w:rsidR="00EF4284" w:rsidRDefault="00EF4284" w:rsidP="00EF4284">
      <w:pPr>
        <w:spacing w:line="360" w:lineRule="auto"/>
        <w:rPr>
          <w:bCs/>
        </w:rPr>
      </w:pPr>
    </w:p>
    <w:p w:rsidR="00EF4284" w:rsidRDefault="00EF4284" w:rsidP="00EF4284">
      <w:pPr>
        <w:spacing w:line="360" w:lineRule="auto"/>
        <w:rPr>
          <w:bCs/>
        </w:rPr>
      </w:pPr>
    </w:p>
    <w:p w:rsidR="00EF4284" w:rsidRDefault="00EF4284" w:rsidP="00EF4284">
      <w:pPr>
        <w:spacing w:line="360" w:lineRule="auto"/>
        <w:rPr>
          <w:bCs/>
        </w:rPr>
      </w:pPr>
      <w:r>
        <w:rPr>
          <w:b/>
          <w:bCs/>
        </w:rPr>
        <w:t xml:space="preserve">Figure 3C: </w:t>
      </w:r>
      <w:r>
        <w:rPr>
          <w:bCs/>
        </w:rPr>
        <w:t>Inter-tumour scatterplot comparison of SUV</w:t>
      </w:r>
      <w:r>
        <w:rPr>
          <w:bCs/>
          <w:vertAlign w:val="subscript"/>
        </w:rPr>
        <w:t>max</w:t>
      </w:r>
      <w:r>
        <w:rPr>
          <w:bCs/>
        </w:rPr>
        <w:t xml:space="preserve"> and </w:t>
      </w:r>
      <w:proofErr w:type="spellStart"/>
      <w:r>
        <w:rPr>
          <w:bCs/>
        </w:rPr>
        <w:t>SUV</w:t>
      </w:r>
      <w:r>
        <w:rPr>
          <w:bCs/>
          <w:vertAlign w:val="subscript"/>
        </w:rPr>
        <w:t>peak</w:t>
      </w:r>
      <w:proofErr w:type="spellEnd"/>
      <w:r>
        <w:rPr>
          <w:bCs/>
        </w:rPr>
        <w:t xml:space="preserve"> for HRRT scanner. </w:t>
      </w:r>
      <w:proofErr w:type="gramStart"/>
      <w:r>
        <w:rPr>
          <w:bCs/>
        </w:rPr>
        <w:t>Comparable data to Figure 2C with HRRT data.</w:t>
      </w:r>
      <w:proofErr w:type="gramEnd"/>
      <w:r>
        <w:rPr>
          <w:bCs/>
        </w:rPr>
        <w:t xml:space="preserve"> </w:t>
      </w:r>
    </w:p>
    <w:p w:rsidR="00EF4284" w:rsidRDefault="00EF4284" w:rsidP="00EF4284">
      <w:pPr>
        <w:spacing w:line="360" w:lineRule="auto"/>
        <w:rPr>
          <w:bCs/>
        </w:rPr>
      </w:pPr>
      <w:bookmarkStart w:id="0" w:name="_GoBack"/>
      <w:r>
        <w:rPr>
          <w:bCs/>
          <w:noProof/>
        </w:rPr>
        <w:drawing>
          <wp:inline distT="0" distB="0" distL="0" distR="0">
            <wp:extent cx="6387600" cy="4207933"/>
            <wp:effectExtent l="0" t="0" r="0" b="2540"/>
            <wp:docPr id="4" name="Picture 4" descr="D:\phd\thesis\chapter_7_NF2_clinical_paper\otology_neurology\re-submission\final_documents\refinitiva\figures_and_tables\Complementary\Figure_3C_Jan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d\thesis\chapter_7_NF2_clinical_paper\otology_neurology\re-submission\final_documents\refinitiva\figures_and_tables\Complementary\Figure_3C_Jan2019.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87129" cy="4207622"/>
                    </a:xfrm>
                    <a:prstGeom prst="rect">
                      <a:avLst/>
                    </a:prstGeom>
                    <a:noFill/>
                    <a:ln>
                      <a:noFill/>
                    </a:ln>
                  </pic:spPr>
                </pic:pic>
              </a:graphicData>
            </a:graphic>
          </wp:inline>
        </w:drawing>
      </w:r>
      <w:bookmarkEnd w:id="0"/>
    </w:p>
    <w:p w:rsidR="00EF4284" w:rsidRDefault="00EF4284" w:rsidP="00EF4284">
      <w:pPr>
        <w:spacing w:line="360" w:lineRule="auto"/>
        <w:rPr>
          <w:bCs/>
        </w:rPr>
      </w:pPr>
    </w:p>
    <w:p w:rsidR="00EF4284" w:rsidRDefault="00EF4284" w:rsidP="00EF4284">
      <w:pPr>
        <w:spacing w:line="360" w:lineRule="auto"/>
        <w:rPr>
          <w:bCs/>
        </w:rPr>
      </w:pPr>
    </w:p>
    <w:p w:rsidR="00EF4284" w:rsidRDefault="00EF4284" w:rsidP="00EF4284">
      <w:pPr>
        <w:spacing w:line="360" w:lineRule="auto"/>
        <w:rPr>
          <w:bCs/>
        </w:rPr>
      </w:pPr>
    </w:p>
    <w:p w:rsidR="00EF4284" w:rsidRDefault="00EF4284" w:rsidP="00EF4284">
      <w:pPr>
        <w:spacing w:line="360" w:lineRule="auto"/>
        <w:rPr>
          <w:bCs/>
        </w:rPr>
      </w:pPr>
    </w:p>
    <w:p w:rsidR="00EF4284" w:rsidRDefault="00EF4284" w:rsidP="00EF4284">
      <w:pPr>
        <w:spacing w:line="360" w:lineRule="auto"/>
        <w:rPr>
          <w:bCs/>
        </w:rPr>
      </w:pPr>
    </w:p>
    <w:p w:rsidR="00EF4284" w:rsidRDefault="00EF4284" w:rsidP="00EF4284">
      <w:pPr>
        <w:spacing w:line="360" w:lineRule="auto"/>
        <w:rPr>
          <w:bCs/>
        </w:rPr>
      </w:pPr>
    </w:p>
    <w:p w:rsidR="00EF4284" w:rsidRDefault="00EF4284" w:rsidP="00EF4284">
      <w:pPr>
        <w:spacing w:line="360" w:lineRule="auto"/>
        <w:rPr>
          <w:bCs/>
        </w:rPr>
      </w:pPr>
    </w:p>
    <w:p w:rsidR="00EF4284" w:rsidRDefault="00EF4284" w:rsidP="00EF4284">
      <w:pPr>
        <w:spacing w:line="360" w:lineRule="auto"/>
        <w:rPr>
          <w:bCs/>
        </w:rPr>
      </w:pPr>
    </w:p>
    <w:p w:rsidR="00EF4284" w:rsidRDefault="00EF4284" w:rsidP="00EF4284">
      <w:pPr>
        <w:spacing w:line="360" w:lineRule="auto"/>
        <w:rPr>
          <w:bCs/>
        </w:rPr>
      </w:pPr>
    </w:p>
    <w:p w:rsidR="00EF4284" w:rsidRDefault="00EF4284" w:rsidP="00EF4284">
      <w:pPr>
        <w:spacing w:line="360" w:lineRule="auto"/>
        <w:rPr>
          <w:bCs/>
        </w:rPr>
      </w:pPr>
    </w:p>
    <w:p w:rsidR="00EF4284" w:rsidRDefault="00EF4284" w:rsidP="00EF4284">
      <w:pPr>
        <w:spacing w:line="360" w:lineRule="auto"/>
        <w:rPr>
          <w:bCs/>
        </w:rPr>
      </w:pPr>
      <w:r>
        <w:rPr>
          <w:b/>
          <w:bCs/>
        </w:rPr>
        <w:t xml:space="preserve">Figure 4C: </w:t>
      </w:r>
      <w:r>
        <w:rPr>
          <w:bCs/>
        </w:rPr>
        <w:t xml:space="preserve">Inter-tumour scatterplot comparison of FDG/ FLT </w:t>
      </w:r>
      <w:proofErr w:type="gramStart"/>
      <w:r>
        <w:rPr>
          <w:bCs/>
        </w:rPr>
        <w:t>uptake  vs</w:t>
      </w:r>
      <w:proofErr w:type="gramEnd"/>
      <w:r>
        <w:rPr>
          <w:bCs/>
        </w:rPr>
        <w:t xml:space="preserve"> lesion volume. Scatter plots of the mean SUV values of FDG (left) and FLT (right) versus lesion volume for TrueV scanner without RM. For each graph, a line of best fit is shown, along with the equation and R</w:t>
      </w:r>
      <w:r>
        <w:rPr>
          <w:bCs/>
          <w:vertAlign w:val="superscript"/>
        </w:rPr>
        <w:t>2</w:t>
      </w:r>
      <w:r>
        <w:rPr>
          <w:bCs/>
        </w:rPr>
        <w:t xml:space="preserve"> values. Lesions classified as rapid growing (growing) are shown as solid circles, whereas </w:t>
      </w:r>
      <w:proofErr w:type="gramStart"/>
      <w:r>
        <w:rPr>
          <w:bCs/>
        </w:rPr>
        <w:t>a slow growing/indolent lesions</w:t>
      </w:r>
      <w:proofErr w:type="gramEnd"/>
      <w:r>
        <w:rPr>
          <w:bCs/>
        </w:rPr>
        <w:t xml:space="preserve"> are shown as an open square.</w:t>
      </w:r>
    </w:p>
    <w:p w:rsidR="00EF4284" w:rsidRDefault="00EF4284" w:rsidP="00EF4284">
      <w:pPr>
        <w:spacing w:line="360" w:lineRule="auto"/>
        <w:rPr>
          <w:bCs/>
        </w:rPr>
      </w:pPr>
    </w:p>
    <w:p w:rsidR="00EF4284" w:rsidRDefault="00EF4284" w:rsidP="00EF4284">
      <w:pPr>
        <w:spacing w:line="360" w:lineRule="auto"/>
        <w:rPr>
          <w:bCs/>
        </w:rPr>
      </w:pPr>
      <w:r>
        <w:rPr>
          <w:bCs/>
          <w:noProof/>
        </w:rPr>
        <w:drawing>
          <wp:inline distT="0" distB="0" distL="0" distR="0">
            <wp:extent cx="5731510" cy="3761463"/>
            <wp:effectExtent l="0" t="0" r="2540" b="0"/>
            <wp:docPr id="5" name="Picture 5" descr="D:\phd\thesis\chapter_7_NF2_clinical_paper\otology_neurology\re-submission\final_documents\refinitiva\figures_and_tables\Complementary\Figure_4C_Jan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d\thesis\chapter_7_NF2_clinical_paper\otology_neurology\re-submission\final_documents\refinitiva\figures_and_tables\Complementary\Figure_4C_Jan2019.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761463"/>
                    </a:xfrm>
                    <a:prstGeom prst="rect">
                      <a:avLst/>
                    </a:prstGeom>
                    <a:noFill/>
                    <a:ln>
                      <a:noFill/>
                    </a:ln>
                  </pic:spPr>
                </pic:pic>
              </a:graphicData>
            </a:graphic>
          </wp:inline>
        </w:drawing>
      </w:r>
    </w:p>
    <w:p w:rsidR="00EF4284" w:rsidRDefault="00EF4284" w:rsidP="00EF4284">
      <w:pPr>
        <w:spacing w:line="360" w:lineRule="auto"/>
        <w:rPr>
          <w:bCs/>
        </w:rPr>
      </w:pPr>
    </w:p>
    <w:p w:rsidR="00EF4284" w:rsidRDefault="00EF4284" w:rsidP="00EF4284">
      <w:pPr>
        <w:spacing w:line="360" w:lineRule="auto"/>
        <w:rPr>
          <w:bCs/>
        </w:rPr>
      </w:pPr>
    </w:p>
    <w:p w:rsidR="00EF4284" w:rsidRDefault="00EF4284" w:rsidP="00EF4284">
      <w:pPr>
        <w:spacing w:line="360" w:lineRule="auto"/>
      </w:pPr>
    </w:p>
    <w:p w:rsidR="00EF4284" w:rsidRDefault="00EF4284" w:rsidP="00EF4284"/>
    <w:p w:rsidR="00435FE8" w:rsidRDefault="00EF4284">
      <w:r>
        <w:t xml:space="preserve"> </w:t>
      </w:r>
      <w:r>
        <w:rPr>
          <w:noProof/>
        </w:rPr>
        <w:t xml:space="preserve"> </w:t>
      </w:r>
    </w:p>
    <w:sectPr w:rsidR="00435F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284"/>
    <w:rsid w:val="004227E8"/>
    <w:rsid w:val="00435FE8"/>
    <w:rsid w:val="00B40CBE"/>
    <w:rsid w:val="00EF4284"/>
    <w:rsid w:val="00F863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284"/>
    <w:pPr>
      <w:jc w:val="both"/>
    </w:pPr>
    <w:rPr>
      <w:rFonts w:ascii="Times New Roman" w:eastAsiaTheme="minorEastAsia" w:hAnsi="Times New Roman"/>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42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284"/>
    <w:rPr>
      <w:rFonts w:ascii="Tahoma" w:eastAsiaTheme="minorEastAsi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284"/>
    <w:pPr>
      <w:jc w:val="both"/>
    </w:pPr>
    <w:rPr>
      <w:rFonts w:ascii="Times New Roman" w:eastAsiaTheme="minorEastAsia" w:hAnsi="Times New Roman"/>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42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284"/>
    <w:rPr>
      <w:rFonts w:ascii="Tahoma" w:eastAsiaTheme="minorEastAsi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256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202</TotalTime>
  <Pages>4</Pages>
  <Words>207</Words>
  <Characters>1182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janton</dc:creator>
  <cp:lastModifiedBy>janton</cp:lastModifiedBy>
  <cp:revision>2</cp:revision>
  <dcterms:created xsi:type="dcterms:W3CDTF">2019-01-24T13:18:00Z</dcterms:created>
  <dcterms:modified xsi:type="dcterms:W3CDTF">2019-01-24T16:40:00Z</dcterms:modified>
</cp:coreProperties>
</file>