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B6" w:rsidRPr="0083037C" w:rsidRDefault="006D4FB6" w:rsidP="0083037C">
      <w:pPr>
        <w:pStyle w:val="PlainText"/>
        <w:jc w:val="center"/>
        <w:rPr>
          <w:rFonts w:asciiTheme="minorHAnsi" w:hAnsiTheme="minorHAnsi"/>
          <w:b/>
          <w:color w:val="auto"/>
          <w:sz w:val="40"/>
          <w:szCs w:val="40"/>
        </w:rPr>
      </w:pPr>
      <w:r w:rsidRPr="0083037C">
        <w:rPr>
          <w:rFonts w:asciiTheme="minorHAnsi" w:hAnsiTheme="minorHAnsi"/>
          <w:b/>
          <w:color w:val="auto"/>
          <w:sz w:val="40"/>
          <w:szCs w:val="40"/>
        </w:rPr>
        <w:t>Supplemental Methods</w:t>
      </w:r>
    </w:p>
    <w:p w:rsidR="0083037C" w:rsidRPr="00CC5678" w:rsidRDefault="0083037C" w:rsidP="006D4FB6">
      <w:pPr>
        <w:pStyle w:val="PlainText"/>
        <w:rPr>
          <w:rFonts w:asciiTheme="minorHAnsi" w:hAnsiTheme="minorHAnsi"/>
          <w:b/>
          <w:color w:val="auto"/>
          <w:sz w:val="24"/>
          <w:szCs w:val="24"/>
          <w:vertAlign w:val="subscript"/>
        </w:rPr>
      </w:pPr>
    </w:p>
    <w:p w:rsidR="006D4FB6" w:rsidRPr="00C137CB" w:rsidRDefault="006D4FB6" w:rsidP="006D4FB6">
      <w:pPr>
        <w:autoSpaceDE w:val="0"/>
        <w:autoSpaceDN w:val="0"/>
        <w:adjustRightInd w:val="0"/>
        <w:rPr>
          <w:rFonts w:ascii="Calibri" w:eastAsiaTheme="minorHAnsi" w:hAnsi="Calibri" w:cs="AdvTT9a62c830"/>
          <w:b/>
          <w:color w:val="auto"/>
          <w:szCs w:val="24"/>
        </w:rPr>
      </w:pPr>
      <w:r w:rsidRPr="00C137CB">
        <w:rPr>
          <w:rFonts w:ascii="Calibri" w:eastAsiaTheme="minorHAnsi" w:hAnsi="Calibri" w:cs="AdvTT9a62c830"/>
          <w:b/>
          <w:color w:val="auto"/>
          <w:szCs w:val="24"/>
        </w:rPr>
        <w:t>Cell Cult</w:t>
      </w:r>
      <w:r w:rsidR="0083037C" w:rsidRPr="00C137CB">
        <w:rPr>
          <w:rFonts w:ascii="Calibri" w:eastAsiaTheme="minorHAnsi" w:hAnsi="Calibri" w:cs="AdvTT9a62c830"/>
          <w:b/>
          <w:color w:val="auto"/>
          <w:szCs w:val="24"/>
        </w:rPr>
        <w:t xml:space="preserve">ure, STAT3 Phosphorylation, and </w:t>
      </w:r>
      <w:r w:rsidRPr="00C137CB">
        <w:rPr>
          <w:rFonts w:ascii="Calibri" w:eastAsiaTheme="minorHAnsi" w:hAnsi="Calibri" w:cs="AdvTT9a62c830"/>
          <w:b/>
          <w:color w:val="auto"/>
          <w:szCs w:val="24"/>
        </w:rPr>
        <w:t>Activation Assays</w:t>
      </w:r>
    </w:p>
    <w:p w:rsidR="006D4FB6" w:rsidRPr="00C137CB" w:rsidRDefault="006D4FB6" w:rsidP="0083037C">
      <w:pPr>
        <w:autoSpaceDE w:val="0"/>
        <w:autoSpaceDN w:val="0"/>
        <w:adjustRightInd w:val="0"/>
        <w:rPr>
          <w:rFonts w:ascii="Calibri" w:eastAsiaTheme="minorHAnsi" w:hAnsi="Calibri" w:cs="AdvTT7c3c51d9"/>
          <w:color w:val="auto"/>
          <w:szCs w:val="24"/>
        </w:rPr>
      </w:pPr>
      <w:r w:rsidRPr="00C137CB">
        <w:rPr>
          <w:rFonts w:ascii="Calibri" w:eastAsiaTheme="minorHAnsi" w:hAnsi="Calibri" w:cs="AdvTT7c3c51d9"/>
          <w:color w:val="auto"/>
          <w:szCs w:val="24"/>
        </w:rPr>
        <w:t>EBV-B cell lines we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re cultured in RPMI 1640 medium </w:t>
      </w:r>
      <w:r w:rsidRPr="00C137CB">
        <w:rPr>
          <w:rFonts w:ascii="Calibri" w:eastAsiaTheme="minorHAnsi" w:hAnsi="Calibri" w:cs="AdvTT7c3c51d9"/>
          <w:color w:val="auto"/>
          <w:szCs w:val="24"/>
        </w:rPr>
        <w:t>(Invitrogen Life Technologies, France) supplemented with 10%</w:t>
      </w:r>
      <w:r w:rsidR="00CC5678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heat-inactivated fetal calf serum (FCS) (Invitrogen). EBV-B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c</w:t>
      </w:r>
      <w:r w:rsidRPr="00C137CB">
        <w:rPr>
          <w:rFonts w:ascii="Calibri" w:eastAsiaTheme="minorHAnsi" w:hAnsi="Calibri" w:cs="AdvTT7c3c51d9"/>
          <w:color w:val="auto"/>
          <w:szCs w:val="24"/>
        </w:rPr>
        <w:t>ells from patients and controls were plated in 24-well plates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(2.5 </w:t>
      </w:r>
      <w:r w:rsidR="00C137CB">
        <w:rPr>
          <w:rFonts w:ascii="Calibri" w:eastAsiaTheme="minorHAnsi" w:hAnsi="Calibri" w:cs="AdvP4C4E74"/>
          <w:color w:val="auto"/>
          <w:szCs w:val="24"/>
        </w:rPr>
        <w:t>×</w:t>
      </w:r>
      <w:r w:rsidRPr="00C137CB">
        <w:rPr>
          <w:rFonts w:ascii="Calibri" w:eastAsiaTheme="minorHAnsi" w:hAnsi="Calibri" w:cs="AdvP4C4E74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10</w:t>
      </w:r>
      <w:r w:rsidRPr="00C137CB">
        <w:rPr>
          <w:rFonts w:ascii="Calibri" w:eastAsiaTheme="minorHAnsi" w:hAnsi="Calibri" w:cs="AdvTT7c3c51d9"/>
          <w:color w:val="auto"/>
          <w:szCs w:val="24"/>
          <w:vertAlign w:val="superscript"/>
        </w:rPr>
        <w:t>6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 cells/well) and starve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d of serum for 12 hours in 1 mL </w:t>
      </w:r>
      <w:r w:rsidRPr="00C137CB">
        <w:rPr>
          <w:rFonts w:ascii="Calibri" w:eastAsiaTheme="minorHAnsi" w:hAnsi="Calibri" w:cs="AdvTT7c3c51d9"/>
          <w:color w:val="auto"/>
          <w:szCs w:val="24"/>
        </w:rPr>
        <w:t>of RPMI supplemented with 2%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FCS. The cells were stimulated </w:t>
      </w:r>
      <w:r w:rsidRPr="00C137CB">
        <w:rPr>
          <w:rFonts w:ascii="Calibri" w:eastAsiaTheme="minorHAnsi" w:hAnsi="Calibri" w:cs="AdvTT7c3c51d9"/>
          <w:color w:val="auto"/>
          <w:szCs w:val="24"/>
        </w:rPr>
        <w:t>with 50 ng/mL reco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mbinant human IL-6 (R&amp;D Systems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206-IL/CF), 50 ng/mL recombinant human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IL-10 (R&amp;D Systems </w:t>
      </w:r>
      <w:r w:rsidRPr="00C137CB">
        <w:rPr>
          <w:rFonts w:ascii="Calibri" w:eastAsiaTheme="minorHAnsi" w:hAnsi="Calibri" w:cs="AdvTT7c3c51d9"/>
          <w:color w:val="auto"/>
          <w:szCs w:val="24"/>
        </w:rPr>
        <w:t>217-IL/CF), 30 ng/mL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recombinant human IL-21 (GIBCO </w:t>
      </w:r>
      <w:r w:rsidRPr="00C137CB">
        <w:rPr>
          <w:rFonts w:ascii="Calibri" w:eastAsiaTheme="minorHAnsi" w:hAnsi="Calibri" w:cs="AdvTT7c3c51d9"/>
          <w:color w:val="auto"/>
          <w:szCs w:val="24"/>
        </w:rPr>
        <w:t>PHC0214), or 1000 U/mL IFN-</w:t>
      </w:r>
      <w:r w:rsidR="00C137CB">
        <w:rPr>
          <w:rFonts w:ascii="Calibri" w:eastAsiaTheme="minorHAnsi" w:hAnsi="Calibri" w:cs="AdvTT98d9a78a"/>
          <w:color w:val="auto"/>
          <w:szCs w:val="24"/>
        </w:rPr>
        <w:t>α</w:t>
      </w:r>
      <w:r w:rsidRPr="00C137CB">
        <w:rPr>
          <w:rFonts w:ascii="Calibri" w:eastAsiaTheme="minorHAnsi" w:hAnsi="Calibri" w:cs="AdvTT98d9a78a"/>
          <w:color w:val="auto"/>
          <w:szCs w:val="24"/>
        </w:rPr>
        <w:t xml:space="preserve">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(Boehringer Ingelheim). 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STAT3 tyrosine 705 (Y705)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phosphorylation was assessed by </w:t>
      </w:r>
      <w:r w:rsidRPr="00C137CB">
        <w:rPr>
          <w:rFonts w:ascii="Calibri" w:eastAsiaTheme="minorHAnsi" w:hAnsi="Calibri" w:cs="AdvTT7c3c51d9"/>
          <w:color w:val="auto"/>
          <w:szCs w:val="24"/>
        </w:rPr>
        <w:t>flow cytometry in EBV-B ce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lls from patients and controls. </w:t>
      </w:r>
      <w:r w:rsidRPr="00C137CB">
        <w:rPr>
          <w:rFonts w:ascii="Calibri" w:eastAsiaTheme="minorHAnsi" w:hAnsi="Calibri" w:cs="AdvTT7c3c51d9"/>
          <w:color w:val="auto"/>
          <w:szCs w:val="24"/>
        </w:rPr>
        <w:t>Briefly, cells were stimulated with IL-6, IL-10, IL-21, and IFN-</w:t>
      </w:r>
      <w:r w:rsidR="00C137CB">
        <w:rPr>
          <w:rFonts w:ascii="Calibri" w:eastAsiaTheme="minorHAnsi" w:hAnsi="Calibri" w:cs="AdvTT98d9a78a"/>
          <w:color w:val="auto"/>
          <w:szCs w:val="24"/>
        </w:rPr>
        <w:t>α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for 15 min at 37</w:t>
      </w:r>
      <w:r w:rsidRPr="00C137CB">
        <w:rPr>
          <w:rFonts w:ascii="Calibri" w:eastAsiaTheme="minorHAnsi" w:hAnsi="Calibri" w:cs="AdvP0004"/>
          <w:color w:val="auto"/>
          <w:szCs w:val="24"/>
        </w:rPr>
        <w:t>-</w:t>
      </w:r>
      <w:r w:rsidRPr="00C137CB">
        <w:rPr>
          <w:rFonts w:ascii="Calibri" w:eastAsiaTheme="minorHAnsi" w:hAnsi="Calibri" w:cs="AdvTT7c3c51d9"/>
          <w:color w:val="auto"/>
          <w:szCs w:val="24"/>
        </w:rPr>
        <w:t>C (5% Co</w:t>
      </w:r>
      <w:r w:rsidRPr="00C137CB">
        <w:rPr>
          <w:rFonts w:ascii="Calibri" w:eastAsiaTheme="minorHAnsi" w:hAnsi="Calibri" w:cs="AdvTT7c3c51d9"/>
          <w:color w:val="auto"/>
          <w:szCs w:val="24"/>
          <w:vertAlign w:val="subscript"/>
        </w:rPr>
        <w:t>2</w:t>
      </w:r>
      <w:r w:rsidRPr="00C137CB">
        <w:rPr>
          <w:rFonts w:ascii="Calibri" w:eastAsiaTheme="minorHAnsi" w:hAnsi="Calibri" w:cs="AdvTT7c3c51d9"/>
          <w:color w:val="auto"/>
          <w:szCs w:val="24"/>
        </w:rPr>
        <w:t>).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Cells were then fixed, washed, </w:t>
      </w:r>
      <w:r w:rsidRPr="00C137CB">
        <w:rPr>
          <w:rFonts w:ascii="Calibri" w:eastAsiaTheme="minorHAnsi" w:hAnsi="Calibri" w:cs="AdvTT7c3c51d9"/>
          <w:color w:val="auto"/>
          <w:szCs w:val="24"/>
        </w:rPr>
        <w:t>and stained with Alexa-Fluor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647-conjugated mouse antihuman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phosphorylated tyrosine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705 STAT3 (pY705-STAT3) mAb (BD </w:t>
      </w:r>
      <w:r w:rsidRPr="00C137CB">
        <w:rPr>
          <w:rFonts w:ascii="Calibri" w:eastAsiaTheme="minorHAnsi" w:hAnsi="Calibri" w:cs="AdvTT7c3c51d9"/>
          <w:color w:val="auto"/>
          <w:szCs w:val="24"/>
        </w:rPr>
        <w:t>Biosciences) or with isotopic antibody, and analyzed by flow</w:t>
      </w:r>
      <w:r w:rsidR="00CC5678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cytometry (BD FACSCanto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II) with FACSDiva 6.0 software </w:t>
      </w:r>
      <w:r w:rsidRPr="00C137CB">
        <w:rPr>
          <w:rFonts w:ascii="Calibri" w:eastAsiaTheme="minorHAnsi" w:hAnsi="Calibri" w:cs="AdvTT7c3c51d9"/>
          <w:color w:val="auto"/>
          <w:szCs w:val="24"/>
        </w:rPr>
        <w:t>(BD). Nuclear translocatio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n and DNA binding of STAT3 were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assessed in EBV-B cells from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patients and controls, with the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Nuclear Extract Kit (Active Motif,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Carlsbad, CA). EBV-B cells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were starved of serum for 12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h and treated with IL-6, IL-10, </w:t>
      </w:r>
      <w:r w:rsidRPr="00C137CB">
        <w:rPr>
          <w:rFonts w:ascii="Calibri" w:eastAsiaTheme="minorHAnsi" w:hAnsi="Calibri" w:cs="AdvTT7c3c51d9"/>
          <w:color w:val="auto"/>
          <w:szCs w:val="24"/>
        </w:rPr>
        <w:t>IL-21, and IFN-</w:t>
      </w:r>
      <w:r w:rsidR="00C137CB">
        <w:rPr>
          <w:rFonts w:ascii="Calibri" w:eastAsiaTheme="minorHAnsi" w:hAnsi="Calibri" w:cs="AdvTT98d9a78a"/>
          <w:color w:val="auto"/>
          <w:szCs w:val="24"/>
        </w:rPr>
        <w:t>α</w:t>
      </w:r>
      <w:r w:rsidRPr="00C137CB">
        <w:rPr>
          <w:rFonts w:ascii="Calibri" w:eastAsiaTheme="minorHAnsi" w:hAnsi="Calibri" w:cs="AdvTT98d9a78a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for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30 min. Nuclear STAT3 and STAT1 </w:t>
      </w:r>
      <w:r w:rsidRPr="00C137CB">
        <w:rPr>
          <w:rFonts w:ascii="Calibri" w:eastAsiaTheme="minorHAnsi" w:hAnsi="Calibri" w:cs="AdvTT7c3c51d9"/>
          <w:color w:val="auto"/>
          <w:szCs w:val="24"/>
        </w:rPr>
        <w:t>(used as a control) DNA binding activities were assessed with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the TransAM STAT Family Kit (Active Motif), accordin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g to the </w:t>
      </w:r>
      <w:r w:rsidRPr="00C137CB">
        <w:rPr>
          <w:rFonts w:ascii="Calibri" w:eastAsiaTheme="minorHAnsi" w:hAnsi="Calibri" w:cs="AdvTT7c3c51d9"/>
          <w:color w:val="auto"/>
          <w:szCs w:val="24"/>
        </w:rPr>
        <w:t>manufacturer’s instructions.</w:t>
      </w:r>
    </w:p>
    <w:p w:rsidR="006D4FB6" w:rsidRPr="00C137CB" w:rsidRDefault="006D4FB6" w:rsidP="006D4FB6">
      <w:pPr>
        <w:rPr>
          <w:rFonts w:ascii="Calibri" w:eastAsiaTheme="minorHAnsi" w:hAnsi="Calibri" w:cs="AdvTT7c3c51d9"/>
          <w:color w:val="auto"/>
          <w:szCs w:val="24"/>
        </w:rPr>
      </w:pPr>
    </w:p>
    <w:p w:rsidR="006D4FB6" w:rsidRPr="00C137CB" w:rsidRDefault="006D4FB6" w:rsidP="006D4FB6">
      <w:pPr>
        <w:autoSpaceDE w:val="0"/>
        <w:autoSpaceDN w:val="0"/>
        <w:adjustRightInd w:val="0"/>
        <w:rPr>
          <w:rFonts w:ascii="Calibri" w:eastAsiaTheme="minorHAnsi" w:hAnsi="Calibri" w:cs="AdvTT9a62c830"/>
          <w:b/>
          <w:color w:val="auto"/>
          <w:szCs w:val="24"/>
        </w:rPr>
      </w:pPr>
      <w:r w:rsidRPr="00C137CB">
        <w:rPr>
          <w:rFonts w:ascii="Calibri" w:eastAsiaTheme="minorHAnsi" w:hAnsi="Calibri" w:cs="AdvTT9a62c830"/>
          <w:b/>
          <w:color w:val="auto"/>
          <w:szCs w:val="24"/>
        </w:rPr>
        <w:t>Quantification of mRNA Levels by RT-PCR</w:t>
      </w:r>
    </w:p>
    <w:p w:rsidR="006D4FB6" w:rsidRPr="00C137CB" w:rsidRDefault="006D4FB6" w:rsidP="006D4FB6">
      <w:pPr>
        <w:autoSpaceDE w:val="0"/>
        <w:autoSpaceDN w:val="0"/>
        <w:adjustRightInd w:val="0"/>
        <w:rPr>
          <w:rFonts w:ascii="Calibri" w:eastAsiaTheme="minorHAnsi" w:hAnsi="Calibri" w:cs="AdvTT7c3c51d9"/>
          <w:color w:val="auto"/>
          <w:szCs w:val="24"/>
        </w:rPr>
      </w:pPr>
      <w:r w:rsidRPr="00C137CB">
        <w:rPr>
          <w:rFonts w:ascii="Calibri" w:eastAsiaTheme="minorHAnsi" w:hAnsi="Calibri" w:cs="AdvTT7c3c51d9"/>
          <w:color w:val="auto"/>
          <w:szCs w:val="24"/>
        </w:rPr>
        <w:t>Total RNAwas isolated f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rom EBV-B cells with the RNeasy </w:t>
      </w:r>
      <w:r w:rsidRPr="00C137CB">
        <w:rPr>
          <w:rFonts w:ascii="Calibri" w:eastAsiaTheme="minorHAnsi" w:hAnsi="Calibri" w:cs="AdvTT7c3c51d9"/>
          <w:color w:val="auto"/>
          <w:szCs w:val="24"/>
        </w:rPr>
        <w:t>kit (Qiagen, Crawley, UK), according to the manufacturer’</w:t>
      </w:r>
      <w:r w:rsidR="00CC5678" w:rsidRPr="00C137CB">
        <w:rPr>
          <w:rFonts w:ascii="Calibri" w:eastAsiaTheme="minorHAnsi" w:hAnsi="Calibri" w:cs="AdvTT7c3c51d9"/>
          <w:color w:val="auto"/>
          <w:szCs w:val="24"/>
        </w:rPr>
        <w:t xml:space="preserve">s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instructions, and was left unstimulated or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>stimulated with IL-6</w:t>
      </w:r>
      <w:r w:rsidRPr="00C137CB">
        <w:rPr>
          <w:rFonts w:ascii="Calibri" w:eastAsiaTheme="minorHAnsi" w:hAnsi="Calibri" w:cs="AdvTT7c3c51d9"/>
          <w:color w:val="auto"/>
          <w:szCs w:val="24"/>
        </w:rPr>
        <w:t>(50 ng/mL), IL-10 (50 ng/mL), IL-21 (30 ng/mL), or IFN-</w:t>
      </w:r>
      <w:r w:rsidR="00B167B4">
        <w:rPr>
          <w:rFonts w:ascii="Calibri" w:eastAsiaTheme="minorHAnsi" w:hAnsi="Calibri" w:cs="AdvTT98d9a78a"/>
          <w:color w:val="auto"/>
          <w:szCs w:val="24"/>
        </w:rPr>
        <w:t xml:space="preserve">α </w:t>
      </w:r>
      <w:r w:rsidRPr="00C137CB">
        <w:rPr>
          <w:rFonts w:ascii="Calibri" w:eastAsiaTheme="minorHAnsi" w:hAnsi="Calibri" w:cs="AdvTT7c3c51d9"/>
          <w:color w:val="auto"/>
          <w:szCs w:val="24"/>
        </w:rPr>
        <w:t xml:space="preserve">(1000 U/mL) for 1 h. 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RNA was treated with RNase-free </w:t>
      </w:r>
      <w:r w:rsidRPr="00C137CB">
        <w:rPr>
          <w:rFonts w:ascii="Calibri" w:eastAsiaTheme="minorHAnsi" w:hAnsi="Calibri" w:cs="AdvTT7c3c51d9"/>
          <w:color w:val="auto"/>
          <w:szCs w:val="24"/>
        </w:rPr>
        <w:t>DNase (Qiagen). Reverse tra</w:t>
      </w:r>
      <w:r w:rsidR="00CC5678" w:rsidRPr="00C137CB">
        <w:rPr>
          <w:rFonts w:ascii="Calibri" w:eastAsiaTheme="minorHAnsi" w:hAnsi="Calibri" w:cs="AdvTT7c3c51d9"/>
          <w:color w:val="auto"/>
          <w:szCs w:val="24"/>
        </w:rPr>
        <w:t xml:space="preserve">nscription was carried out with </w:t>
      </w:r>
      <w:r w:rsidRPr="00C137CB">
        <w:rPr>
          <w:rFonts w:ascii="Calibri" w:eastAsiaTheme="minorHAnsi" w:hAnsi="Calibri" w:cs="AdvTT7c3c51d9"/>
          <w:color w:val="auto"/>
          <w:szCs w:val="24"/>
        </w:rPr>
        <w:t>oligo dT and random primers,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according to the High Capacity </w:t>
      </w:r>
      <w:r w:rsidRPr="00C137CB">
        <w:rPr>
          <w:rFonts w:ascii="Calibri" w:eastAsiaTheme="minorHAnsi" w:hAnsi="Calibri" w:cs="AdvTT7c3c51d9"/>
          <w:color w:val="auto"/>
          <w:szCs w:val="24"/>
        </w:rPr>
        <w:t>RNA-to-cDNA Kit protoc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ol (Applied Biosystems). STAT3, </w:t>
      </w:r>
      <w:r w:rsidRPr="00C137CB">
        <w:rPr>
          <w:rFonts w:ascii="Calibri" w:eastAsiaTheme="minorHAnsi" w:hAnsi="Calibri" w:cs="AdvTT7c3c51d9"/>
          <w:color w:val="auto"/>
          <w:szCs w:val="24"/>
        </w:rPr>
        <w:t>SOCS3, and IRF1 Taqman assa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ys were carried out with Taqman </w:t>
      </w:r>
      <w:r w:rsidRPr="00C137CB">
        <w:rPr>
          <w:rFonts w:ascii="Calibri" w:eastAsiaTheme="minorHAnsi" w:hAnsi="Calibri" w:cs="AdvTT7c3c51d9"/>
          <w:color w:val="auto"/>
          <w:szCs w:val="24"/>
        </w:rPr>
        <w:t>Universal Fast Master Mix (A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pplied Biosystems) and analyzed </w:t>
      </w:r>
      <w:r w:rsidRPr="00C137CB">
        <w:rPr>
          <w:rFonts w:ascii="Calibri" w:eastAsiaTheme="minorHAnsi" w:hAnsi="Calibri" w:cs="AdvTT7c3c51d9"/>
          <w:color w:val="auto"/>
          <w:szCs w:val="24"/>
        </w:rPr>
        <w:t>with the ABI Fast 7500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system. STAT3, SOCS3, and IRF1 </w:t>
      </w:r>
      <w:r w:rsidRPr="00C137CB">
        <w:rPr>
          <w:rFonts w:ascii="Calibri" w:eastAsiaTheme="minorHAnsi" w:hAnsi="Calibri" w:cs="AdvTT7c3c51d9"/>
          <w:color w:val="auto"/>
          <w:szCs w:val="24"/>
        </w:rPr>
        <w:t>mRNA levels were analyzed by GUS staining with an endogenous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control (Applied Biosystems). Relative expression levels</w:t>
      </w:r>
      <w:r w:rsidR="00B167B4">
        <w:rPr>
          <w:rFonts w:ascii="Calibri" w:eastAsiaTheme="minorHAnsi" w:hAnsi="Calibri" w:cs="AdvTT7c3c51d9"/>
          <w:color w:val="auto"/>
          <w:szCs w:val="24"/>
        </w:rPr>
        <w:t xml:space="preserve"> </w:t>
      </w:r>
      <w:r w:rsidRPr="00C137CB">
        <w:rPr>
          <w:rFonts w:ascii="Calibri" w:eastAsiaTheme="minorHAnsi" w:hAnsi="Calibri" w:cs="AdvTT7c3c51d9"/>
          <w:color w:val="auto"/>
          <w:szCs w:val="24"/>
        </w:rPr>
        <w:t>were calculated by the delta-delta Ct method.</w:t>
      </w:r>
      <w:r w:rsidRPr="00C137CB">
        <w:rPr>
          <w:rFonts w:ascii="Calibri" w:eastAsiaTheme="minorHAnsi" w:hAnsi="Calibri" w:cs="AdvTT7c3c51d9"/>
          <w:color w:val="auto"/>
          <w:szCs w:val="24"/>
          <w:vertAlign w:val="superscript"/>
        </w:rPr>
        <w:t>53a</w:t>
      </w:r>
    </w:p>
    <w:p w:rsidR="0083037C" w:rsidRPr="00C137CB" w:rsidRDefault="0083037C" w:rsidP="006D4FB6">
      <w:pPr>
        <w:autoSpaceDE w:val="0"/>
        <w:autoSpaceDN w:val="0"/>
        <w:adjustRightInd w:val="0"/>
        <w:rPr>
          <w:rFonts w:ascii="Calibri" w:eastAsiaTheme="minorHAnsi" w:hAnsi="Calibri" w:cs="AdvTT7c3c51d9"/>
          <w:color w:val="auto"/>
          <w:szCs w:val="24"/>
        </w:rPr>
      </w:pPr>
    </w:p>
    <w:p w:rsidR="006D4FB6" w:rsidRPr="00C137CB" w:rsidRDefault="006D4FB6" w:rsidP="006D4FB6">
      <w:pPr>
        <w:autoSpaceDE w:val="0"/>
        <w:autoSpaceDN w:val="0"/>
        <w:adjustRightInd w:val="0"/>
        <w:rPr>
          <w:rFonts w:ascii="Calibri" w:eastAsiaTheme="minorHAnsi" w:hAnsi="Calibri" w:cs="AdvTT9a62c830"/>
          <w:b/>
          <w:color w:val="auto"/>
          <w:szCs w:val="24"/>
        </w:rPr>
      </w:pPr>
      <w:r w:rsidRPr="00C137CB">
        <w:rPr>
          <w:rFonts w:ascii="Calibri" w:eastAsiaTheme="minorHAnsi" w:hAnsi="Calibri" w:cs="AdvTT9a62c830"/>
          <w:b/>
          <w:color w:val="auto"/>
          <w:szCs w:val="24"/>
        </w:rPr>
        <w:t>Statistical Methods</w:t>
      </w:r>
    </w:p>
    <w:p w:rsidR="006D4FB6" w:rsidRPr="00C137CB" w:rsidRDefault="006D4FB6" w:rsidP="0083037C">
      <w:pPr>
        <w:autoSpaceDE w:val="0"/>
        <w:autoSpaceDN w:val="0"/>
        <w:adjustRightInd w:val="0"/>
        <w:rPr>
          <w:rFonts w:ascii="Calibri" w:eastAsiaTheme="minorHAnsi" w:hAnsi="Calibri" w:cs="AdvTT7c3c51d9"/>
          <w:color w:val="auto"/>
          <w:szCs w:val="24"/>
        </w:rPr>
      </w:pPr>
      <w:r w:rsidRPr="00C137CB">
        <w:rPr>
          <w:rFonts w:ascii="Calibri" w:eastAsiaTheme="minorHAnsi" w:hAnsi="Calibri" w:cs="AdvTT7c3c51d9"/>
          <w:color w:val="auto"/>
          <w:szCs w:val="24"/>
        </w:rPr>
        <w:t>Experimental datawere su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mmarized as means with standard </w:t>
      </w:r>
      <w:r w:rsidRPr="00C137CB">
        <w:rPr>
          <w:rFonts w:ascii="Calibri" w:eastAsiaTheme="minorHAnsi" w:hAnsi="Calibri" w:cs="AdvTT7c3c51d9"/>
          <w:color w:val="auto"/>
          <w:szCs w:val="24"/>
        </w:rPr>
        <w:t>errors. Differences between controls and S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TAT3 patients were </w:t>
      </w:r>
      <w:r w:rsidRPr="00C137CB">
        <w:rPr>
          <w:rFonts w:ascii="Calibri" w:eastAsiaTheme="minorHAnsi" w:hAnsi="Calibri" w:cs="AdvTT7c3c51d9"/>
          <w:color w:val="auto"/>
          <w:szCs w:val="24"/>
        </w:rPr>
        <w:t>tested for significance in the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Kruskal-Wallis algorithm test: </w:t>
      </w:r>
      <w:r w:rsidRPr="00C137CB">
        <w:rPr>
          <w:rFonts w:ascii="Calibri" w:eastAsiaTheme="minorHAnsi" w:hAnsi="Calibri" w:cs="AdvTT7c3c51d9"/>
          <w:color w:val="auto"/>
          <w:szCs w:val="24"/>
        </w:rPr>
        <w:t>1) mean ratio (stimulated/nonst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>imulated) of number of phospho-</w:t>
      </w:r>
      <w:r w:rsidRPr="00C137CB">
        <w:rPr>
          <w:rFonts w:ascii="Calibri" w:eastAsiaTheme="minorHAnsi" w:hAnsi="Calibri" w:cs="AdvTT7c3c51d9"/>
          <w:color w:val="auto"/>
          <w:szCs w:val="24"/>
        </w:rPr>
        <w:t>STAT3-positive EBV-B cells upo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n cytokine stimulation, 2) mean </w:t>
      </w:r>
      <w:r w:rsidR="00CC5678" w:rsidRPr="00C137CB">
        <w:rPr>
          <w:rFonts w:ascii="Calibri" w:eastAsiaTheme="minorHAnsi" w:hAnsi="Calibri" w:cs="AdvTT7c3c51d9"/>
          <w:color w:val="auto"/>
          <w:szCs w:val="24"/>
        </w:rPr>
        <w:t xml:space="preserve">ratios </w:t>
      </w:r>
      <w:r w:rsidRPr="00C137CB">
        <w:rPr>
          <w:rFonts w:ascii="Calibri" w:eastAsiaTheme="minorHAnsi" w:hAnsi="Calibri" w:cs="AdvTT7c3c51d9"/>
          <w:color w:val="auto"/>
          <w:szCs w:val="24"/>
        </w:rPr>
        <w:t>(stimulated/nonstimulated) of STAT3 nuclear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 translocation, </w:t>
      </w:r>
      <w:r w:rsidRPr="00C137CB">
        <w:rPr>
          <w:rFonts w:ascii="Calibri" w:eastAsiaTheme="minorHAnsi" w:hAnsi="Calibri" w:cs="AdvTT7c3c51d9"/>
          <w:color w:val="auto"/>
          <w:szCs w:val="24"/>
        </w:rPr>
        <w:t>3) mean ratios (stimulated/n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onstimulated) for expression of </w:t>
      </w:r>
      <w:r w:rsidRPr="00C137CB">
        <w:rPr>
          <w:rFonts w:ascii="Calibri" w:eastAsiaTheme="minorHAnsi" w:hAnsi="Calibri" w:cs="AdvTT7c3c51d9"/>
          <w:color w:val="auto"/>
          <w:szCs w:val="24"/>
        </w:rPr>
        <w:t>the SOCS3 gene upon cytokine stimula</w:t>
      </w:r>
      <w:r w:rsidR="0083037C" w:rsidRPr="00C137CB">
        <w:rPr>
          <w:rFonts w:ascii="Calibri" w:eastAsiaTheme="minorHAnsi" w:hAnsi="Calibri" w:cs="AdvTT7c3c51d9"/>
          <w:color w:val="auto"/>
          <w:szCs w:val="24"/>
        </w:rPr>
        <w:t xml:space="preserve">tion in each group of subjects, </w:t>
      </w:r>
      <w:r w:rsidRPr="00C137CB">
        <w:rPr>
          <w:rFonts w:ascii="Calibri" w:eastAsiaTheme="minorHAnsi" w:hAnsi="Calibri" w:cs="AdvTT7c3c51d9"/>
          <w:color w:val="auto"/>
          <w:szCs w:val="24"/>
        </w:rPr>
        <w:t>represented on scatter plots with the median line indicated.</w:t>
      </w:r>
    </w:p>
    <w:p w:rsidR="0083037C" w:rsidRPr="00C137CB" w:rsidRDefault="0083037C" w:rsidP="006D4FB6">
      <w:pPr>
        <w:rPr>
          <w:rFonts w:ascii="Calibri" w:hAnsi="Calibri"/>
          <w:b/>
          <w:color w:val="auto"/>
          <w:sz w:val="22"/>
          <w:szCs w:val="22"/>
        </w:rPr>
      </w:pPr>
    </w:p>
    <w:p w:rsidR="00D07A3A" w:rsidRDefault="00D07A3A">
      <w:pPr>
        <w:spacing w:after="200" w:line="276" w:lineRule="auto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br w:type="page"/>
      </w:r>
    </w:p>
    <w:p w:rsidR="0083037C" w:rsidRPr="00C137CB" w:rsidRDefault="0083037C" w:rsidP="006D4FB6">
      <w:pPr>
        <w:rPr>
          <w:rFonts w:ascii="Calibri" w:hAnsi="Calibri"/>
          <w:b/>
          <w:color w:val="auto"/>
          <w:sz w:val="22"/>
          <w:szCs w:val="22"/>
        </w:rPr>
      </w:pPr>
    </w:p>
    <w:p w:rsidR="0083037C" w:rsidRDefault="0083037C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</w:p>
    <w:p w:rsidR="00D07A3A" w:rsidRPr="00C137CB" w:rsidRDefault="00D07A3A" w:rsidP="0083037C">
      <w:pPr>
        <w:jc w:val="center"/>
        <w:rPr>
          <w:rFonts w:ascii="Calibri" w:hAnsi="Calibri"/>
          <w:b/>
          <w:color w:val="auto"/>
          <w:sz w:val="40"/>
          <w:szCs w:val="40"/>
        </w:rPr>
      </w:pPr>
      <w:r>
        <w:rPr>
          <w:rFonts w:ascii="Calibri" w:hAnsi="Calibri"/>
          <w:b/>
          <w:noProof/>
          <w:color w:val="auto"/>
          <w:sz w:val="40"/>
          <w:szCs w:val="40"/>
        </w:rPr>
        <w:lastRenderedPageBreak/>
        <w:drawing>
          <wp:inline distT="0" distB="0" distL="0" distR="0">
            <wp:extent cx="5943600" cy="4698365"/>
            <wp:effectExtent l="19050" t="0" r="0" b="0"/>
            <wp:docPr id="1" name="Picture 0" descr="MD_91_4_CHANDESRIS_200282_Suppl_Fig_1_edited [Compatibility Mode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_91_4_CHANDESRIS_200282_Suppl_Fig_1_edited [Compatibility Mode]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FB6" w:rsidRPr="00C137CB" w:rsidRDefault="006D4FB6" w:rsidP="006D4FB6">
      <w:pPr>
        <w:rPr>
          <w:rFonts w:ascii="Calibri" w:hAnsi="Calibri"/>
          <w:b/>
          <w:color w:val="auto"/>
          <w:sz w:val="22"/>
          <w:szCs w:val="22"/>
        </w:rPr>
      </w:pPr>
    </w:p>
    <w:p w:rsidR="00CC5678" w:rsidRPr="00C137CB" w:rsidRDefault="00CC5678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CC5678" w:rsidRPr="00C137CB" w:rsidRDefault="00CC5678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6D4FB6" w:rsidRPr="00C137CB" w:rsidRDefault="006D4FB6" w:rsidP="00B167B4">
      <w:pPr>
        <w:autoSpaceDE w:val="0"/>
        <w:autoSpaceDN w:val="0"/>
        <w:adjustRightInd w:val="0"/>
        <w:rPr>
          <w:rFonts w:ascii="Calibri" w:eastAsiaTheme="minorHAnsi" w:hAnsi="Calibri" w:cs="AdvTT336784a7"/>
          <w:color w:val="auto"/>
          <w:sz w:val="22"/>
          <w:szCs w:val="22"/>
        </w:rPr>
      </w:pPr>
      <w:r w:rsidRPr="00C137CB">
        <w:rPr>
          <w:rFonts w:ascii="Calibri" w:hAnsi="Calibri"/>
          <w:b/>
          <w:color w:val="auto"/>
          <w:sz w:val="22"/>
          <w:szCs w:val="22"/>
        </w:rPr>
        <w:t>Supplemental Figure 1</w:t>
      </w:r>
      <w:r w:rsidRPr="00C137CB">
        <w:rPr>
          <w:rFonts w:ascii="Calibri" w:hAnsi="Calibri"/>
          <w:b/>
          <w:i/>
          <w:color w:val="auto"/>
          <w:sz w:val="22"/>
          <w:szCs w:val="22"/>
        </w:rPr>
        <w:t>.</w:t>
      </w:r>
      <w:r w:rsidRPr="00C137CB">
        <w:rPr>
          <w:rFonts w:ascii="Calibri" w:hAnsi="Calibri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STAT3 phosphorylation in EBV-B cells from patients and controls, as assessed by intracellular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flow cytometry. Induction of phospho-STAT3 in EBV-B cell lines from healthy controls (squares); 8 STAT3-deficient patients with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DNA-binding domain (DBD) mutations (R382W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18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R382Q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22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T412S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36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Vdel463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14, 15, 16, 44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,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N472D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46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) (triangles); 2 STAT3-deficient patients with SH2 domain mutations (S614G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27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V637M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(diamonds); and 3 STAT3-deficient patients with TA domain mutations (T708N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5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K709E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50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V713M 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26</w:t>
      </w:r>
      <w:r w:rsidR="00B167B4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(filled circles), in response to IL-6 (a), IL-10 (b), IL-21 (c), and IFN-</w:t>
      </w:r>
      <w:r w:rsidR="00B167B4" w:rsidRPr="00B167B4">
        <w:rPr>
          <w:rFonts w:ascii="Calibri" w:eastAsiaTheme="minorHAnsi" w:hAnsi="Calibri" w:cs="AdvTT98d9a78a"/>
          <w:color w:val="auto"/>
          <w:sz w:val="22"/>
          <w:szCs w:val="24"/>
        </w:rPr>
        <w:t>α</w:t>
      </w:r>
      <w:r w:rsidRPr="00C137CB">
        <w:rPr>
          <w:rFonts w:ascii="Calibri" w:eastAsiaTheme="minorHAnsi" w:hAnsi="Calibri" w:cs="AdvTT98d9a78a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(d). Scatter plots (with median line) showing the mean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percentages of phospho-STAT3-positive cells obtained following cytokine stimulation, for each subject for whom at least 2 independent</w:t>
      </w:r>
      <w:r w:rsidR="00B167B4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experiments were carried out. The gray circle designates the patient (Patient 50) with heterozygous K709E STAT3 mutation.</w:t>
      </w:r>
    </w:p>
    <w:p w:rsidR="00D07A3A" w:rsidRDefault="00D07A3A">
      <w:pPr>
        <w:spacing w:after="200" w:line="276" w:lineRule="auto"/>
        <w:rPr>
          <w:rFonts w:ascii="Calibri" w:eastAsiaTheme="minorHAnsi" w:hAnsi="Calibri" w:cs="AdvTT336784a7"/>
          <w:color w:val="auto"/>
          <w:sz w:val="22"/>
          <w:szCs w:val="22"/>
        </w:rPr>
      </w:pPr>
      <w:r>
        <w:rPr>
          <w:rFonts w:ascii="Calibri" w:eastAsiaTheme="minorHAnsi" w:hAnsi="Calibri" w:cs="AdvTT336784a7"/>
          <w:color w:val="auto"/>
          <w:sz w:val="22"/>
          <w:szCs w:val="22"/>
        </w:rPr>
        <w:br w:type="page"/>
      </w:r>
    </w:p>
    <w:p w:rsidR="00D07A3A" w:rsidRDefault="00D07A3A" w:rsidP="006D4FB6">
      <w:pPr>
        <w:pStyle w:val="PlainText"/>
        <w:rPr>
          <w:rFonts w:ascii="Calibri" w:hAnsi="Calibri"/>
          <w:noProof/>
          <w:color w:val="auto"/>
          <w:sz w:val="22"/>
          <w:szCs w:val="22"/>
        </w:rPr>
      </w:pPr>
      <w:r>
        <w:rPr>
          <w:rFonts w:ascii="Calibri" w:hAnsi="Calibri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5943600" cy="5467985"/>
            <wp:effectExtent l="19050" t="0" r="0" b="0"/>
            <wp:docPr id="5" name="Picture 4" descr="MD_91_4_CHANDESRIS_200282_Suppl_Fig_2_edited [Compatibility Mode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_91_4_CHANDESRIS_200282_Suppl_Fig_2_edited [Compatibility Mode]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3A" w:rsidRDefault="00D07A3A" w:rsidP="006D4FB6">
      <w:pPr>
        <w:pStyle w:val="PlainText"/>
        <w:rPr>
          <w:rFonts w:ascii="Calibri" w:hAnsi="Calibri"/>
          <w:noProof/>
          <w:color w:val="auto"/>
          <w:sz w:val="22"/>
          <w:szCs w:val="22"/>
        </w:rPr>
      </w:pPr>
    </w:p>
    <w:p w:rsidR="00D07A3A" w:rsidRDefault="00D07A3A" w:rsidP="006D4FB6">
      <w:pPr>
        <w:pStyle w:val="PlainText"/>
        <w:rPr>
          <w:rFonts w:ascii="Calibri" w:hAnsi="Calibri"/>
          <w:noProof/>
          <w:color w:val="auto"/>
          <w:sz w:val="22"/>
          <w:szCs w:val="22"/>
        </w:rPr>
      </w:pPr>
    </w:p>
    <w:p w:rsidR="006D4FB6" w:rsidRPr="00C137CB" w:rsidRDefault="006D4FB6" w:rsidP="0083037C">
      <w:pPr>
        <w:autoSpaceDE w:val="0"/>
        <w:autoSpaceDN w:val="0"/>
        <w:adjustRightInd w:val="0"/>
        <w:rPr>
          <w:rFonts w:ascii="Calibri" w:eastAsiaTheme="minorHAnsi" w:hAnsi="Calibri" w:cs="AdvTT336784a7"/>
          <w:color w:val="auto"/>
          <w:sz w:val="22"/>
          <w:szCs w:val="22"/>
        </w:rPr>
      </w:pPr>
      <w:r w:rsidRPr="00C137CB">
        <w:rPr>
          <w:rFonts w:ascii="Calibri" w:hAnsi="Calibri"/>
          <w:b/>
          <w:color w:val="auto"/>
          <w:sz w:val="22"/>
          <w:szCs w:val="22"/>
        </w:rPr>
        <w:t>Supplemental Figure 2</w:t>
      </w:r>
      <w:r w:rsidRPr="00C137CB">
        <w:rPr>
          <w:rFonts w:ascii="Calibri" w:hAnsi="Calibri"/>
          <w:b/>
          <w:i/>
          <w:color w:val="auto"/>
          <w:sz w:val="22"/>
          <w:szCs w:val="22"/>
        </w:rPr>
        <w:t>.</w:t>
      </w:r>
      <w:r w:rsidRPr="00C137CB">
        <w:rPr>
          <w:rFonts w:ascii="Calibri" w:hAnsi="Calibri"/>
          <w:color w:val="auto"/>
          <w:sz w:val="22"/>
          <w:szCs w:val="22"/>
        </w:rPr>
        <w:t xml:space="preserve"> S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STAT3 nuclear translocation in EBV-B cells from patients and controls, as assessed by EMSA ELISA.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The values shown represent ratios of absorbance at 450 nm, for nuclear samples extracted from cytokine-stimulated or nonstimulated cells.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STAT3 nuclear translocation from control EBV-B cell lines (squares); 8 STAT3-deficient patients with DNA-binding domain (DBD)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mutations (R382W </w:t>
      </w:r>
      <w:r w:rsidRPr="00C137CB">
        <w:rPr>
          <w:rFonts w:ascii="Calibri" w:eastAsiaTheme="minorHAnsi" w:hAnsi="Calibri" w:cs="AdvP0004"/>
          <w:color w:val="auto"/>
          <w:sz w:val="22"/>
          <w:szCs w:val="22"/>
        </w:rPr>
        <w:t>E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18</w:t>
      </w:r>
      <w:r w:rsidRPr="00C137CB">
        <w:rPr>
          <w:rFonts w:ascii="Calibri" w:eastAsiaTheme="minorHAnsi" w:hAnsi="Calibri" w:cs="AdvP0004"/>
          <w:color w:val="auto"/>
          <w:sz w:val="22"/>
          <w:szCs w:val="22"/>
        </w:rPr>
        <w:t>^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R382Q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22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T412S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36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Vdel463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14, 15, 16, 44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N472D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46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(triangles); 3 STAT3-deficient patients with SH2 domain mutations (S614G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27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V637M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1, 34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 (diamonds); and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5 STAT3-deficient patients with TA domain mutations (T708N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5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K709E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31, 50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V713M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26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, T714I</w:t>
      </w:r>
      <w:r w:rsidR="00AC5C4A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13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 (filled circles), in response to IL-6 (a), IL-10 (b), IL-21 (c), and IFN-</w:t>
      </w:r>
      <w:r w:rsidR="00AC5C4A" w:rsidRPr="00AC5C4A">
        <w:rPr>
          <w:rFonts w:ascii="Calibri" w:eastAsiaTheme="minorHAnsi" w:hAnsi="Calibri" w:cs="AdvTT98d9a78a"/>
          <w:color w:val="auto"/>
          <w:sz w:val="22"/>
          <w:szCs w:val="24"/>
        </w:rPr>
        <w:t>α</w:t>
      </w:r>
      <w:r w:rsidRPr="00C137CB">
        <w:rPr>
          <w:rFonts w:ascii="Calibri" w:eastAsiaTheme="minorHAnsi" w:hAnsi="Calibri" w:cs="AdvTT98d9a78a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(d). Each dot represents a mean value obtained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for a single subject for whom at least 3 independent experiments were performed. The gray circle designates the patient (Patient 50)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with heterozygous K709E STAT3 mutation.</w:t>
      </w:r>
    </w:p>
    <w:p w:rsidR="00D07A3A" w:rsidRDefault="00D07A3A">
      <w:pPr>
        <w:spacing w:after="200" w:line="276" w:lineRule="auto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br w:type="page"/>
      </w:r>
    </w:p>
    <w:p w:rsidR="006D4FB6" w:rsidRPr="00C137CB" w:rsidRDefault="006D4FB6" w:rsidP="006D4FB6">
      <w:pPr>
        <w:pStyle w:val="PlainText"/>
        <w:rPr>
          <w:rFonts w:ascii="Calibri" w:hAnsi="Calibri"/>
          <w:color w:val="auto"/>
          <w:sz w:val="22"/>
          <w:szCs w:val="22"/>
        </w:rPr>
      </w:pPr>
    </w:p>
    <w:p w:rsidR="00934FA8" w:rsidRPr="00C137CB" w:rsidRDefault="00D07A3A" w:rsidP="006D4FB6">
      <w:pPr>
        <w:pStyle w:val="PlainTex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>
            <wp:extent cx="5943600" cy="4902835"/>
            <wp:effectExtent l="19050" t="0" r="0" b="0"/>
            <wp:docPr id="6" name="Picture 5" descr="MD_91_4_CHANDESRIS_200282_Suppl_Fig_3_edited [Compatibility Mode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_91_4_CHANDESRIS_200282_Suppl_Fig_3_edited [Compatibility Mode]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78" w:rsidRPr="00C137CB" w:rsidRDefault="00CC5678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CC5678" w:rsidRPr="00C137CB" w:rsidRDefault="00CC5678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D07A3A" w:rsidRDefault="00D07A3A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D07A3A" w:rsidRDefault="00D07A3A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D07A3A" w:rsidRPr="00C137CB" w:rsidRDefault="00D07A3A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CC5678" w:rsidRPr="00C137CB" w:rsidRDefault="00CC5678" w:rsidP="006D4FB6">
      <w:pPr>
        <w:autoSpaceDE w:val="0"/>
        <w:autoSpaceDN w:val="0"/>
        <w:adjustRightInd w:val="0"/>
        <w:rPr>
          <w:rFonts w:ascii="Calibri" w:hAnsi="Calibri"/>
          <w:b/>
          <w:color w:val="auto"/>
          <w:sz w:val="22"/>
          <w:szCs w:val="22"/>
        </w:rPr>
      </w:pPr>
    </w:p>
    <w:p w:rsidR="006D4FB6" w:rsidRPr="00C137CB" w:rsidRDefault="006D4FB6" w:rsidP="0083037C">
      <w:pPr>
        <w:autoSpaceDE w:val="0"/>
        <w:autoSpaceDN w:val="0"/>
        <w:adjustRightInd w:val="0"/>
        <w:rPr>
          <w:rFonts w:ascii="Calibri" w:eastAsiaTheme="minorHAnsi" w:hAnsi="Calibri" w:cs="AdvTT336784a7"/>
          <w:color w:val="auto"/>
          <w:sz w:val="22"/>
          <w:szCs w:val="22"/>
        </w:rPr>
      </w:pPr>
      <w:r w:rsidRPr="00C137CB">
        <w:rPr>
          <w:rFonts w:ascii="Calibri" w:hAnsi="Calibri"/>
          <w:b/>
          <w:color w:val="auto"/>
          <w:sz w:val="22"/>
          <w:szCs w:val="22"/>
        </w:rPr>
        <w:t>Supplemental Figure 3</w:t>
      </w:r>
      <w:r w:rsidRPr="00C137CB">
        <w:rPr>
          <w:rFonts w:ascii="Calibri" w:hAnsi="Calibri"/>
          <w:color w:val="auto"/>
          <w:sz w:val="22"/>
          <w:szCs w:val="22"/>
        </w:rPr>
        <w:t xml:space="preserve">. </w:t>
      </w:r>
      <w:r w:rsidR="0083037C" w:rsidRPr="00C137CB">
        <w:rPr>
          <w:rFonts w:ascii="Calibri" w:hAnsi="Calibri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Defective expression of the STAT3 target gene SOCS3. SOCS3 gene induction in EBV-B cell lines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from healthy controls (squares); 8 STAT3-deficient patients with heterozygous DNA-binding domain (DBD) mutations (R382W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18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R382Q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22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T412S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36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Vdel463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14, 15, 16, 44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N472D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46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 (triangles); 4 STAT3-deficient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patients with heterozygous SH2 domain mutations (S614G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27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V637M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1, 34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S668Y </w:t>
      </w:r>
      <w:r w:rsidR="00AC5C4A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21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 (diamonds);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and 5 STAT3-deficient patients with heterozygous TA domain mutations (T708N 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5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K709E 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Patients 31, 50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, V713M 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26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,</w:t>
      </w:r>
      <w:r w:rsidR="00972B17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T714I 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[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Patient 13</w:t>
      </w:r>
      <w:r w:rsidR="00972B17">
        <w:rPr>
          <w:rFonts w:ascii="Calibri" w:eastAsiaTheme="minorHAnsi" w:hAnsi="Calibri" w:cs="AdvP0004"/>
          <w:color w:val="auto"/>
          <w:sz w:val="22"/>
          <w:szCs w:val="22"/>
        </w:rPr>
        <w:t>]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) (filled circles), in response to IL-6 (a), IL-10 (b), IL-21 (c), and IFN-</w:t>
      </w:r>
      <w:r w:rsidR="00972B17" w:rsidRPr="00972B17">
        <w:rPr>
          <w:rFonts w:ascii="Calibri" w:eastAsiaTheme="minorHAnsi" w:hAnsi="Calibri" w:cs="AdvTT98d9a78a"/>
          <w:color w:val="auto"/>
          <w:sz w:val="22"/>
          <w:szCs w:val="24"/>
        </w:rPr>
        <w:t>α</w:t>
      </w:r>
      <w:r w:rsidRPr="00C137CB">
        <w:rPr>
          <w:rFonts w:ascii="Calibri" w:eastAsiaTheme="minorHAnsi" w:hAnsi="Calibri" w:cs="AdvTT98d9a78a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(d), as evaluated by quantitative RT-PCR.</w:t>
      </w:r>
      <w:r w:rsidR="0083037C" w:rsidRPr="00C137CB">
        <w:rPr>
          <w:rFonts w:ascii="Calibri" w:eastAsiaTheme="minorHAnsi" w:hAnsi="Calibri" w:cs="AdvTT336784a7"/>
          <w:color w:val="auto"/>
          <w:sz w:val="22"/>
          <w:szCs w:val="22"/>
        </w:rPr>
        <w:t xml:space="preserve"> </w:t>
      </w:r>
      <w:r w:rsidRPr="00C137CB">
        <w:rPr>
          <w:rFonts w:ascii="Calibri" w:eastAsiaTheme="minorHAnsi" w:hAnsi="Calibri" w:cs="AdvTT336784a7"/>
          <w:color w:val="auto"/>
          <w:sz w:val="22"/>
          <w:szCs w:val="22"/>
        </w:rPr>
        <w:t>The gray circle designates the patient (Patient 50) with heterozygous K709E STAT3 mutation.</w:t>
      </w:r>
    </w:p>
    <w:p w:rsidR="006D4FB6" w:rsidRPr="00C137CB" w:rsidRDefault="006D4FB6" w:rsidP="006D4FB6">
      <w:pPr>
        <w:rPr>
          <w:rFonts w:ascii="Calibri" w:hAnsi="Calibri"/>
          <w:sz w:val="22"/>
          <w:szCs w:val="22"/>
        </w:rPr>
      </w:pPr>
    </w:p>
    <w:sectPr w:rsidR="006D4FB6" w:rsidRPr="00C137CB" w:rsidSect="00BA3BC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46A" w:rsidRDefault="0045346A" w:rsidP="006D4FB6">
      <w:r>
        <w:separator/>
      </w:r>
    </w:p>
  </w:endnote>
  <w:endnote w:type="continuationSeparator" w:id="1">
    <w:p w:rsidR="0045346A" w:rsidRDefault="0045346A" w:rsidP="006D4F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TT9a62c83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7c3c51d9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4C4E74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T98d9a78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0004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TT336784a7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46A" w:rsidRDefault="0045346A" w:rsidP="006D4FB6">
      <w:r>
        <w:separator/>
      </w:r>
    </w:p>
  </w:footnote>
  <w:footnote w:type="continuationSeparator" w:id="1">
    <w:p w:rsidR="0045346A" w:rsidRDefault="0045346A" w:rsidP="006D4F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FB6" w:rsidRDefault="006D4FB6">
    <w:pPr>
      <w:pStyle w:val="Header"/>
    </w:pPr>
    <w:r>
      <w:t>SUPPLEMENTAL DIGITAL CONTENT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4FB6"/>
    <w:rsid w:val="00124136"/>
    <w:rsid w:val="0045346A"/>
    <w:rsid w:val="006D4FB6"/>
    <w:rsid w:val="007070EF"/>
    <w:rsid w:val="0083037C"/>
    <w:rsid w:val="00934FA8"/>
    <w:rsid w:val="00972B17"/>
    <w:rsid w:val="00A50DE9"/>
    <w:rsid w:val="00AC5C4A"/>
    <w:rsid w:val="00B167B4"/>
    <w:rsid w:val="00BA3BCA"/>
    <w:rsid w:val="00BC6AF5"/>
    <w:rsid w:val="00C137CB"/>
    <w:rsid w:val="00CC5678"/>
    <w:rsid w:val="00D07A3A"/>
    <w:rsid w:val="00D23CA3"/>
    <w:rsid w:val="00E964B8"/>
    <w:rsid w:val="00F9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FB6"/>
    <w:pPr>
      <w:spacing w:after="0" w:line="240" w:lineRule="auto"/>
    </w:pPr>
    <w:rPr>
      <w:rFonts w:ascii="Palatino" w:eastAsia="Cambria" w:hAnsi="Palatino" w:cs="Times New Roman"/>
      <w:color w:val="00000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6D4FB6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D4FB6"/>
    <w:rPr>
      <w:rFonts w:ascii="Courier" w:eastAsia="Cambria" w:hAnsi="Courier" w:cs="Times New Roman"/>
      <w:color w:val="000000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6D4F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FB6"/>
    <w:rPr>
      <w:rFonts w:ascii="Palatino" w:eastAsia="Cambria" w:hAnsi="Palatino" w:cs="Times New Roman"/>
      <w:color w:val="000000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6D4F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FB6"/>
    <w:rPr>
      <w:rFonts w:ascii="Palatino" w:eastAsia="Cambria" w:hAnsi="Palatino" w:cs="Times New Roman"/>
      <w:color w:val="00000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3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37C"/>
    <w:rPr>
      <w:rFonts w:ascii="Tahoma" w:eastAsia="Cambri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3A472-A86A-46E4-AC4B-EA04FCE63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dmendiola</cp:lastModifiedBy>
  <cp:revision>10</cp:revision>
  <cp:lastPrinted>2012-06-25T14:07:00Z</cp:lastPrinted>
  <dcterms:created xsi:type="dcterms:W3CDTF">2012-06-25T13:50:00Z</dcterms:created>
  <dcterms:modified xsi:type="dcterms:W3CDTF">2012-06-26T20:15:00Z</dcterms:modified>
</cp:coreProperties>
</file>