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 Appendix 1</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FDG PET images were acquired by using a PET/CT device (Discovery LS; GE Healthcare, Milwaukee, WI, USA), which consisted of a PET scanner (Advance NXi; GE Healthcare) and an eight section CT scanner (Light-Speed Plus; GE Healthcare). The CT scan was performed with 40 to 80 mAs adjusted to the patient’s body weight at a 140 kVp and a 5-mm section width. After the CT scan, an emission scan was performed from the thigh to the head for 4 min per frame, 45 min after intravenous injection of 370 MBq of 18F-FDG. Standardized uptake value (SUV) was normalized to the patient’s body weight.</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 Appendix 2</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 xml:space="preserve">Helical CT scans were obtained from the lung apices to the level of the middle portion of both kidneys immediately after the completion of intravenous contrast medium injection. A total of 1.5 mL/Kg (body weight) Iomeron 300 (Iomeprol, 300 mg iodine/mL; Bracco; Milan, Italy) was injected at an infusion rate of 3 mL/s using a power injector (MCT Plus; Medrad; Pittsburgh, PA, USA). For mediastinal window images, the image data were reconstructed using a soft-tissue algorithm and for lung window images, they were reconstructed using a bone algorithm. The reconstructed images were then interfaced directly with a picture archiving and communication system (PACS) (Centricity 2.0; GE Healthcare, Mt. Prospect, IL, USA), which displayed all image data on two monitors (1536 × 2048 matrix, 8-bit viewable gray scale, and 60-ft-Lambert luminescence). Both mediastinal (width, 400 HU; level, 20 HU) and lung (width, 1500 HU; level, </w:t>
      </w:r>
      <w:r>
        <w:rPr>
          <w:rFonts w:ascii="Times New Roman" w:eastAsia="Batang" w:hAnsi="Times New Roman" w:cs="Times New Roman"/>
          <w:sz w:val="24"/>
          <w:szCs w:val="24"/>
        </w:rPr>
        <w:t>−</w:t>
      </w:r>
      <w:r>
        <w:rPr>
          <w:rFonts w:ascii="Times New Roman" w:hAnsi="Times New Roman" w:cs="Times New Roman"/>
          <w:sz w:val="24"/>
          <w:szCs w:val="24"/>
        </w:rPr>
        <w:t>700 HU) window images were viewed on these monitors.</w: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 Appendix 3</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For physical features, the volume of the ROI was computed by multiplying the number of voxels by the unit volume of a voxel. Physical density (g/cm3) was estimated by extrapolating from the mean CT scan attenuation.</w:t>
      </w:r>
      <w:r>
        <w:rPr>
          <w:rFonts w:ascii="Times New Roman" w:hAnsi="Times New Roman" w:cs="Times New Roman"/>
          <w:noProof/>
          <w:sz w:val="24"/>
          <w:szCs w:val="24"/>
          <w:vertAlign w:val="superscript"/>
        </w:rPr>
        <w:t>1</w:t>
      </w:r>
      <w:r>
        <w:rPr>
          <w:rFonts w:ascii="Times New Roman" w:hAnsi="Times New Roman" w:cs="Times New Roman"/>
          <w:sz w:val="24"/>
          <w:szCs w:val="24"/>
        </w:rPr>
        <w:t>Next, a histogram was derived from the distribution of voxel intensities within the ROI. From the histogram, we computed skewness, kurtosis, uniformity, entropy, and CT numbers or Hounsfield unit (HU) at the 2.5th, 25th, 50th, 75th and 97.5th percentiles. For regional features, ROI was computed based on the gray level size zone matrix. The value of the matrix’s (m, n) was defined by the number of homogenous regions given the homogeneous tumor size (n) to their intensity (m). The intensity variability and size-zone variability were also computed from the gray level size zone matrix.</w:t>
      </w:r>
      <w:r>
        <w:rPr>
          <w:rFonts w:ascii="Times New Roman" w:hAnsi="Times New Roman" w:cs="Times New Roman"/>
          <w:noProof/>
          <w:sz w:val="24"/>
          <w:szCs w:val="24"/>
          <w:vertAlign w:val="superscript"/>
        </w:rPr>
        <w:t>1-5</w:t>
      </w:r>
      <w:r>
        <w:rPr>
          <w:rFonts w:ascii="Times New Roman" w:hAnsi="Times New Roman" w:cs="Times New Roman"/>
          <w:sz w:val="24"/>
          <w:szCs w:val="24"/>
        </w:rPr>
        <w:t xml:space="preserve"> For local features, a gray level co-occurrence matrix (GLCM),</w:t>
      </w:r>
      <w:r>
        <w:rPr>
          <w:rFonts w:ascii="Times New Roman" w:hAnsi="Times New Roman" w:cs="Times New Roman"/>
          <w:noProof/>
          <w:sz w:val="24"/>
          <w:szCs w:val="24"/>
          <w:vertAlign w:val="superscript"/>
        </w:rPr>
        <w:t>6</w:t>
      </w:r>
      <w:r>
        <w:rPr>
          <w:rFonts w:ascii="Times New Roman" w:hAnsi="Times New Roman" w:cs="Times New Roman"/>
          <w:sz w:val="24"/>
          <w:szCs w:val="24"/>
        </w:rPr>
        <w:t xml:space="preserve"> which describes the frequency of various combinations of grey values within an ROI, was created. For each ROI, GLCMs were created with 13 directions according to 1-voxel, 2-voxel, and 3-voxel distances (3 GLCMs for each ROI). From each GLCM, 12 local features (the energy, entropy, correlation, contrast, variance, sum mean, inertia, cluster shade, cluster tendency, homogeneity, maximum probability, and inverse variance) were computed. In summary, we extracted three physical, nine histogram-based, two regional, and 36 local features from the manually-derived ROI.</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References</w:t>
      </w:r>
    </w:p>
    <w:p w:rsidR="00EB46FA" w:rsidRDefault="00EB46FA">
      <w:pPr>
        <w:spacing w:after="0" w:line="240" w:lineRule="auto"/>
        <w:ind w:left="720" w:hanging="720"/>
        <w:rPr>
          <w:noProof/>
        </w:rPr>
      </w:pPr>
      <w:bookmarkStart w:id="0" w:name="_ENREF_1"/>
      <w:r>
        <w:rPr>
          <w:b/>
          <w:bCs/>
          <w:noProof/>
        </w:rPr>
        <w:t>1.</w:t>
      </w:r>
      <w:r>
        <w:rPr>
          <w:rFonts w:ascii="Times New Roman" w:hAnsi="Times New Roman" w:cs="Times New Roman"/>
          <w:noProof/>
        </w:rPr>
        <w:tab/>
      </w:r>
      <w:r>
        <w:rPr>
          <w:noProof/>
        </w:rPr>
        <w:t xml:space="preserve">de Hoop B, Gietema H, van de Vorst S, Murphy K, van Klaveren RJ, Prokop M. Pulmonary ground-glass nodules: increase in mass as an early indicator of growth. </w:t>
      </w:r>
      <w:r>
        <w:rPr>
          <w:i/>
          <w:iCs/>
          <w:noProof/>
        </w:rPr>
        <w:t xml:space="preserve">Radiology. </w:t>
      </w:r>
      <w:r>
        <w:rPr>
          <w:noProof/>
        </w:rPr>
        <w:t>Apr 2010;255(1):199-206.</w:t>
      </w:r>
      <w:bookmarkEnd w:id="0"/>
    </w:p>
    <w:p w:rsidR="00EB46FA" w:rsidRDefault="00EB46FA">
      <w:pPr>
        <w:spacing w:after="0" w:line="240" w:lineRule="auto"/>
        <w:ind w:left="720" w:hanging="720"/>
        <w:rPr>
          <w:noProof/>
        </w:rPr>
      </w:pPr>
      <w:bookmarkStart w:id="1" w:name="_ENREF_2"/>
      <w:r>
        <w:rPr>
          <w:b/>
          <w:bCs/>
          <w:noProof/>
        </w:rPr>
        <w:t>2.</w:t>
      </w:r>
      <w:r>
        <w:rPr>
          <w:rFonts w:ascii="Times New Roman" w:hAnsi="Times New Roman" w:cs="Times New Roman"/>
          <w:noProof/>
        </w:rPr>
        <w:tab/>
      </w:r>
      <w:r>
        <w:rPr>
          <w:noProof/>
        </w:rPr>
        <w:t>Thibault G, Fertil B, Navarro C, et al. Texture Indexes and Gray Level Size Zone Matrix Application to Cell Nuclei Classification. 2009.</w:t>
      </w:r>
      <w:bookmarkEnd w:id="1"/>
    </w:p>
    <w:p w:rsidR="00EB46FA" w:rsidRDefault="00EB46FA">
      <w:pPr>
        <w:spacing w:after="0" w:line="240" w:lineRule="auto"/>
        <w:ind w:left="720" w:hanging="720"/>
        <w:rPr>
          <w:noProof/>
        </w:rPr>
      </w:pPr>
      <w:bookmarkStart w:id="2" w:name="_ENREF_3"/>
      <w:r>
        <w:rPr>
          <w:b/>
          <w:bCs/>
          <w:noProof/>
        </w:rPr>
        <w:t>3.</w:t>
      </w:r>
      <w:r>
        <w:rPr>
          <w:rFonts w:ascii="Times New Roman" w:hAnsi="Times New Roman" w:cs="Times New Roman"/>
          <w:noProof/>
        </w:rPr>
        <w:tab/>
      </w:r>
      <w:r>
        <w:rPr>
          <w:noProof/>
        </w:rPr>
        <w:t xml:space="preserve">Lee HY, Jeong JY, Lee KS, et al. Solitary pulmonary nodular lung adenocarcinoma: correlation of histopathologic scoring and patient survival with imaging biomarkers. </w:t>
      </w:r>
      <w:r>
        <w:rPr>
          <w:i/>
          <w:iCs/>
          <w:noProof/>
        </w:rPr>
        <w:t xml:space="preserve">Radiology. </w:t>
      </w:r>
      <w:r>
        <w:rPr>
          <w:noProof/>
        </w:rPr>
        <w:t>Sep 2012;264(3):884-893.</w:t>
      </w:r>
      <w:bookmarkEnd w:id="2"/>
    </w:p>
    <w:p w:rsidR="00EB46FA" w:rsidRDefault="00EB46FA">
      <w:pPr>
        <w:spacing w:after="0" w:line="240" w:lineRule="auto"/>
        <w:ind w:left="720" w:hanging="720"/>
        <w:rPr>
          <w:noProof/>
        </w:rPr>
      </w:pPr>
      <w:bookmarkStart w:id="3" w:name="_ENREF_4"/>
      <w:r>
        <w:rPr>
          <w:b/>
          <w:bCs/>
          <w:noProof/>
        </w:rPr>
        <w:t>4.</w:t>
      </w:r>
      <w:r>
        <w:rPr>
          <w:rFonts w:ascii="Times New Roman" w:hAnsi="Times New Roman" w:cs="Times New Roman"/>
          <w:noProof/>
        </w:rPr>
        <w:tab/>
      </w:r>
      <w:r>
        <w:rPr>
          <w:noProof/>
        </w:rPr>
        <w:t xml:space="preserve">Chong Y, Kim JH, Lee HY, et al. Quantitative CT variables enabling response prediction in neoadjuvant therapy with EGFR-TKIs: are they different from those in neoadjuvant concurrent chemoradiotherapy? </w:t>
      </w:r>
      <w:r>
        <w:rPr>
          <w:i/>
          <w:iCs/>
          <w:noProof/>
        </w:rPr>
        <w:t xml:space="preserve">PloS one. </w:t>
      </w:r>
      <w:r>
        <w:rPr>
          <w:noProof/>
        </w:rPr>
        <w:t>2014;9(2):e88598.</w:t>
      </w:r>
      <w:bookmarkEnd w:id="3"/>
    </w:p>
    <w:p w:rsidR="00EB46FA" w:rsidRDefault="00EB46FA">
      <w:pPr>
        <w:spacing w:after="0" w:line="240" w:lineRule="auto"/>
        <w:ind w:left="720" w:hanging="720"/>
        <w:rPr>
          <w:noProof/>
        </w:rPr>
      </w:pPr>
      <w:bookmarkStart w:id="4" w:name="_ENREF_5"/>
      <w:r>
        <w:rPr>
          <w:b/>
          <w:bCs/>
          <w:noProof/>
        </w:rPr>
        <w:t>5.</w:t>
      </w:r>
      <w:r>
        <w:rPr>
          <w:rFonts w:ascii="Times New Roman" w:hAnsi="Times New Roman" w:cs="Times New Roman"/>
          <w:noProof/>
        </w:rPr>
        <w:tab/>
      </w:r>
      <w:r>
        <w:rPr>
          <w:noProof/>
        </w:rPr>
        <w:t xml:space="preserve">Chandarana H, Rosenkrantz AB, Mussi TC, et al. Histogram analysis of whole-lesion enhancement in differentiating clear cell from papillary subtype of renal cell cancer. </w:t>
      </w:r>
      <w:r>
        <w:rPr>
          <w:i/>
          <w:iCs/>
          <w:noProof/>
        </w:rPr>
        <w:t xml:space="preserve">Radiology. </w:t>
      </w:r>
      <w:r>
        <w:rPr>
          <w:noProof/>
        </w:rPr>
        <w:t>Dec 2012;265(3):790-798.</w:t>
      </w:r>
      <w:bookmarkEnd w:id="4"/>
    </w:p>
    <w:p w:rsidR="00EB46FA" w:rsidRDefault="00EB46FA">
      <w:pPr>
        <w:spacing w:line="240" w:lineRule="auto"/>
        <w:ind w:left="720" w:hanging="720"/>
        <w:rPr>
          <w:noProof/>
        </w:rPr>
      </w:pPr>
      <w:bookmarkStart w:id="5" w:name="_ENREF_6"/>
      <w:r>
        <w:rPr>
          <w:b/>
          <w:bCs/>
          <w:noProof/>
        </w:rPr>
        <w:t>6.</w:t>
      </w:r>
      <w:r>
        <w:rPr>
          <w:rFonts w:ascii="Times New Roman" w:hAnsi="Times New Roman" w:cs="Times New Roman"/>
          <w:noProof/>
        </w:rPr>
        <w:tab/>
      </w:r>
      <w:r>
        <w:rPr>
          <w:noProof/>
        </w:rPr>
        <w:t xml:space="preserve">Haralick RM, Shanmugam K, Dinstein I. Textural features for image classification. </w:t>
      </w:r>
      <w:r>
        <w:rPr>
          <w:i/>
          <w:iCs/>
          <w:noProof/>
        </w:rPr>
        <w:t xml:space="preserve">IEEE Trans Syst Man Cybern. </w:t>
      </w:r>
      <w:r>
        <w:rPr>
          <w:noProof/>
        </w:rPr>
        <w:t>1973;3:610–621.</w:t>
      </w:r>
      <w:bookmarkEnd w:id="5"/>
    </w:p>
    <w:p w:rsidR="00EB46FA" w:rsidRDefault="00EB46FA">
      <w:pPr>
        <w:spacing w:line="240" w:lineRule="auto"/>
        <w:rPr>
          <w:rFonts w:ascii="Times New Roman" w:hAnsi="Times New Roman" w:cs="Times New Roman"/>
          <w:noProof/>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SupplementaryAppendix 4</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OS was calculated from the date of diagnosis to the date of death or last follow-up. RFS was defined from the day of first surgery until tumor progression, death, or end of follow-up. Survival analysis was estimated using the Kaplan–Meier method and compared between fusion-positive and -negative groups of patients using the log-rank test. Univariate analysis was performed, and the significance of differences in survival between the two groups was determined using the log-rank test. Cumulative survival curves and overall survival for the groups were computed according to the Kaplan–Meier method.</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w:t>
      </w:r>
      <w:bookmarkStart w:id="6" w:name="_GoBack"/>
      <w:bookmarkEnd w:id="6"/>
      <w:r>
        <w:rPr>
          <w:rFonts w:ascii="Times New Roman" w:hAnsi="Times New Roman" w:cs="Times New Roman"/>
          <w:b/>
          <w:bCs/>
          <w:sz w:val="24"/>
          <w:szCs w:val="24"/>
        </w:rPr>
        <w:t>Appendix 5</w:t>
      </w:r>
    </w:p>
    <w:p w:rsidR="00EB46FA" w:rsidRDefault="00EB46FA">
      <w:pPr>
        <w:wordWrap/>
        <w:spacing w:line="360" w:lineRule="auto"/>
        <w:rPr>
          <w:rFonts w:ascii="Times New Roman" w:hAnsi="Times New Roman" w:cs="Times New Roman"/>
          <w:sz w:val="24"/>
          <w:szCs w:val="24"/>
        </w:rPr>
      </w:pPr>
      <w:r>
        <w:rPr>
          <w:rFonts w:ascii="Times New Roman" w:hAnsi="Times New Roman" w:cs="Times New Roman"/>
          <w:sz w:val="24"/>
          <w:szCs w:val="24"/>
        </w:rPr>
        <w:t xml:space="preserve">Of the 64 patients with fusion-positive tumors, 28 </w:t>
      </w:r>
      <w:r>
        <w:rPr>
          <w:rFonts w:ascii="Times New Roman" w:hAnsi="Times New Roman" w:cs="Times New Roman"/>
          <w:i/>
          <w:iCs/>
          <w:sz w:val="24"/>
          <w:szCs w:val="24"/>
        </w:rPr>
        <w:t>ALK</w:t>
      </w:r>
      <w:r>
        <w:rPr>
          <w:rFonts w:ascii="Times New Roman" w:hAnsi="Times New Roman" w:cs="Times New Roman"/>
          <w:sz w:val="24"/>
          <w:szCs w:val="24"/>
        </w:rPr>
        <w:t xml:space="preserve"> and 16 </w:t>
      </w:r>
      <w:r>
        <w:rPr>
          <w:rFonts w:ascii="Times New Roman" w:hAnsi="Times New Roman" w:cs="Times New Roman"/>
          <w:i/>
          <w:iCs/>
          <w:sz w:val="24"/>
          <w:szCs w:val="24"/>
        </w:rPr>
        <w:t>ROS1/RET</w:t>
      </w:r>
      <w:r>
        <w:rPr>
          <w:rFonts w:ascii="Times New Roman" w:hAnsi="Times New Roman" w:cs="Times New Roman"/>
          <w:sz w:val="24"/>
          <w:szCs w:val="24"/>
        </w:rPr>
        <w:t xml:space="preserve"> fusion-positive patients underwent curative operations. The median follow-up durations were 43 and 52 months (range, 1-80 and 10-78 months, respectively) after the operation, respectively. Of the 28 </w:t>
      </w:r>
      <w:r>
        <w:rPr>
          <w:rFonts w:ascii="Times New Roman" w:hAnsi="Times New Roman" w:cs="Times New Roman"/>
          <w:i/>
          <w:iCs/>
          <w:sz w:val="24"/>
          <w:szCs w:val="24"/>
        </w:rPr>
        <w:t>ALK</w:t>
      </w:r>
      <w:r>
        <w:rPr>
          <w:rFonts w:ascii="Times New Roman" w:hAnsi="Times New Roman" w:cs="Times New Roman"/>
          <w:sz w:val="24"/>
          <w:szCs w:val="24"/>
        </w:rPr>
        <w:t xml:space="preserve"> fusion-positive patients, recurrence occurred in 12 patients (42.9%) and four patient (14.3%) died of the disease. Of the 16 patients with </w:t>
      </w:r>
      <w:r>
        <w:rPr>
          <w:rFonts w:ascii="Times New Roman" w:hAnsi="Times New Roman" w:cs="Times New Roman"/>
          <w:i/>
          <w:iCs/>
          <w:sz w:val="24"/>
          <w:szCs w:val="24"/>
        </w:rPr>
        <w:t>ROS1/RET</w:t>
      </w:r>
      <w:r>
        <w:rPr>
          <w:rFonts w:ascii="Times New Roman" w:hAnsi="Times New Roman" w:cs="Times New Roman"/>
          <w:sz w:val="24"/>
          <w:szCs w:val="24"/>
        </w:rPr>
        <w:t xml:space="preserve"> fusion-positive tumors, recurrence occurred in four patients (25%) and two patient (12.5%) died of the disease. Of the 475 patients with fusion-negative tumors, 374 patients underwent a curative operation. The mean follow-up duration was 42 months (range, 1-126 months) after the operation. Of the 374 fusion-negative patients, recurrence occurred in 142 patients (38%) and 65 patient (17.4%) died of the disease. There were no significant differences in OS and RFS between the fusion-positive and –negative patients (</w:t>
      </w:r>
      <w:r>
        <w:rPr>
          <w:rFonts w:ascii="Times New Roman" w:hAnsi="Times New Roman" w:cs="Times New Roman"/>
          <w:i/>
          <w:iCs/>
          <w:sz w:val="24"/>
          <w:szCs w:val="24"/>
        </w:rPr>
        <w:t xml:space="preserve">P </w:t>
      </w:r>
      <w:r>
        <w:rPr>
          <w:rFonts w:ascii="Times New Roman" w:hAnsi="Times New Roman" w:cs="Times New Roman"/>
          <w:sz w:val="24"/>
          <w:szCs w:val="24"/>
        </w:rPr>
        <w:t xml:space="preserve">= 0.551 and </w:t>
      </w:r>
      <w:r>
        <w:rPr>
          <w:rFonts w:ascii="Times New Roman" w:hAnsi="Times New Roman" w:cs="Times New Roman"/>
          <w:i/>
          <w:iCs/>
          <w:sz w:val="24"/>
          <w:szCs w:val="24"/>
        </w:rPr>
        <w:t xml:space="preserve">P </w:t>
      </w:r>
      <w:r>
        <w:rPr>
          <w:rFonts w:ascii="Times New Roman" w:hAnsi="Times New Roman" w:cs="Times New Roman"/>
          <w:sz w:val="24"/>
          <w:szCs w:val="24"/>
        </w:rPr>
        <w:t xml:space="preserve">= 0.739, respectively), </w:t>
      </w:r>
      <w:r>
        <w:rPr>
          <w:rFonts w:ascii="Times New Roman" w:hAnsi="Times New Roman" w:cs="Times New Roman"/>
          <w:i/>
          <w:iCs/>
          <w:sz w:val="24"/>
          <w:szCs w:val="24"/>
        </w:rPr>
        <w:t>ALK</w:t>
      </w:r>
      <w:r>
        <w:rPr>
          <w:rFonts w:ascii="Times New Roman" w:hAnsi="Times New Roman" w:cs="Times New Roman"/>
          <w:sz w:val="24"/>
          <w:szCs w:val="24"/>
        </w:rPr>
        <w:t xml:space="preserve"> fusion-positive and </w:t>
      </w:r>
      <w:r>
        <w:rPr>
          <w:rFonts w:ascii="Times New Roman" w:hAnsi="Times New Roman" w:cs="Times New Roman"/>
          <w:i/>
          <w:iCs/>
          <w:sz w:val="24"/>
          <w:szCs w:val="24"/>
        </w:rPr>
        <w:t>ALK</w:t>
      </w:r>
      <w:r>
        <w:rPr>
          <w:rFonts w:ascii="Times New Roman" w:hAnsi="Times New Roman" w:cs="Times New Roman"/>
          <w:sz w:val="24"/>
          <w:szCs w:val="24"/>
        </w:rPr>
        <w:t xml:space="preserve"> fusion-negative (</w:t>
      </w:r>
      <w:r>
        <w:rPr>
          <w:rFonts w:ascii="Times New Roman" w:hAnsi="Times New Roman" w:cs="Times New Roman"/>
          <w:i/>
          <w:iCs/>
          <w:sz w:val="24"/>
          <w:szCs w:val="24"/>
        </w:rPr>
        <w:t>P</w:t>
      </w:r>
      <w:r>
        <w:rPr>
          <w:rFonts w:ascii="Times New Roman" w:hAnsi="Times New Roman" w:cs="Times New Roman"/>
          <w:sz w:val="24"/>
          <w:szCs w:val="24"/>
        </w:rPr>
        <w:t xml:space="preserve"> = 0.784 and </w:t>
      </w:r>
      <w:r>
        <w:rPr>
          <w:rFonts w:ascii="Times New Roman" w:hAnsi="Times New Roman" w:cs="Times New Roman"/>
          <w:i/>
          <w:iCs/>
          <w:sz w:val="24"/>
          <w:szCs w:val="24"/>
        </w:rPr>
        <w:t>P</w:t>
      </w:r>
      <w:r>
        <w:rPr>
          <w:rFonts w:ascii="Times New Roman" w:hAnsi="Times New Roman" w:cs="Times New Roman"/>
          <w:sz w:val="24"/>
          <w:szCs w:val="24"/>
        </w:rPr>
        <w:t xml:space="preserve"> = 0.544, respectively), and </w:t>
      </w:r>
      <w:r>
        <w:rPr>
          <w:rFonts w:ascii="Times New Roman" w:hAnsi="Times New Roman" w:cs="Times New Roman"/>
          <w:i/>
          <w:iCs/>
          <w:sz w:val="24"/>
          <w:szCs w:val="24"/>
        </w:rPr>
        <w:t>ROS1/RET</w:t>
      </w:r>
      <w:r>
        <w:rPr>
          <w:rFonts w:ascii="Times New Roman" w:hAnsi="Times New Roman" w:cs="Times New Roman"/>
          <w:sz w:val="24"/>
          <w:szCs w:val="24"/>
        </w:rPr>
        <w:t xml:space="preserve"> fusion-positive and </w:t>
      </w:r>
      <w:r>
        <w:rPr>
          <w:rFonts w:ascii="Times New Roman" w:hAnsi="Times New Roman" w:cs="Times New Roman"/>
          <w:i/>
          <w:iCs/>
          <w:sz w:val="24"/>
          <w:szCs w:val="24"/>
        </w:rPr>
        <w:t>ROS1/RET</w:t>
      </w:r>
      <w:r>
        <w:rPr>
          <w:rFonts w:ascii="Times New Roman" w:hAnsi="Times New Roman" w:cs="Times New Roman"/>
          <w:sz w:val="24"/>
          <w:szCs w:val="24"/>
        </w:rPr>
        <w:t xml:space="preserve"> fusion-negative patients (</w:t>
      </w:r>
      <w:r>
        <w:rPr>
          <w:rFonts w:ascii="Times New Roman" w:hAnsi="Times New Roman" w:cs="Times New Roman"/>
          <w:i/>
          <w:iCs/>
          <w:sz w:val="24"/>
          <w:szCs w:val="24"/>
        </w:rPr>
        <w:t xml:space="preserve">P </w:t>
      </w:r>
      <w:r>
        <w:rPr>
          <w:rFonts w:ascii="Times New Roman" w:hAnsi="Times New Roman" w:cs="Times New Roman"/>
          <w:sz w:val="24"/>
          <w:szCs w:val="24"/>
        </w:rPr>
        <w:t xml:space="preserve">= 0.563 and </w:t>
      </w:r>
      <w:r>
        <w:rPr>
          <w:rFonts w:ascii="Times New Roman" w:hAnsi="Times New Roman" w:cs="Times New Roman"/>
          <w:i/>
          <w:iCs/>
          <w:sz w:val="24"/>
          <w:szCs w:val="24"/>
        </w:rPr>
        <w:t xml:space="preserve">P </w:t>
      </w:r>
      <w:r>
        <w:rPr>
          <w:rFonts w:ascii="Times New Roman" w:hAnsi="Times New Roman" w:cs="Times New Roman"/>
          <w:sz w:val="24"/>
          <w:szCs w:val="24"/>
        </w:rPr>
        <w:t xml:space="preserve">= 0.230, respectively). Kaplan-Meier survival curves and corresponding </w:t>
      </w:r>
      <w:r>
        <w:rPr>
          <w:rFonts w:ascii="Times New Roman" w:hAnsi="Times New Roman" w:cs="Times New Roman"/>
          <w:i/>
          <w:iCs/>
          <w:sz w:val="24"/>
          <w:szCs w:val="24"/>
        </w:rPr>
        <w:t>P</w:t>
      </w:r>
      <w:r>
        <w:rPr>
          <w:rFonts w:ascii="Times New Roman" w:hAnsi="Times New Roman" w:cs="Times New Roman"/>
          <w:sz w:val="24"/>
          <w:szCs w:val="24"/>
        </w:rPr>
        <w:t>-values are shown in Supplementary Figure 3.</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color w:val="000000"/>
          <w:kern w:val="0"/>
          <w:sz w:val="24"/>
          <w:szCs w:val="24"/>
        </w:rPr>
        <w:t>Supplementary Figure 1</w:t>
      </w:r>
      <w:r>
        <w:rPr>
          <w:rFonts w:ascii="Times New Roman" w:hAnsi="Times New Roman" w:cs="Times New Roman"/>
          <w:b/>
          <w:bCs/>
          <w:sz w:val="24"/>
          <w:szCs w:val="24"/>
        </w:rPr>
        <w:t xml:space="preserve">: </w:t>
      </w:r>
      <w:r>
        <w:rPr>
          <w:rFonts w:ascii="Times New Roman" w:hAnsi="Times New Roman" w:cs="Times New Roman"/>
          <w:sz w:val="24"/>
          <w:szCs w:val="24"/>
        </w:rPr>
        <w:t>Examples of CT images showing typical qualitative features of lung adenocarcinomas.</w: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1) Solidity</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 xml:space="preserve">     (A) Solid              (B) Part- or non-solid </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2) Location </w:t>
      </w:r>
      <w:r>
        <w:rPr>
          <w:rFonts w:ascii="Times New Roman" w:hAnsi="Times New Roman" w:cs="Times New Roman"/>
          <w:sz w:val="24"/>
          <w:szCs w:val="24"/>
        </w:rPr>
        <w:t xml:space="preserve">(Central or peripheral)  </w:t>
      </w:r>
    </w:p>
    <w:p w:rsidR="00EB46FA" w:rsidRDefault="00EB46FA">
      <w:pPr>
        <w:spacing w:line="360" w:lineRule="auto"/>
        <w:ind w:firstLineChars="300" w:firstLine="31680"/>
        <w:rPr>
          <w:rFonts w:ascii="Times New Roman" w:hAnsi="Times New Roman" w:cs="Times New Roman"/>
          <w:sz w:val="24"/>
          <w:szCs w:val="24"/>
        </w:rPr>
      </w:pPr>
      <w:r>
        <w:rPr>
          <w:rFonts w:ascii="Times New Roman" w:hAnsi="Times New Roman" w:cs="Times New Roman"/>
          <w:sz w:val="24"/>
          <w:szCs w:val="24"/>
        </w:rPr>
        <w:t>(A) Central</w:t>
      </w:r>
      <w:r>
        <w:rPr>
          <w:rFonts w:ascii="Times New Roman" w:hAnsi="Times New Roman" w:cs="Times New Roman"/>
          <w:sz w:val="24"/>
          <w:szCs w:val="24"/>
          <w:vertAlign w:val="superscript"/>
        </w:rPr>
        <w:t>*</w:t>
      </w:r>
      <w:r>
        <w:rPr>
          <w:rFonts w:ascii="Times New Roman" w:hAnsi="Times New Roman" w:cs="Times New Roman"/>
          <w:sz w:val="24"/>
          <w:szCs w:val="24"/>
        </w:rPr>
        <w:t xml:space="preserve">            (B) Peripheral</w:t>
      </w: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Central = medial to midclavicular line</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3) Lymphangitic metastasis</w:t>
      </w:r>
    </w:p>
    <w:p w:rsidR="00EB46FA" w:rsidRDefault="00EB46FA">
      <w:pPr>
        <w:spacing w:line="360" w:lineRule="auto"/>
        <w:ind w:firstLineChars="300" w:firstLine="31680"/>
        <w:rPr>
          <w:rFonts w:ascii="Times New Roman" w:hAnsi="Times New Roman" w:cs="Times New Roman"/>
          <w:sz w:val="24"/>
          <w:szCs w:val="24"/>
        </w:rPr>
      </w:pPr>
      <w:r>
        <w:rPr>
          <w:rFonts w:ascii="Times New Roman" w:hAnsi="Times New Roman" w:cs="Times New Roman"/>
          <w:sz w:val="24"/>
          <w:szCs w:val="24"/>
        </w:rPr>
        <w:t>(A) Yes                (B) No</w:t>
      </w:r>
    </w:p>
    <w:p w:rsidR="00EB46FA" w:rsidRDefault="00EB46FA">
      <w:pPr>
        <w:spacing w:line="360" w:lineRule="auto"/>
        <w:rPr>
          <w:rFonts w:ascii="Times New Roman" w:hAnsi="Times New Roman" w:cs="Times New Roman"/>
          <w:sz w:val="24"/>
          <w:szCs w:val="24"/>
        </w:rPr>
      </w:pPr>
    </w:p>
    <w:p w:rsidR="00EB46FA" w:rsidRDefault="00EB46FA">
      <w:pPr>
        <w:spacing w:line="360" w:lineRule="auto"/>
        <w:rPr>
          <w:rFonts w:ascii="Times New Roman" w:hAnsi="Times New Roman" w:cs="Times New Roman"/>
          <w:b/>
          <w:bCs/>
          <w:sz w:val="24"/>
          <w:szCs w:val="24"/>
        </w:rPr>
      </w:pPr>
      <w:r>
        <w:rPr>
          <w:rFonts w:ascii="Times New Roman" w:hAnsi="Times New Roman" w:cs="Times New Roman"/>
          <w:b/>
          <w:bCs/>
          <w:sz w:val="24"/>
          <w:szCs w:val="24"/>
        </w:rPr>
        <w:t>4) Pleural effusion</w:t>
      </w:r>
    </w:p>
    <w:p w:rsidR="00EB46FA" w:rsidRDefault="00EB46FA">
      <w:pPr>
        <w:spacing w:line="360" w:lineRule="auto"/>
        <w:ind w:firstLineChars="150" w:firstLine="31680"/>
        <w:rPr>
          <w:rFonts w:ascii="Times New Roman" w:hAnsi="Times New Roman" w:cs="Times New Roman"/>
          <w:sz w:val="24"/>
          <w:szCs w:val="24"/>
        </w:rPr>
      </w:pPr>
      <w:r>
        <w:rPr>
          <w:rFonts w:ascii="Times New Roman" w:hAnsi="Times New Roman" w:cs="Times New Roman"/>
          <w:sz w:val="24"/>
          <w:szCs w:val="24"/>
        </w:rPr>
        <w:t>(A) No             (B) Small           (C) Moderate          (D) Large</w:t>
      </w:r>
    </w:p>
    <w:p w:rsidR="00EB46FA" w:rsidRDefault="00EB46FA">
      <w:pPr>
        <w:widowControl/>
        <w:wordWrap/>
        <w:autoSpaceDE/>
        <w:autoSpaceDN/>
        <w:spacing w:after="0" w:line="360" w:lineRule="auto"/>
        <w:jc w:val="left"/>
        <w:rPr>
          <w:rFonts w:ascii="Times New Roman" w:hAnsi="Times New Roman" w:cs="Times New Roman"/>
          <w:b/>
          <w:bCs/>
          <w:color w:val="000000"/>
          <w:kern w:val="0"/>
          <w:sz w:val="24"/>
          <w:szCs w:val="24"/>
        </w:rPr>
      </w:pPr>
    </w:p>
    <w:p w:rsidR="00EB46FA" w:rsidRDefault="00EB46FA">
      <w:pPr>
        <w:widowControl/>
        <w:wordWrap/>
        <w:autoSpaceDE/>
        <w:autoSpaceDN/>
        <w:spacing w:after="0" w:line="360" w:lineRule="auto"/>
        <w:jc w:val="left"/>
        <w:rPr>
          <w:rFonts w:ascii="Times New Roman" w:hAnsi="Times New Roman" w:cs="Times New Roman"/>
          <w:b/>
          <w:bCs/>
          <w:color w:val="000000"/>
          <w:kern w:val="0"/>
          <w:sz w:val="24"/>
          <w:szCs w:val="24"/>
        </w:rPr>
      </w:pPr>
    </w:p>
    <w:p w:rsidR="00EB46FA" w:rsidRDefault="00EB46FA">
      <w:pPr>
        <w:spacing w:line="360" w:lineRule="auto"/>
        <w:jc w:val="left"/>
        <w:rPr>
          <w:rFonts w:ascii="Times New Roman" w:hAnsi="Times New Roman" w:cs="Times New Roman"/>
          <w:b/>
          <w:bCs/>
          <w:sz w:val="24"/>
          <w:szCs w:val="24"/>
        </w:rPr>
      </w:pPr>
      <w:r>
        <w:rPr>
          <w:rFonts w:ascii="Times New Roman" w:hAnsi="Times New Roman" w:cs="Times New Roman"/>
          <w:b/>
          <w:bCs/>
          <w:color w:val="000000"/>
          <w:kern w:val="0"/>
          <w:sz w:val="24"/>
          <w:szCs w:val="24"/>
        </w:rPr>
        <w:t xml:space="preserve">Supplementary Figure 2 </w: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spectrum of concurrent </w:t>
      </w:r>
      <w:r>
        <w:rPr>
          <w:rFonts w:ascii="Times New Roman" w:hAnsi="Times New Roman" w:cs="Times New Roman"/>
          <w:i/>
          <w:iCs/>
          <w:sz w:val="24"/>
          <w:szCs w:val="24"/>
        </w:rPr>
        <w:t>EGFR/KRAS</w:t>
      </w:r>
      <w:r>
        <w:rPr>
          <w:rFonts w:ascii="Times New Roman" w:hAnsi="Times New Roman" w:cs="Times New Roman"/>
          <w:sz w:val="24"/>
          <w:szCs w:val="24"/>
        </w:rPr>
        <w:t xml:space="preserve"> mutational status in the </w:t>
      </w:r>
      <w:r>
        <w:rPr>
          <w:rFonts w:ascii="Times New Roman" w:hAnsi="Times New Roman" w:cs="Times New Roman"/>
          <w:i/>
          <w:iCs/>
          <w:sz w:val="24"/>
          <w:szCs w:val="24"/>
        </w:rPr>
        <w:t>ALK, ROS1/RET</w:t>
      </w:r>
      <w:r>
        <w:rPr>
          <w:rFonts w:ascii="Times New Roman" w:hAnsi="Times New Roman" w:cs="Times New Roman"/>
          <w:sz w:val="24"/>
          <w:szCs w:val="24"/>
        </w:rPr>
        <w:t xml:space="preserve"> fusion-positive and fusion-negative groups. Out of 539 lung adenocarcinoma patients, 47 patients were </w:t>
      </w:r>
      <w:r>
        <w:rPr>
          <w:rFonts w:ascii="Times New Roman" w:hAnsi="Times New Roman" w:cs="Times New Roman"/>
          <w:i/>
          <w:iCs/>
          <w:sz w:val="24"/>
          <w:szCs w:val="24"/>
        </w:rPr>
        <w:t>ALK</w:t>
      </w:r>
      <w:r>
        <w:rPr>
          <w:rFonts w:ascii="Times New Roman" w:hAnsi="Times New Roman" w:cs="Times New Roman"/>
          <w:sz w:val="24"/>
          <w:szCs w:val="24"/>
        </w:rPr>
        <w:t xml:space="preserve"> fusion-positive (8.7%), 17 patients were </w:t>
      </w:r>
      <w:r>
        <w:rPr>
          <w:rFonts w:ascii="Times New Roman" w:hAnsi="Times New Roman" w:cs="Times New Roman"/>
          <w:i/>
          <w:iCs/>
          <w:sz w:val="24"/>
          <w:szCs w:val="24"/>
        </w:rPr>
        <w:t>ROS1/RET</w:t>
      </w:r>
      <w:r>
        <w:rPr>
          <w:rFonts w:ascii="Times New Roman" w:hAnsi="Times New Roman" w:cs="Times New Roman"/>
          <w:sz w:val="24"/>
          <w:szCs w:val="24"/>
        </w:rPr>
        <w:t xml:space="preserve"> fusion-positive (3.2%), and 475 were fusion-negative (88.1%). </w:t>
      </w:r>
      <w:r>
        <w:rPr>
          <w:rFonts w:ascii="Times New Roman" w:hAnsi="Times New Roman" w:cs="Times New Roman"/>
          <w:i/>
          <w:iCs/>
          <w:sz w:val="24"/>
          <w:szCs w:val="24"/>
        </w:rPr>
        <w:t>ALK/ROS1/RET</w:t>
      </w:r>
      <w:r>
        <w:rPr>
          <w:rFonts w:ascii="Times New Roman" w:hAnsi="Times New Roman" w:cs="Times New Roman"/>
          <w:sz w:val="24"/>
          <w:szCs w:val="24"/>
        </w:rPr>
        <w:t xml:space="preserve"> fusions were mutually exclusive. In the </w:t>
      </w:r>
      <w:r>
        <w:rPr>
          <w:rFonts w:ascii="Times New Roman" w:hAnsi="Times New Roman" w:cs="Times New Roman"/>
          <w:i/>
          <w:iCs/>
          <w:sz w:val="24"/>
          <w:szCs w:val="24"/>
        </w:rPr>
        <w:t>ALK</w:t>
      </w:r>
      <w:r>
        <w:rPr>
          <w:rFonts w:ascii="Times New Roman" w:hAnsi="Times New Roman" w:cs="Times New Roman"/>
          <w:sz w:val="24"/>
          <w:szCs w:val="24"/>
        </w:rPr>
        <w:t xml:space="preserve"> fusion-positive group, one patient had a concurrent </w:t>
      </w:r>
      <w:r>
        <w:rPr>
          <w:rFonts w:ascii="Times New Roman" w:hAnsi="Times New Roman" w:cs="Times New Roman"/>
          <w:i/>
          <w:iCs/>
          <w:sz w:val="24"/>
          <w:szCs w:val="24"/>
        </w:rPr>
        <w:t>EGFR</w:t>
      </w:r>
      <w:r>
        <w:rPr>
          <w:rFonts w:ascii="Times New Roman" w:hAnsi="Times New Roman" w:cs="Times New Roman"/>
          <w:sz w:val="24"/>
          <w:szCs w:val="24"/>
        </w:rPr>
        <w:t xml:space="preserve"> mutation. In the </w:t>
      </w:r>
      <w:r>
        <w:rPr>
          <w:rFonts w:ascii="Times New Roman" w:hAnsi="Times New Roman" w:cs="Times New Roman"/>
          <w:i/>
          <w:iCs/>
          <w:sz w:val="24"/>
          <w:szCs w:val="24"/>
        </w:rPr>
        <w:t>ROS1/RET</w:t>
      </w:r>
      <w:r>
        <w:rPr>
          <w:rFonts w:ascii="Times New Roman" w:hAnsi="Times New Roman" w:cs="Times New Roman"/>
          <w:sz w:val="24"/>
          <w:szCs w:val="24"/>
        </w:rPr>
        <w:t xml:space="preserve"> fusion-positive group, one patient had a concurrent </w:t>
      </w:r>
      <w:r>
        <w:rPr>
          <w:rFonts w:ascii="Times New Roman" w:hAnsi="Times New Roman" w:cs="Times New Roman"/>
          <w:i/>
          <w:iCs/>
          <w:sz w:val="24"/>
          <w:szCs w:val="24"/>
        </w:rPr>
        <w:t>EGFR</w:t>
      </w:r>
      <w:r>
        <w:rPr>
          <w:rFonts w:ascii="Times New Roman" w:hAnsi="Times New Roman" w:cs="Times New Roman"/>
          <w:sz w:val="24"/>
          <w:szCs w:val="24"/>
        </w:rPr>
        <w:t xml:space="preserve"> mutation. In the fusion-negative group, 167 patients had concurrent </w:t>
      </w:r>
      <w:r>
        <w:rPr>
          <w:rFonts w:ascii="Times New Roman" w:hAnsi="Times New Roman" w:cs="Times New Roman"/>
          <w:i/>
          <w:iCs/>
          <w:sz w:val="24"/>
          <w:szCs w:val="24"/>
        </w:rPr>
        <w:t>EGFR</w:t>
      </w:r>
      <w:r>
        <w:rPr>
          <w:rFonts w:ascii="Times New Roman" w:hAnsi="Times New Roman" w:cs="Times New Roman"/>
          <w:sz w:val="24"/>
          <w:szCs w:val="24"/>
        </w:rPr>
        <w:t xml:space="preserve"> mutations. </w: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Supplementary Figure 3</w:t>
      </w:r>
    </w:p>
    <w:p w:rsidR="00EB46FA" w:rsidRDefault="00EB46FA">
      <w:pPr>
        <w:spacing w:line="360" w:lineRule="auto"/>
        <w:rPr>
          <w:rFonts w:ascii="Times New Roman" w:hAnsi="Times New Roman" w:cs="Times New Roman"/>
          <w:b/>
          <w:bCs/>
          <w:color w:val="000000"/>
          <w:kern w:val="0"/>
          <w:sz w:val="24"/>
          <w:szCs w:val="24"/>
        </w:rPr>
      </w:pPr>
    </w:p>
    <w:p w:rsidR="00EB46FA" w:rsidRDefault="00EB46FA">
      <w:pPr>
        <w:spacing w:line="36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Kaplan–Meier survival curves of overall survival (OS) and recurrence-free survival (RFS) according to fusion status. There were no significant differences in OS (A) and RFS (B) between the fusion-positive and -negative patients (P = 0.551 and P = 0.739, respectively), </w:t>
      </w:r>
      <w:r>
        <w:rPr>
          <w:rFonts w:ascii="Times New Roman" w:hAnsi="Times New Roman" w:cs="Times New Roman"/>
          <w:i/>
          <w:iCs/>
          <w:color w:val="000000"/>
          <w:kern w:val="0"/>
          <w:sz w:val="24"/>
          <w:szCs w:val="24"/>
        </w:rPr>
        <w:t>ALK</w:t>
      </w:r>
      <w:r>
        <w:rPr>
          <w:rFonts w:ascii="Times New Roman" w:hAnsi="Times New Roman" w:cs="Times New Roman"/>
          <w:sz w:val="24"/>
          <w:szCs w:val="24"/>
        </w:rPr>
        <w:t xml:space="preserve"> fusion-positive</w:t>
      </w:r>
      <w:r>
        <w:rPr>
          <w:rFonts w:ascii="Times New Roman" w:hAnsi="Times New Roman" w:cs="Times New Roman"/>
          <w:color w:val="000000"/>
          <w:kern w:val="0"/>
          <w:sz w:val="24"/>
          <w:szCs w:val="24"/>
        </w:rPr>
        <w:t xml:space="preserve"> and </w:t>
      </w:r>
      <w:r>
        <w:rPr>
          <w:rFonts w:ascii="Times New Roman" w:hAnsi="Times New Roman" w:cs="Times New Roman"/>
          <w:i/>
          <w:iCs/>
          <w:color w:val="000000"/>
          <w:kern w:val="0"/>
          <w:sz w:val="24"/>
          <w:szCs w:val="24"/>
        </w:rPr>
        <w:t>ALK</w:t>
      </w:r>
      <w:r>
        <w:rPr>
          <w:rFonts w:ascii="Times New Roman" w:hAnsi="Times New Roman" w:cs="Times New Roman"/>
          <w:sz w:val="24"/>
          <w:szCs w:val="24"/>
        </w:rPr>
        <w:t>fusion-negative</w:t>
      </w:r>
      <w:r>
        <w:rPr>
          <w:rFonts w:ascii="Times New Roman" w:hAnsi="Times New Roman" w:cs="Times New Roman"/>
          <w:color w:val="000000"/>
          <w:kern w:val="0"/>
          <w:sz w:val="24"/>
          <w:szCs w:val="24"/>
        </w:rPr>
        <w:t xml:space="preserve"> (P = 0.784 and P = 0.544, respectively), and </w:t>
      </w:r>
      <w:r>
        <w:rPr>
          <w:rFonts w:ascii="Times New Roman" w:hAnsi="Times New Roman" w:cs="Times New Roman"/>
          <w:i/>
          <w:iCs/>
          <w:color w:val="000000"/>
          <w:kern w:val="0"/>
          <w:sz w:val="24"/>
          <w:szCs w:val="24"/>
        </w:rPr>
        <w:t>ROS1/RET</w:t>
      </w:r>
      <w:r>
        <w:rPr>
          <w:rFonts w:ascii="Times New Roman" w:hAnsi="Times New Roman" w:cs="Times New Roman"/>
          <w:sz w:val="24"/>
          <w:szCs w:val="24"/>
        </w:rPr>
        <w:t xml:space="preserve"> fusion-positive</w:t>
      </w:r>
      <w:r>
        <w:rPr>
          <w:rFonts w:ascii="Times New Roman" w:hAnsi="Times New Roman" w:cs="Times New Roman"/>
          <w:color w:val="000000"/>
          <w:kern w:val="0"/>
          <w:sz w:val="24"/>
          <w:szCs w:val="24"/>
        </w:rPr>
        <w:t xml:space="preserve"> and </w:t>
      </w:r>
      <w:r>
        <w:rPr>
          <w:rFonts w:ascii="Times New Roman" w:hAnsi="Times New Roman" w:cs="Times New Roman"/>
          <w:i/>
          <w:iCs/>
          <w:color w:val="000000"/>
          <w:kern w:val="0"/>
          <w:sz w:val="24"/>
          <w:szCs w:val="24"/>
        </w:rPr>
        <w:t>ROS1/RET</w:t>
      </w:r>
      <w:r>
        <w:rPr>
          <w:rFonts w:ascii="Times New Roman" w:hAnsi="Times New Roman" w:cs="Times New Roman"/>
          <w:sz w:val="24"/>
          <w:szCs w:val="24"/>
        </w:rPr>
        <w:t xml:space="preserve"> fusion-negative</w:t>
      </w:r>
      <w:r>
        <w:rPr>
          <w:rFonts w:ascii="Times New Roman" w:hAnsi="Times New Roman" w:cs="Times New Roman"/>
          <w:color w:val="000000"/>
          <w:kern w:val="0"/>
          <w:sz w:val="24"/>
          <w:szCs w:val="24"/>
        </w:rPr>
        <w:t xml:space="preserve"> patients (P = 0.563 and P = 0.230, respectively). </w:t>
      </w:r>
      <w:r>
        <w:rPr>
          <w:rFonts w:ascii="Times New Roman" w:hAnsi="Times New Roman" w:cs="Times New Roman"/>
          <w:i/>
          <w:iCs/>
          <w:color w:val="000000"/>
          <w:kern w:val="0"/>
          <w:sz w:val="24"/>
          <w:szCs w:val="24"/>
        </w:rPr>
        <w:t>ALK</w:t>
      </w:r>
      <w:r>
        <w:rPr>
          <w:rFonts w:ascii="Times New Roman" w:hAnsi="Times New Roman" w:cs="Times New Roman"/>
          <w:color w:val="000000"/>
          <w:kern w:val="0"/>
          <w:sz w:val="24"/>
          <w:szCs w:val="24"/>
        </w:rPr>
        <w:t xml:space="preserve"> = anaplastic lymphoma kinase; </w:t>
      </w:r>
      <w:r>
        <w:rPr>
          <w:rFonts w:ascii="Times New Roman" w:hAnsi="Times New Roman" w:cs="Times New Roman"/>
          <w:i/>
          <w:iCs/>
          <w:color w:val="000000"/>
          <w:kern w:val="0"/>
          <w:sz w:val="24"/>
          <w:szCs w:val="24"/>
        </w:rPr>
        <w:t>ROS1</w:t>
      </w:r>
      <w:r>
        <w:rPr>
          <w:rFonts w:ascii="Times New Roman" w:hAnsi="Times New Roman" w:cs="Times New Roman"/>
          <w:color w:val="000000"/>
          <w:kern w:val="0"/>
          <w:sz w:val="24"/>
          <w:szCs w:val="24"/>
        </w:rPr>
        <w:t xml:space="preserve"> = c-ros oncogene 1; </w:t>
      </w:r>
      <w:r>
        <w:rPr>
          <w:rFonts w:ascii="Times New Roman" w:hAnsi="Times New Roman" w:cs="Times New Roman"/>
          <w:i/>
          <w:iCs/>
          <w:color w:val="000000"/>
          <w:kern w:val="0"/>
          <w:sz w:val="24"/>
          <w:szCs w:val="24"/>
        </w:rPr>
        <w:t>RET</w:t>
      </w:r>
      <w:r>
        <w:rPr>
          <w:rFonts w:ascii="Times New Roman" w:hAnsi="Times New Roman" w:cs="Times New Roman"/>
          <w:color w:val="000000"/>
          <w:kern w:val="0"/>
          <w:sz w:val="24"/>
          <w:szCs w:val="24"/>
        </w:rPr>
        <w:t xml:space="preserve"> = rearranged during transfection; </w:t>
      </w:r>
      <w:r>
        <w:rPr>
          <w:rFonts w:ascii="Times New Roman" w:hAnsi="Times New Roman" w:cs="Times New Roman"/>
          <w:i/>
          <w:iCs/>
          <w:color w:val="000000"/>
          <w:kern w:val="0"/>
          <w:sz w:val="24"/>
          <w:szCs w:val="24"/>
        </w:rPr>
        <w:t>ALK</w:t>
      </w:r>
      <w:r>
        <w:rPr>
          <w:rFonts w:ascii="Times New Roman" w:hAnsi="Times New Roman" w:cs="Times New Roman"/>
          <w:color w:val="000000"/>
          <w:kern w:val="0"/>
          <w:sz w:val="24"/>
          <w:szCs w:val="24"/>
        </w:rPr>
        <w:t xml:space="preserve">+ = ALK fusion-positive; </w:t>
      </w:r>
      <w:r>
        <w:rPr>
          <w:rFonts w:ascii="Times New Roman" w:hAnsi="Times New Roman" w:cs="Times New Roman"/>
          <w:i/>
          <w:iCs/>
          <w:color w:val="000000"/>
          <w:kern w:val="0"/>
          <w:sz w:val="24"/>
          <w:szCs w:val="24"/>
        </w:rPr>
        <w:t>ROS1/RET</w:t>
      </w:r>
      <w:r>
        <w:rPr>
          <w:rFonts w:ascii="Times New Roman" w:hAnsi="Times New Roman" w:cs="Times New Roman"/>
          <w:color w:val="000000"/>
          <w:kern w:val="0"/>
          <w:sz w:val="24"/>
          <w:szCs w:val="24"/>
        </w:rPr>
        <w:t xml:space="preserve">+ = </w:t>
      </w:r>
      <w:r>
        <w:rPr>
          <w:rFonts w:ascii="Times New Roman" w:hAnsi="Times New Roman" w:cs="Times New Roman"/>
          <w:i/>
          <w:iCs/>
          <w:color w:val="000000"/>
          <w:kern w:val="0"/>
          <w:sz w:val="24"/>
          <w:szCs w:val="24"/>
        </w:rPr>
        <w:t xml:space="preserve">ROS1/RET </w:t>
      </w:r>
      <w:r>
        <w:rPr>
          <w:rFonts w:ascii="Times New Roman" w:hAnsi="Times New Roman" w:cs="Times New Roman"/>
          <w:color w:val="000000"/>
          <w:kern w:val="0"/>
          <w:sz w:val="24"/>
          <w:szCs w:val="24"/>
        </w:rPr>
        <w:t>fusion-positive</w: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66.5pt">
            <v:imagedata r:id="rId6" o:title="S-Figure 1_1)_A"/>
          </v:shape>
        </w:pict>
      </w:r>
    </w:p>
    <w:p w:rsidR="00EB46FA" w:rsidRDefault="00EB46FA">
      <w:pPr>
        <w:spacing w:line="360" w:lineRule="auto"/>
        <w:rPr>
          <w:rFonts w:ascii="Times New Roman" w:hAnsi="Times New Roman" w:cs="Times New Roman"/>
          <w:b/>
          <w:bCs/>
          <w:sz w:val="24"/>
          <w:szCs w:val="24"/>
        </w:rPr>
      </w:pP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26" type="#_x0000_t75" style="width:107.25pt;height:167.25pt">
            <v:imagedata r:id="rId7" o:title="S-Figure 1_1)_B"/>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27" type="#_x0000_t75" style="width:145.5pt;height:213pt">
            <v:imagedata r:id="rId8" o:title="S-Figure 1_2)_A"/>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28" type="#_x0000_t75" style="width:120.75pt;height:175.5pt">
            <v:imagedata r:id="rId9" o:title="S-Figure 1_2)_B"/>
          </v:shape>
        </w:pict>
      </w: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29" type="#_x0000_t75" style="width:103.5pt;height:159.75pt">
            <v:imagedata r:id="rId10" o:title="S-Figure 1_3)_A"/>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30" type="#_x0000_t75" style="width:119.25pt;height:192pt">
            <v:imagedata r:id="rId11" o:title="S-Figure 1_3)_B"/>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31" type="#_x0000_t75" style="width:118.5pt;height:165.75pt">
            <v:imagedata r:id="rId12" o:title="S-Figure 1_4)_A"/>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32" type="#_x0000_t75" style="width:113.25pt;height:179.25pt">
            <v:imagedata r:id="rId13" o:title="S-Figure 1_4)_B"/>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33" type="#_x0000_t75" style="width:132.75pt;height:192pt">
            <v:imagedata r:id="rId14" o:title="S-Figure 1_4)_C"/>
          </v:shape>
        </w:pict>
      </w:r>
    </w:p>
    <w:p w:rsidR="00EB46FA" w:rsidRDefault="00EB46FA">
      <w:pPr>
        <w:spacing w:line="360" w:lineRule="auto"/>
        <w:rPr>
          <w:rFonts w:ascii="Times New Roman" w:hAnsi="Times New Roman" w:cs="Times New Roman"/>
        </w:rPr>
      </w:pPr>
    </w:p>
    <w:p w:rsidR="00EB46FA" w:rsidRDefault="00EB46FA">
      <w:pPr>
        <w:spacing w:line="360" w:lineRule="auto"/>
        <w:rPr>
          <w:rFonts w:ascii="Times New Roman" w:hAnsi="Times New Roman" w:cs="Times New Roman"/>
        </w:rPr>
      </w:pPr>
    </w:p>
    <w:p w:rsidR="00EB46FA" w:rsidRDefault="00EB46FA">
      <w:pPr>
        <w:spacing w:line="360" w:lineRule="auto"/>
        <w:jc w:val="center"/>
        <w:rPr>
          <w:rFonts w:ascii="Times New Roman" w:hAnsi="Times New Roman" w:cs="Times New Roman"/>
        </w:rPr>
      </w:pPr>
      <w:r>
        <w:rPr>
          <w:rFonts w:ascii="Times New Roman" w:hAnsi="Times New Roman" w:cs="Times New Roman"/>
        </w:rPr>
        <w:pict>
          <v:shape id="_x0000_i1034" type="#_x0000_t75" style="width:113.25pt;height:195pt">
            <v:imagedata r:id="rId15" o:title="S-Figure 1_4)_D"/>
          </v:shape>
        </w:pict>
      </w:r>
    </w:p>
    <w:p w:rsidR="00EB46FA" w:rsidRDefault="00EB46FA">
      <w:pPr>
        <w:rPr>
          <w:rFonts w:ascii="Times New Roman" w:hAnsi="Times New Roman" w:cs="Times New Roman"/>
        </w:rPr>
      </w:pPr>
      <w:r>
        <w:rPr>
          <w:rFonts w:cstheme="minorBidi"/>
        </w:rPr>
        <w:br w:type="page"/>
      </w:r>
    </w:p>
    <w:tbl>
      <w:tblPr>
        <w:tblpPr w:leftFromText="142" w:rightFromText="142" w:vertAnchor="text" w:horzAnchor="margin" w:tblpX="99" w:tblpY="56"/>
        <w:tblW w:w="8379" w:type="dxa"/>
        <w:tblLayout w:type="fixed"/>
        <w:tblCellMar>
          <w:left w:w="99" w:type="dxa"/>
          <w:right w:w="99" w:type="dxa"/>
        </w:tblCellMar>
        <w:tblLook w:val="0000"/>
      </w:tblPr>
      <w:tblGrid>
        <w:gridCol w:w="4239"/>
        <w:gridCol w:w="1800"/>
        <w:gridCol w:w="2340"/>
      </w:tblGrid>
      <w:tr w:rsidR="00EB46FA">
        <w:trPr>
          <w:trHeight w:val="330"/>
        </w:trPr>
        <w:tc>
          <w:tcPr>
            <w:tcW w:w="8379" w:type="dxa"/>
            <w:gridSpan w:val="3"/>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b/>
                <w:bCs/>
                <w:sz w:val="24"/>
                <w:szCs w:val="24"/>
              </w:rPr>
            </w:pPr>
            <w:r>
              <w:rPr>
                <w:rFonts w:ascii="Times New Roman" w:hAnsi="Times New Roman" w:cs="Times New Roman"/>
                <w:b/>
                <w:bCs/>
                <w:sz w:val="24"/>
                <w:szCs w:val="24"/>
              </w:rPr>
              <w:t xml:space="preserve">Supplementary Table 1 </w:t>
            </w:r>
          </w:p>
          <w:p w:rsidR="00EB46FA" w:rsidRDefault="00EB46FA">
            <w:pPr>
              <w:widowControl/>
              <w:wordWrap/>
              <w:autoSpaceDE/>
              <w:autoSpaceDN/>
              <w:spacing w:after="0" w:line="240" w:lineRule="auto"/>
              <w:jc w:val="left"/>
              <w:rPr>
                <w:rFonts w:ascii="Times New Roman" w:hAnsi="Times New Roman" w:cs="Times New Roman"/>
                <w:b/>
                <w:bCs/>
                <w:color w:val="000000"/>
                <w:kern w:val="0"/>
                <w:sz w:val="24"/>
                <w:szCs w:val="24"/>
              </w:rPr>
            </w:pPr>
          </w:p>
          <w:p w:rsidR="00EB46FA" w:rsidRDefault="00EB46FA">
            <w:pPr>
              <w:widowControl/>
              <w:wordWrap/>
              <w:autoSpaceDE/>
              <w:autoSpaceDN/>
              <w:spacing w:after="0" w:line="240" w:lineRule="auto"/>
              <w:jc w:val="left"/>
              <w:rPr>
                <w:rFonts w:ascii="Times New Roman" w:hAnsi="Times New Roman" w:cs="Times New Roman"/>
                <w:b/>
                <w:bCs/>
                <w:color w:val="000000"/>
                <w:kern w:val="0"/>
                <w:sz w:val="22"/>
                <w:szCs w:val="22"/>
              </w:rPr>
            </w:pPr>
            <w:r>
              <w:rPr>
                <w:rFonts w:ascii="Times New Roman" w:hAnsi="Times New Roman" w:cs="Times New Roman"/>
                <w:b/>
                <w:bCs/>
                <w:color w:val="000000"/>
                <w:kern w:val="0"/>
                <w:sz w:val="24"/>
                <w:szCs w:val="24"/>
              </w:rPr>
              <w:t>Comparison of Selected Variables Between Sampled Fusion-Positive (n=64) and Fusion-Negative (n=64)</w:t>
            </w:r>
          </w:p>
        </w:tc>
      </w:tr>
      <w:tr w:rsidR="00EB46FA">
        <w:trPr>
          <w:trHeight w:val="330"/>
        </w:trPr>
        <w:tc>
          <w:tcPr>
            <w:tcW w:w="4239" w:type="dxa"/>
            <w:tcBorders>
              <w:top w:val="single" w:sz="4" w:space="0" w:color="auto"/>
              <w:left w:val="nil"/>
              <w:bottom w:val="single" w:sz="4" w:space="0" w:color="auto"/>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sz w:val="22"/>
                <w:szCs w:val="22"/>
              </w:rPr>
            </w:pPr>
            <w:r>
              <w:rPr>
                <w:rFonts w:ascii="Times New Roman" w:hAnsi="Times New Roman" w:hint="eastAsia"/>
                <w:color w:val="000000"/>
                <w:kern w:val="0"/>
                <w:sz w:val="22"/>
                <w:szCs w:val="22"/>
              </w:rPr>
              <w:t xml:space="preserve">　</w:t>
            </w:r>
          </w:p>
        </w:tc>
        <w:tc>
          <w:tcPr>
            <w:tcW w:w="1800" w:type="dxa"/>
            <w:tcBorders>
              <w:top w:val="single" w:sz="4" w:space="0" w:color="auto"/>
              <w:left w:val="nil"/>
              <w:bottom w:val="single" w:sz="4" w:space="0" w:color="auto"/>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Fusion-positive</w:t>
            </w:r>
          </w:p>
        </w:tc>
        <w:tc>
          <w:tcPr>
            <w:tcW w:w="2340" w:type="dxa"/>
            <w:tcBorders>
              <w:top w:val="single" w:sz="4" w:space="0" w:color="auto"/>
              <w:left w:val="nil"/>
              <w:bottom w:val="single" w:sz="4" w:space="0" w:color="auto"/>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Fusion-negative</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Age (mean, years)</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52.9</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62.5</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Tumor stage (I/II : III/IV, n)</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27:37</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41 : 23</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Solidity (solid : part-/non-solid, n)</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60:4</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43 : 21</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Central tumor location (central</w:t>
            </w:r>
            <w:r>
              <w:rPr>
                <w:rFonts w:ascii="Times New Roman" w:hAnsi="Times New Roman" w:cs="Times New Roman"/>
                <w:color w:val="000000"/>
                <w:kern w:val="0"/>
                <w:vertAlign w:val="superscript"/>
              </w:rPr>
              <w:t>†</w:t>
            </w:r>
            <w:r>
              <w:rPr>
                <w:rFonts w:ascii="Times New Roman" w:hAnsi="Times New Roman" w:cs="Times New Roman"/>
                <w:color w:val="000000"/>
                <w:kern w:val="0"/>
              </w:rPr>
              <w:t xml:space="preserve"> : peripheral, n)</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31:33</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29 : 35</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Mass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14.25</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9.01</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Kurtosis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8.92</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13.02</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HU at the 97.5th percentile on histogram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5.18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-130.64</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Homogeneity on 1-voxel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4171.75</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2958.13</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Contrast on 1-voxel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3.98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3.30</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Contrast on 2-voxel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7.28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5.82</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Contrast on 3-voxel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9.96</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7.36</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Cluster shade on 1-voxel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3.98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3.30</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Cluster shade on 2-voxel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7.28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5.82</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Cluster shade on 3-voxel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9.96</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7.36</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Inverse variance on 2-voxel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0.38</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0.40</w:t>
            </w:r>
          </w:p>
        </w:tc>
      </w:tr>
      <w:tr w:rsidR="00EB46FA">
        <w:trPr>
          <w:trHeight w:val="330"/>
        </w:trPr>
        <w:tc>
          <w:tcPr>
            <w:tcW w:w="4239" w:type="dxa"/>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 xml:space="preserve">Inverse variance on 3-voxel distance </w:t>
            </w:r>
          </w:p>
        </w:tc>
        <w:tc>
          <w:tcPr>
            <w:tcW w:w="180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0.37</w:t>
            </w:r>
          </w:p>
        </w:tc>
        <w:tc>
          <w:tcPr>
            <w:tcW w:w="2340" w:type="dxa"/>
            <w:tcBorders>
              <w:top w:val="nil"/>
              <w:left w:val="nil"/>
              <w:bottom w:val="nil"/>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0.39</w:t>
            </w:r>
          </w:p>
        </w:tc>
      </w:tr>
      <w:tr w:rsidR="00EB46FA">
        <w:trPr>
          <w:trHeight w:val="330"/>
        </w:trPr>
        <w:tc>
          <w:tcPr>
            <w:tcW w:w="4239" w:type="dxa"/>
            <w:tcBorders>
              <w:top w:val="nil"/>
              <w:left w:val="nil"/>
              <w:bottom w:val="single" w:sz="4" w:space="0" w:color="auto"/>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SUVmax</w:t>
            </w:r>
          </w:p>
        </w:tc>
        <w:tc>
          <w:tcPr>
            <w:tcW w:w="1800" w:type="dxa"/>
            <w:tcBorders>
              <w:top w:val="nil"/>
              <w:left w:val="nil"/>
              <w:bottom w:val="single" w:sz="4" w:space="0" w:color="auto"/>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10.63</w:t>
            </w:r>
          </w:p>
        </w:tc>
        <w:tc>
          <w:tcPr>
            <w:tcW w:w="2340" w:type="dxa"/>
            <w:tcBorders>
              <w:top w:val="nil"/>
              <w:left w:val="nil"/>
              <w:bottom w:val="single" w:sz="4" w:space="0" w:color="auto"/>
              <w:right w:val="nil"/>
            </w:tcBorders>
            <w:noWrap/>
            <w:vAlign w:val="center"/>
          </w:tcPr>
          <w:p w:rsidR="00EB46FA" w:rsidRDefault="00EB46FA">
            <w:pPr>
              <w:widowControl/>
              <w:wordWrap/>
              <w:autoSpaceDE/>
              <w:autoSpaceDN/>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8.01</w:t>
            </w:r>
          </w:p>
        </w:tc>
      </w:tr>
      <w:tr w:rsidR="00EB46FA">
        <w:trPr>
          <w:trHeight w:val="330"/>
        </w:trPr>
        <w:tc>
          <w:tcPr>
            <w:tcW w:w="8379" w:type="dxa"/>
            <w:gridSpan w:val="3"/>
            <w:tcBorders>
              <w:top w:val="nil"/>
              <w:left w:val="nil"/>
              <w:bottom w:val="nil"/>
              <w:right w:val="nil"/>
            </w:tcBorders>
            <w:noWrap/>
            <w:vAlign w:val="center"/>
          </w:tcPr>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rPr>
              <w:t>Note. - All values for quantitative CT features and SUV</w:t>
            </w:r>
            <w:r>
              <w:rPr>
                <w:rFonts w:ascii="Times New Roman" w:hAnsi="Times New Roman" w:cs="Times New Roman"/>
                <w:color w:val="000000"/>
                <w:kern w:val="0"/>
                <w:vertAlign w:val="subscript"/>
              </w:rPr>
              <w:t>max</w:t>
            </w:r>
            <w:r>
              <w:rPr>
                <w:rFonts w:ascii="Times New Roman" w:hAnsi="Times New Roman" w:cs="Times New Roman"/>
                <w:color w:val="000000"/>
                <w:kern w:val="0"/>
              </w:rPr>
              <w:t xml:space="preserve"> are presented as the mean.</w:t>
            </w:r>
          </w:p>
          <w:p w:rsidR="00EB46FA" w:rsidRDefault="00EB46FA">
            <w:pPr>
              <w:widowControl/>
              <w:wordWrap/>
              <w:autoSpaceDE/>
              <w:autoSpaceDN/>
              <w:spacing w:after="0" w:line="240" w:lineRule="auto"/>
              <w:jc w:val="left"/>
              <w:rPr>
                <w:rFonts w:ascii="Times New Roman" w:hAnsi="Times New Roman" w:cs="Times New Roman"/>
                <w:color w:val="000000"/>
                <w:kern w:val="0"/>
              </w:rPr>
            </w:pPr>
            <w:r>
              <w:rPr>
                <w:rFonts w:ascii="Times New Roman" w:hAnsi="Times New Roman" w:cs="Times New Roman"/>
                <w:color w:val="000000"/>
                <w:kern w:val="0"/>
                <w:vertAlign w:val="superscript"/>
              </w:rPr>
              <w:t xml:space="preserve">† </w:t>
            </w:r>
            <w:r>
              <w:rPr>
                <w:rFonts w:ascii="Times New Roman" w:hAnsi="Times New Roman" w:cs="Times New Roman"/>
                <w:color w:val="000000"/>
                <w:kern w:val="0"/>
              </w:rPr>
              <w:t>Central = medial to midclavicular line</w:t>
            </w:r>
          </w:p>
        </w:tc>
      </w:tr>
    </w:tbl>
    <w:p w:rsidR="00EB46FA" w:rsidRDefault="00EB46FA">
      <w:pPr>
        <w:rPr>
          <w:rFonts w:ascii="Times New Roman" w:hAnsi="Times New Roman" w:cs="Times New Roman"/>
        </w:rPr>
      </w:pPr>
    </w:p>
    <w:p w:rsidR="00EB46FA" w:rsidRDefault="00EB46FA">
      <w:pPr>
        <w:spacing w:line="480" w:lineRule="auto"/>
        <w:ind w:left="720" w:hanging="720"/>
        <w:rPr>
          <w:rFonts w:ascii="Times New Roman" w:hAnsi="Times New Roman" w:cs="Times New Roman"/>
          <w:sz w:val="24"/>
          <w:szCs w:val="24"/>
        </w:rPr>
      </w:pPr>
    </w:p>
    <w:p w:rsidR="00EB46FA" w:rsidRDefault="00EB46FA">
      <w:pPr>
        <w:spacing w:line="480" w:lineRule="auto"/>
        <w:ind w:left="720" w:hanging="720"/>
        <w:rPr>
          <w:rFonts w:ascii="Times New Roman" w:hAnsi="Times New Roman" w:cs="Times New Roman"/>
          <w:sz w:val="24"/>
          <w:szCs w:val="24"/>
        </w:rPr>
      </w:pPr>
    </w:p>
    <w:p w:rsidR="00EB46FA" w:rsidRDefault="00EB46FA">
      <w:pPr>
        <w:spacing w:line="480" w:lineRule="auto"/>
        <w:ind w:left="720" w:hanging="720"/>
        <w:rPr>
          <w:rFonts w:ascii="Times New Roman" w:hAnsi="Times New Roman" w:cs="Times New Roman"/>
          <w:sz w:val="24"/>
          <w:szCs w:val="24"/>
        </w:rPr>
      </w:pPr>
    </w:p>
    <w:p w:rsidR="00EB46FA" w:rsidRDefault="00EB46FA">
      <w:pPr>
        <w:spacing w:line="480" w:lineRule="auto"/>
        <w:ind w:left="720" w:hanging="720"/>
        <w:rPr>
          <w:rFonts w:ascii="Times New Roman" w:hAnsi="Times New Roman" w:cs="Times New Roman"/>
          <w:sz w:val="24"/>
          <w:szCs w:val="24"/>
        </w:rPr>
      </w:pPr>
    </w:p>
    <w:p w:rsidR="00EB46FA" w:rsidRDefault="00EB46FA">
      <w:pPr>
        <w:rPr>
          <w:rFonts w:ascii="Times New Roman" w:hAnsi="Times New Roman" w:cs="Times New Roman"/>
        </w:rPr>
      </w:pPr>
    </w:p>
    <w:p w:rsidR="00EB46FA" w:rsidRDefault="00EB46FA">
      <w:pPr>
        <w:spacing w:line="360" w:lineRule="auto"/>
        <w:rPr>
          <w:rFonts w:cstheme="minorBidi"/>
        </w:rPr>
      </w:pPr>
    </w:p>
    <w:sectPr w:rsidR="00EB46FA" w:rsidSect="00EB46FA">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6FA" w:rsidRDefault="00EB46F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EB46FA" w:rsidRDefault="00EB46FA">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6FA" w:rsidRDefault="00EB46F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EB46FA" w:rsidRDefault="00EB46FA">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00"/>
  <w:doNotHyphenateCaps/>
  <w:displayHorizontalDrawingGridEvery w:val="0"/>
  <w:displayVertic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1&lt;/Suspended&gt;&lt;/ENInstantFormat&gt;"/>
  </w:docVars>
  <w:rsids>
    <w:rsidRoot w:val="00EB46FA"/>
    <w:rsid w:val="00EB46F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spacing w:after="160" w:line="259" w:lineRule="auto"/>
      <w:jc w:val="both"/>
    </w:pPr>
    <w:rPr>
      <w:rFonts w:ascii="Malgun Gothic" w:eastAsia="Malgun Gothic" w:hAnsi="Malgun Gothic" w:cs="Malgun Gothic"/>
      <w:kern w:val="2"/>
      <w:sz w:val="20"/>
      <w:szCs w:val="20"/>
      <w:lang w:eastAsia="ko-KR"/>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napToGrid w:val="0"/>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napToGrid w:val="0"/>
    </w:pPr>
  </w:style>
  <w:style w:type="character" w:customStyle="1" w:styleId="FooterChar">
    <w:name w:val="Footer Char"/>
    <w:basedOn w:val="DefaultParagraphFont"/>
    <w:link w:val="Footer"/>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alloonText">
    <w:name w:val="Balloon Text"/>
    <w:basedOn w:val="Normal"/>
    <w:link w:val="BalloonTextChar"/>
    <w:uiPriority w:val="99"/>
    <w:pPr>
      <w:spacing w:after="0" w:line="240" w:lineRule="auto"/>
    </w:pPr>
    <w:rPr>
      <w:sz w:val="18"/>
      <w:szCs w:val="18"/>
    </w:rPr>
  </w:style>
  <w:style w:type="character" w:customStyle="1" w:styleId="BalloonTextChar">
    <w:name w:val="Balloon Text Char"/>
    <w:basedOn w:val="DefaultParagraphFont"/>
    <w:link w:val="BalloonText"/>
    <w:uiPriority w:val="99"/>
    <w:rPr>
      <w:rFonts w:ascii="Malgun Gothic" w:eastAsia="Malgun Gothic" w:hAnsi="Malgun Gothic" w:cs="Malgun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10</Pages>
  <Words>1283</Words>
  <Characters>7317</Characters>
  <Application>Microsoft Office Outlook</Application>
  <DocSecurity>0</DocSecurity>
  <Lines>0</Lines>
  <Paragraphs>0</Paragraphs>
  <ScaleCrop>false</ScaleCrop>
  <Company>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TEESLWW</cp:lastModifiedBy>
  <cp:revision>4</cp:revision>
  <dcterms:created xsi:type="dcterms:W3CDTF">2015-07-13T14:09:00Z</dcterms:created>
  <dcterms:modified xsi:type="dcterms:W3CDTF">2015-09-22T08:16:00Z</dcterms:modified>
</cp:coreProperties>
</file>