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5pt;height:164.25pt;visibility:visible">
            <v:imagedata r:id="rId7" o:title=""/>
          </v:shape>
        </w:pict>
      </w:r>
      <w:bookmarkStart w:id="0" w:name="_GoBack"/>
      <w:bookmarkEnd w:id="0"/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5" o:spid="_x0000_i1026" type="#_x0000_t75" style="width:462.75pt;height:317.25pt;visibility:visible">
            <v:imagedata r:id="rId8" o:title=""/>
          </v:shape>
        </w:pict>
      </w:r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6" o:spid="_x0000_i1027" type="#_x0000_t75" style="width:464.25pt;height:320.25pt;visibility:visible">
            <v:imagedata r:id="rId9" o:title=""/>
          </v:shape>
        </w:pict>
      </w:r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7" o:spid="_x0000_i1028" type="#_x0000_t75" style="width:462.75pt;height:306.75pt;visibility:visible">
            <v:imagedata r:id="rId10" o:title=""/>
          </v:shape>
        </w:pict>
      </w:r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8" o:spid="_x0000_i1029" type="#_x0000_t75" style="width:464.25pt;height:314.25pt;visibility:visible">
            <v:imagedata r:id="rId11" o:title=""/>
          </v:shape>
        </w:pict>
      </w:r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9" o:spid="_x0000_i1030" type="#_x0000_t75" style="width:464.25pt;height:312.75pt;visibility:visible">
            <v:imagedata r:id="rId12" o:title=""/>
          </v:shape>
        </w:pict>
      </w:r>
    </w:p>
    <w:p w:rsidR="008050B6" w:rsidRDefault="008050B6">
      <w:pPr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Picture 10" o:spid="_x0000_i1031" type="#_x0000_t75" style="width:463.5pt;height:313.5pt;visibility:visible">
            <v:imagedata r:id="rId13" o:title=""/>
          </v:shape>
        </w:pict>
      </w:r>
    </w:p>
    <w:p w:rsidR="008050B6" w:rsidRDefault="008050B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</w:rPr>
        <w:t>Supplementary Table 2. Top ranked SNPs (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vertAlign w:val="subscript"/>
        </w:rPr>
        <w:t>meta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&lt; 10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-5</w:t>
      </w:r>
      <w:r>
        <w:rPr>
          <w:rFonts w:ascii="Times New Roman" w:hAnsi="Times New Roman" w:cs="Times New Roman"/>
          <w:b/>
          <w:bCs/>
          <w:color w:val="000000"/>
        </w:rPr>
        <w:t xml:space="preserve">) from the genome-wide meta-analysis on the sense of smell in Model 1 </w:t>
      </w:r>
      <w:r>
        <w:rPr>
          <w:rFonts w:ascii="Times New Roman" w:hAnsi="Times New Roman" w:cs="Times New Roman"/>
          <w:color w:val="000000"/>
          <w:vertAlign w:val="superscript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tbl>
      <w:tblPr>
        <w:tblW w:w="12538" w:type="dxa"/>
        <w:tblInd w:w="-106" w:type="dxa"/>
        <w:tblLayout w:type="fixed"/>
        <w:tblLook w:val="0000"/>
      </w:tblPr>
      <w:tblGrid>
        <w:gridCol w:w="1318"/>
        <w:gridCol w:w="660"/>
        <w:gridCol w:w="1320"/>
        <w:gridCol w:w="1320"/>
        <w:gridCol w:w="770"/>
        <w:gridCol w:w="660"/>
        <w:gridCol w:w="550"/>
        <w:gridCol w:w="770"/>
        <w:gridCol w:w="880"/>
        <w:gridCol w:w="770"/>
        <w:gridCol w:w="770"/>
        <w:gridCol w:w="880"/>
        <w:gridCol w:w="660"/>
        <w:gridCol w:w="1210"/>
      </w:tblGrid>
      <w:tr w:rsidR="008050B6">
        <w:trPr>
          <w:trHeight w:val="930"/>
        </w:trPr>
        <w:tc>
          <w:tcPr>
            <w:tcW w:w="1318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SNP</w:t>
            </w:r>
          </w:p>
        </w:tc>
        <w:tc>
          <w:tcPr>
            <w:tcW w:w="66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Chr.</w:t>
            </w:r>
          </w:p>
        </w:tc>
        <w:tc>
          <w:tcPr>
            <w:tcW w:w="132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Gene</w:t>
            </w:r>
          </w:p>
        </w:tc>
        <w:tc>
          <w:tcPr>
            <w:tcW w:w="132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Position</w:t>
            </w:r>
          </w:p>
        </w:tc>
        <w:tc>
          <w:tcPr>
            <w:tcW w:w="77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Score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66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A1</w:t>
            </w:r>
          </w:p>
        </w:tc>
        <w:tc>
          <w:tcPr>
            <w:tcW w:w="55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A2</w:t>
            </w:r>
          </w:p>
        </w:tc>
        <w:tc>
          <w:tcPr>
            <w:tcW w:w="77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MAF</w:t>
            </w:r>
          </w:p>
        </w:tc>
        <w:tc>
          <w:tcPr>
            <w:tcW w:w="88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Direction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c</w:t>
            </w:r>
          </w:p>
        </w:tc>
        <w:tc>
          <w:tcPr>
            <w:tcW w:w="77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(%)</w:t>
            </w:r>
          </w:p>
        </w:tc>
        <w:tc>
          <w:tcPr>
            <w:tcW w:w="77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 for Cochran’s Q</w:t>
            </w:r>
          </w:p>
        </w:tc>
        <w:tc>
          <w:tcPr>
            <w:tcW w:w="88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Effect size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d</w:t>
            </w:r>
          </w:p>
        </w:tc>
        <w:tc>
          <w:tcPr>
            <w:tcW w:w="66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s.e.</w:t>
            </w:r>
          </w:p>
        </w:tc>
        <w:tc>
          <w:tcPr>
            <w:tcW w:w="1210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8050B6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rs3751196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STAB2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102681632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2.34E-07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rs12229599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STAB2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102678505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3.15E-07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ERC2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55929255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rs199443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NSF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42174733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rs17252438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66458613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rs2075650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TOMM40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50087459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rs2251885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PRG-3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102833365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4.85E-06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rs649892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PRG-3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102834210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rs4715057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C6orf1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48061760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rs9321099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C6orf1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128243832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rs6052484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ADRA1D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4208610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rs12291225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14212760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6.92E-06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rs2245691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PRG-3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102767101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rs11174650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PPM1H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61466196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rs2732614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KIAA1267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-LRRC37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41719986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8.34E-06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rs16875528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DHX15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23917177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rs10005021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DHX15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23919610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rs520855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PRG-3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102778230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9.47E-06</w:t>
            </w:r>
          </w:p>
        </w:tc>
      </w:tr>
      <w:tr w:rsidR="008050B6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rs2243593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PRG-3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102785082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8050B6" w:rsidRDefault="008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9.50E-06</w:t>
            </w:r>
          </w:p>
        </w:tc>
      </w:tr>
    </w:tbl>
    <w:p w:rsidR="008050B6" w:rsidRDefault="0080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Adjusted for </w:t>
      </w:r>
      <w:r>
        <w:rPr>
          <w:rFonts w:ascii="Times New Roman" w:hAnsi="Times New Roman" w:cs="Times New Roman"/>
        </w:rPr>
        <w:t>age, gender, study center, cognitive function and the first two principal components.</w:t>
      </w:r>
    </w:p>
    <w:p w:rsidR="008050B6" w:rsidRDefault="008050B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Score: the functional annotation score from the RegulomeDB; lower score indicates stronger evidence for a variant to be functional. Category 1 variants are defined as ‘likely to affect binding and linked to expression of a gene target’; categories 2 and 3 as ‘likely’ and ‘less likely to affect binding’, respectively; categories 4-6 as ‘minimal binding evidence’; and category 7 as ‘lack of evidence’ for an association. This is especially notable for category 1 as it is the only variable included in the model explicitly tied to eQTL status.</w:t>
      </w:r>
    </w:p>
    <w:p w:rsidR="008050B6" w:rsidRDefault="008050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  <w:color w:val="000000"/>
        </w:rPr>
        <w:t xml:space="preserve"> The direction of effect in the order </w:t>
      </w:r>
      <w:r>
        <w:rPr>
          <w:rFonts w:ascii="Times New Roman" w:hAnsi="Times New Roman" w:cs="Times New Roman"/>
        </w:rPr>
        <w:t>of the Atherosclerosis Risk in Communities study, the Health ABC Study and the Rush Religious Orders Study and Memory and Aging Project</w:t>
      </w:r>
    </w:p>
    <w:p w:rsidR="008050B6" w:rsidRDefault="008050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Effect size in ln(smell score+1) per allele change.</w:t>
      </w:r>
    </w:p>
    <w:p w:rsidR="008050B6" w:rsidRDefault="008050B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Chr.: Chromosome. MAF: minor allele frequency. s.e.: standard error.</w:t>
      </w:r>
    </w:p>
    <w:p w:rsidR="008050B6" w:rsidRDefault="008050B6">
      <w:pPr>
        <w:rPr>
          <w:rFonts w:ascii="Times New Roman" w:hAnsi="Times New Roman" w:cs="Times New Roman"/>
        </w:rPr>
      </w:pPr>
    </w:p>
    <w:p w:rsidR="008050B6" w:rsidRDefault="008050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50B6" w:rsidSect="008050B6">
      <w:footerReference w:type="defaul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B6" w:rsidRDefault="0080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50B6" w:rsidRDefault="0080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6" w:rsidRDefault="008050B6">
    <w:pPr>
      <w:pStyle w:val="Footer"/>
      <w:jc w:val="center"/>
      <w:rPr>
        <w:rFonts w:ascii="Times New Roman" w:hAnsi="Times New Roman" w:cs="Times New Roman"/>
      </w:rPr>
    </w:pPr>
    <w:fldSimple w:instr=" PAGE   \* MERGEFORMAT ">
      <w:r>
        <w:rPr>
          <w:noProof/>
        </w:rPr>
        <w:t>6</w:t>
      </w:r>
    </w:fldSimple>
  </w:p>
  <w:p w:rsidR="008050B6" w:rsidRDefault="008050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B6" w:rsidRDefault="0080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50B6" w:rsidRDefault="0080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51C"/>
    <w:multiLevelType w:val="hybridMultilevel"/>
    <w:tmpl w:val="060ECACE"/>
    <w:lvl w:ilvl="0" w:tplc="36E2C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rrtesefqt2pd7eavt4vstp6rsfav9rtxv0a&quot;&gt;Dong&lt;record-ids&gt;&lt;item&gt;19&lt;/item&gt;&lt;item&gt;43&lt;/item&gt;&lt;item&gt;44&lt;/item&gt;&lt;item&gt;45&lt;/item&gt;&lt;item&gt;54&lt;/item&gt;&lt;item&gt;56&lt;/item&gt;&lt;item&gt;67&lt;/item&gt;&lt;item&gt;68&lt;/item&gt;&lt;item&gt;69&lt;/item&gt;&lt;item&gt;108&lt;/item&gt;&lt;item&gt;110&lt;/item&gt;&lt;item&gt;111&lt;/item&gt;&lt;item&gt;133&lt;/item&gt;&lt;item&gt;135&lt;/item&gt;&lt;item&gt;136&lt;/item&gt;&lt;item&gt;140&lt;/item&gt;&lt;item&gt;141&lt;/item&gt;&lt;item&gt;143&lt;/item&gt;&lt;item&gt;148&lt;/item&gt;&lt;item&gt;149&lt;/item&gt;&lt;item&gt;150&lt;/item&gt;&lt;/record-ids&gt;&lt;/item&gt;&lt;/Libraries&gt;"/>
  </w:docVars>
  <w:rsids>
    <w:rsidRoot w:val="008050B6"/>
    <w:rsid w:val="0080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SimSu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376</Words>
  <Characters>2146</Characters>
  <Application>Microsoft Office Outlook</Application>
  <DocSecurity>0</DocSecurity>
  <Lines>0</Lines>
  <Paragraphs>0</Paragraphs>
  <ScaleCrop>false</ScaleCrop>
  <Company>NIEHS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Dongj4</dc:creator>
  <cp:keywords/>
  <dc:description/>
  <cp:lastModifiedBy>TEESLWW</cp:lastModifiedBy>
  <cp:revision>3</cp:revision>
  <cp:lastPrinted>2014-11-10T19:38:00Z</cp:lastPrinted>
  <dcterms:created xsi:type="dcterms:W3CDTF">2015-09-04T16:44:00Z</dcterms:created>
  <dcterms:modified xsi:type="dcterms:W3CDTF">2015-11-02T23:45:00Z</dcterms:modified>
</cp:coreProperties>
</file>