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A1" w:rsidRPr="00EE7BA1" w:rsidRDefault="00EE7BA1" w:rsidP="00EE7BA1">
      <w:pPr>
        <w:spacing w:line="276" w:lineRule="auto"/>
        <w:rPr>
          <w:rFonts w:ascii="Calibri" w:eastAsia="MS Mincho" w:hAnsi="Calibri" w:cs="Times New Roman"/>
          <w:b/>
          <w:sz w:val="22"/>
          <w:szCs w:val="22"/>
          <w:lang w:val="en-US"/>
        </w:rPr>
      </w:pPr>
      <w:r w:rsidRPr="00EE7BA1">
        <w:rPr>
          <w:rFonts w:ascii="Calibri" w:eastAsia="MS Mincho" w:hAnsi="Calibri" w:cs="Times New Roman"/>
          <w:b/>
          <w:sz w:val="22"/>
          <w:szCs w:val="22"/>
          <w:lang w:val="en-US"/>
        </w:rPr>
        <w:t>Supplementary file:</w:t>
      </w:r>
    </w:p>
    <w:p w:rsidR="00EE7BA1" w:rsidRPr="00EE7BA1" w:rsidRDefault="00EE7BA1" w:rsidP="007138C5">
      <w:pPr>
        <w:spacing w:before="240" w:after="240" w:line="276" w:lineRule="auto"/>
        <w:rPr>
          <w:rFonts w:ascii="Calibri" w:eastAsia="MS Mincho" w:hAnsi="Calibri" w:cs="Times New Roman"/>
          <w:sz w:val="22"/>
          <w:szCs w:val="22"/>
          <w:lang w:val="en-US"/>
        </w:rPr>
      </w:pPr>
      <w:r w:rsidRPr="007138C5">
        <w:rPr>
          <w:rFonts w:ascii="Calibri" w:eastAsia="MS Mincho" w:hAnsi="Calibri" w:cs="Times New Roman"/>
          <w:b/>
          <w:sz w:val="22"/>
          <w:szCs w:val="22"/>
          <w:lang w:val="en-US"/>
        </w:rPr>
        <w:t>Table 1:</w:t>
      </w:r>
      <w:r w:rsidRPr="00EE7BA1">
        <w:rPr>
          <w:rFonts w:ascii="Calibri" w:eastAsia="MS Mincho" w:hAnsi="Calibri" w:cs="Times New Roman"/>
          <w:sz w:val="22"/>
          <w:szCs w:val="22"/>
          <w:lang w:val="en-US"/>
        </w:rPr>
        <w:t xml:space="preserve"> </w:t>
      </w:r>
      <w:r w:rsidRPr="00EE7BA1">
        <w:rPr>
          <w:rFonts w:ascii="Calibri" w:eastAsia="MS Mincho" w:hAnsi="Calibri" w:cs="Times New Roman"/>
          <w:lang w:val="en-US"/>
        </w:rPr>
        <w:t>Predictors of death and clinical events (composite outcome) and liver fibrosis pr</w:t>
      </w:r>
      <w:r w:rsidR="007138C5">
        <w:rPr>
          <w:rFonts w:ascii="Calibri" w:eastAsia="MS Mincho" w:hAnsi="Calibri" w:cs="Times New Roman"/>
          <w:lang w:val="en-US"/>
        </w:rPr>
        <w:t>ogression (multivariable Cox’s r</w:t>
      </w:r>
      <w:r w:rsidRPr="00EE7BA1">
        <w:rPr>
          <w:rFonts w:ascii="Calibri" w:eastAsia="MS Mincho" w:hAnsi="Calibri" w:cs="Times New Roman"/>
          <w:lang w:val="en-US"/>
        </w:rPr>
        <w:t>egression analysis)</w:t>
      </w:r>
    </w:p>
    <w:tbl>
      <w:tblPr>
        <w:tblStyle w:val="Sfondochiaro1"/>
        <w:tblW w:w="7188" w:type="dxa"/>
        <w:tblLook w:val="04A0"/>
      </w:tblPr>
      <w:tblGrid>
        <w:gridCol w:w="3320"/>
        <w:gridCol w:w="960"/>
        <w:gridCol w:w="965"/>
        <w:gridCol w:w="983"/>
        <w:gridCol w:w="960"/>
      </w:tblGrid>
      <w:tr w:rsidR="00EE7BA1" w:rsidRPr="00EE7BA1" w:rsidTr="00E765A1">
        <w:trPr>
          <w:cnfStyle w:val="100000000000"/>
          <w:trHeight w:val="300"/>
        </w:trPr>
        <w:tc>
          <w:tcPr>
            <w:cnfStyle w:val="001000000000"/>
            <w:tcW w:w="3320" w:type="dxa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lang w:val="en-US"/>
              </w:rPr>
              <w:t>Composite outcome (death and clinical events)</w:t>
            </w:r>
          </w:p>
        </w:tc>
        <w:tc>
          <w:tcPr>
            <w:tcW w:w="960" w:type="dxa"/>
            <w:noWrap/>
            <w:hideMark/>
          </w:tcPr>
          <w:p w:rsidR="00EE7BA1" w:rsidRPr="00EE7BA1" w:rsidRDefault="00CE3EB8" w:rsidP="00EE7BA1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HR</w:t>
            </w:r>
          </w:p>
        </w:tc>
        <w:tc>
          <w:tcPr>
            <w:tcW w:w="1948" w:type="dxa"/>
            <w:gridSpan w:val="2"/>
            <w:noWrap/>
            <w:hideMark/>
          </w:tcPr>
          <w:p w:rsidR="00EE7BA1" w:rsidRPr="00EE7BA1" w:rsidRDefault="00EE7BA1" w:rsidP="00EE7BA1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95%CI</w:t>
            </w:r>
          </w:p>
        </w:tc>
        <w:tc>
          <w:tcPr>
            <w:tcW w:w="960" w:type="dxa"/>
            <w:noWrap/>
            <w:hideMark/>
          </w:tcPr>
          <w:p w:rsidR="00EE7BA1" w:rsidRPr="00EE7BA1" w:rsidRDefault="00EE7BA1" w:rsidP="00EE7BA1">
            <w:pPr>
              <w:jc w:val="center"/>
              <w:cnfStyle w:val="1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p-value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year of first ART start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1636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non-idu vs. idu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0510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GGT per log higher*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26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0.0001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CD4+ per square root increase*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HIV RNA per log higher*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1636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HCV RNA per log higher*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06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8011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F</w:t>
            </w:r>
            <w:r w:rsidR="007138C5">
              <w:rPr>
                <w:rFonts w:ascii="Calibri" w:eastAsia="Times New Roman" w:hAnsi="Calibri" w:cs="Times New Roman"/>
                <w:b w:val="0"/>
              </w:rPr>
              <w:t>IB-</w:t>
            </w:r>
            <w:r w:rsidRPr="00EE7BA1">
              <w:rPr>
                <w:rFonts w:ascii="Calibri" w:eastAsia="Times New Roman" w:hAnsi="Calibri" w:cs="Times New Roman"/>
                <w:b w:val="0"/>
              </w:rPr>
              <w:t>4 class2 vs. class1*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9139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7138C5" w:rsidP="00EE7BA1">
            <w:pPr>
              <w:rPr>
                <w:rFonts w:ascii="Calibri" w:eastAsia="Times New Roman" w:hAnsi="Calibri" w:cs="Times New Roman"/>
                <w:b w:val="0"/>
              </w:rPr>
            </w:pPr>
            <w:r>
              <w:rPr>
                <w:rFonts w:ascii="Calibri" w:eastAsia="Times New Roman" w:hAnsi="Calibri" w:cs="Times New Roman"/>
                <w:b w:val="0"/>
              </w:rPr>
              <w:t>FIB-</w:t>
            </w:r>
            <w:r w:rsidR="00EE7BA1" w:rsidRPr="00EE7BA1">
              <w:rPr>
                <w:rFonts w:ascii="Calibri" w:eastAsia="Times New Roman" w:hAnsi="Calibri" w:cs="Times New Roman"/>
                <w:b w:val="0"/>
              </w:rPr>
              <w:t>4 class3 vs. class1*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64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2.</w:t>
            </w:r>
            <w:r w:rsidRPr="00EE7BA1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0.0008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NRTI cumulative years*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02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3405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NNRTI cumulative years*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0.0043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PI cumulative years*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8661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RTV booster cumulative years*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0.0004</w:t>
            </w:r>
          </w:p>
        </w:tc>
      </w:tr>
      <w:tr w:rsidR="00EE7BA1" w:rsidRPr="00EE7BA1" w:rsidTr="00E765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other ARVs cumulative years*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62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3439</w:t>
            </w:r>
          </w:p>
        </w:tc>
      </w:tr>
      <w:tr w:rsidR="00EE7BA1" w:rsidRPr="00EE7BA1" w:rsidTr="00E765A1">
        <w:trPr>
          <w:trHeight w:val="300"/>
        </w:trPr>
        <w:tc>
          <w:tcPr>
            <w:cnfStyle w:val="001000000000"/>
            <w:tcW w:w="332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male vs. female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5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983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1.</w:t>
            </w:r>
            <w:r w:rsidRPr="00EE7BA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shd w:val="clear" w:color="auto" w:fill="auto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0.</w:t>
            </w:r>
            <w:r w:rsidRPr="00EE7BA1">
              <w:rPr>
                <w:rFonts w:ascii="Calibri" w:eastAsia="Times New Roman" w:hAnsi="Calibri" w:cs="Times New Roman"/>
              </w:rPr>
              <w:t>6595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lang w:val="en-US"/>
              </w:rPr>
              <w:t>FIB-4 transition from class 1 to class 2 or 3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CE3EB8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HR</w:t>
            </w:r>
          </w:p>
        </w:tc>
        <w:tc>
          <w:tcPr>
            <w:tcW w:w="1948" w:type="dxa"/>
            <w:gridSpan w:val="2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EE7BA1">
              <w:rPr>
                <w:rFonts w:ascii="Calibri" w:eastAsia="Times New Roman" w:hAnsi="Calibri" w:cs="Times New Roman"/>
                <w:b/>
              </w:rPr>
              <w:t>95%CI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EE7BA1">
              <w:rPr>
                <w:rFonts w:ascii="Calibri" w:eastAsia="Times New Roman" w:hAnsi="Calibri" w:cs="Times New Roman"/>
                <w:b/>
              </w:rPr>
              <w:t>p-value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year of first ART start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non-idu vs. idu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79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0.0016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GGT per log higher*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CD4+ per square root increase*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0.0003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HIV RNA per log higher*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37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HCV RNA per log higher*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4644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F</w:t>
            </w:r>
            <w:r w:rsidR="007138C5">
              <w:rPr>
                <w:rFonts w:ascii="Calibri" w:eastAsia="Times New Roman" w:hAnsi="Calibri" w:cs="Times New Roman"/>
                <w:b w:val="0"/>
              </w:rPr>
              <w:t>IB-</w:t>
            </w:r>
            <w:r w:rsidRPr="00EE7BA1">
              <w:rPr>
                <w:rFonts w:ascii="Calibri" w:eastAsia="Times New Roman" w:hAnsi="Calibri" w:cs="Times New Roman"/>
                <w:b w:val="0"/>
              </w:rPr>
              <w:t>4 baseline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4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5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05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NRTI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NNRTI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0.0110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PI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9776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RTV booster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4017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other ARVs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4104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A</w:t>
            </w:r>
            <w:r w:rsidR="007138C5">
              <w:rPr>
                <w:rFonts w:ascii="Calibri" w:eastAsia="Times New Roman" w:hAnsi="Calibri" w:cs="Times New Roman"/>
                <w:b w:val="0"/>
              </w:rPr>
              <w:t>IDS</w:t>
            </w:r>
            <w:r w:rsidRPr="00EE7BA1">
              <w:rPr>
                <w:rFonts w:ascii="Calibri" w:eastAsia="Times New Roman" w:hAnsi="Calibri" w:cs="Times New Roman"/>
                <w:b w:val="0"/>
              </w:rPr>
              <w:t xml:space="preserve">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0904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Neurological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70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67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7227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Diabetes*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47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17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1051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Cardiovascular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3595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Kidney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68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1335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male vs. female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3657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C1229" w:rsidRDefault="00C42174" w:rsidP="00EE7BA1">
            <w:pPr>
              <w:rPr>
                <w:rFonts w:ascii="Calibri" w:eastAsia="Times New Roman" w:hAnsi="Calibri" w:cs="Times New Roman"/>
                <w:lang w:val="en-US"/>
              </w:rPr>
            </w:pPr>
            <w:r>
              <w:rPr>
                <w:rFonts w:ascii="Calibri" w:eastAsia="Times New Roman" w:hAnsi="Calibri" w:cs="Times New Roman"/>
                <w:lang w:val="en-US"/>
              </w:rPr>
              <w:t>FIB-4 transition from class 2 to class 3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CE3EB8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HR</w:t>
            </w:r>
          </w:p>
        </w:tc>
        <w:tc>
          <w:tcPr>
            <w:tcW w:w="1948" w:type="dxa"/>
            <w:gridSpan w:val="2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EE7BA1">
              <w:rPr>
                <w:rFonts w:ascii="Calibri" w:eastAsia="Times New Roman" w:hAnsi="Calibri" w:cs="Times New Roman"/>
                <w:b/>
              </w:rPr>
              <w:t>95%CI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EE7BA1">
              <w:rPr>
                <w:rFonts w:ascii="Calibri" w:eastAsia="Times New Roman" w:hAnsi="Calibri" w:cs="Times New Roman"/>
                <w:b/>
              </w:rPr>
              <w:t>p-value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year of first ART start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15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non-idu vs. idu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0.0460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GGT per log higher*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57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CD4+ per square root increase*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0.0355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HIV RNA per log higher*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30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54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lastRenderedPageBreak/>
              <w:t>HCV RNA per log higher*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6612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F</w:t>
            </w:r>
            <w:r w:rsidR="007138C5">
              <w:rPr>
                <w:rFonts w:ascii="Calibri" w:eastAsia="Times New Roman" w:hAnsi="Calibri" w:cs="Times New Roman"/>
                <w:b w:val="0"/>
              </w:rPr>
              <w:t>IB-</w:t>
            </w:r>
            <w:r w:rsidRPr="00EE7BA1">
              <w:rPr>
                <w:rFonts w:ascii="Calibri" w:eastAsia="Times New Roman" w:hAnsi="Calibri" w:cs="Times New Roman"/>
                <w:b w:val="0"/>
              </w:rPr>
              <w:t>4 baseline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50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NRTI cumulative years*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18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0.0077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NNRTI cumulative years*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4063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PI cumulative years*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06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0861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RTV booster cumulative years*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86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2187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other ARVs cumulative years*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84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4208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A</w:t>
            </w:r>
            <w:r w:rsidR="007138C5">
              <w:rPr>
                <w:rFonts w:ascii="Calibri" w:eastAsia="Times New Roman" w:hAnsi="Calibri" w:cs="Times New Roman"/>
                <w:b w:val="0"/>
              </w:rPr>
              <w:t>IDS</w:t>
            </w:r>
            <w:r w:rsidRPr="00EE7BA1">
              <w:rPr>
                <w:rFonts w:ascii="Calibri" w:eastAsia="Times New Roman" w:hAnsi="Calibri" w:cs="Times New Roman"/>
                <w:b w:val="0"/>
              </w:rPr>
              <w:t xml:space="preserve"> event*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85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58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3472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Neurological event*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25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14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4191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Diabetes*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60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6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2686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Cardiovascular event*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52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2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45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0818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Kidney event*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09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3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03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0.0221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male vs. female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5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63</w:t>
            </w:r>
          </w:p>
        </w:tc>
        <w:tc>
          <w:tcPr>
            <w:tcW w:w="983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960" w:type="dxa"/>
            <w:shd w:val="clear" w:color="auto" w:fill="FFFFF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1405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lang w:val="en-US"/>
              </w:rPr>
              <w:t>FIB-4 increase of hal</w:t>
            </w:r>
            <w:r w:rsidR="00E80C97">
              <w:rPr>
                <w:rFonts w:ascii="Calibri" w:eastAsia="Times New Roman" w:hAnsi="Calibri" w:cs="Times New Roman"/>
                <w:lang w:val="en-US"/>
              </w:rPr>
              <w:t>f</w:t>
            </w:r>
            <w:r w:rsidRPr="00EE7BA1">
              <w:rPr>
                <w:rFonts w:ascii="Calibri" w:eastAsia="Times New Roman" w:hAnsi="Calibri" w:cs="Times New Roman"/>
                <w:lang w:val="en-US"/>
              </w:rPr>
              <w:t xml:space="preserve"> a point from baseline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CE3EB8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>
              <w:rPr>
                <w:rFonts w:ascii="Calibri" w:eastAsia="Times New Roman" w:hAnsi="Calibri" w:cs="Times New Roman"/>
                <w:b/>
              </w:rPr>
              <w:t>HR</w:t>
            </w:r>
            <w:bookmarkStart w:id="0" w:name="_GoBack"/>
            <w:bookmarkEnd w:id="0"/>
          </w:p>
        </w:tc>
        <w:tc>
          <w:tcPr>
            <w:tcW w:w="1948" w:type="dxa"/>
            <w:gridSpan w:val="2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EE7BA1">
              <w:rPr>
                <w:rFonts w:ascii="Calibri" w:eastAsia="Times New Roman" w:hAnsi="Calibri" w:cs="Times New Roman"/>
                <w:b/>
              </w:rPr>
              <w:t>95%CI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EE7BA1">
              <w:rPr>
                <w:rFonts w:ascii="Calibri" w:eastAsia="Times New Roman" w:hAnsi="Calibri" w:cs="Times New Roman"/>
                <w:b/>
              </w:rPr>
              <w:t>p-value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year of first ART start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13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non-idu vs. idu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82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73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92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0.0011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GGT per log higher*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44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59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  <w:lang w:val="en-US"/>
              </w:rPr>
            </w:pPr>
            <w:r w:rsidRPr="00EE7BA1">
              <w:rPr>
                <w:rFonts w:ascii="Calibri" w:eastAsia="Times New Roman" w:hAnsi="Calibri" w:cs="Times New Roman"/>
                <w:b w:val="0"/>
                <w:lang w:val="en-US"/>
              </w:rPr>
              <w:t>CD4+ per square root increase*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97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HIV RNA per log higher*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36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42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HCV RNA per log higher*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3910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F</w:t>
            </w:r>
            <w:r w:rsidR="007138C5">
              <w:rPr>
                <w:rFonts w:ascii="Calibri" w:eastAsia="Times New Roman" w:hAnsi="Calibri" w:cs="Times New Roman"/>
                <w:b w:val="0"/>
              </w:rPr>
              <w:t>IB-</w:t>
            </w:r>
            <w:r w:rsidRPr="00EE7BA1">
              <w:rPr>
                <w:rFonts w:ascii="Calibri" w:eastAsia="Times New Roman" w:hAnsi="Calibri" w:cs="Times New Roman"/>
                <w:b w:val="0"/>
              </w:rPr>
              <w:t>4 baseline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NRTI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12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08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16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NNRTI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98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94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01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1725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PI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00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07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0.0396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RTV booster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95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99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0.0301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other ARVs cumulative years*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76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10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3349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7138C5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A</w:t>
            </w:r>
            <w:r w:rsidR="007138C5">
              <w:rPr>
                <w:rFonts w:ascii="Calibri" w:eastAsia="Times New Roman" w:hAnsi="Calibri" w:cs="Times New Roman"/>
                <w:b w:val="0"/>
              </w:rPr>
              <w:t>IDS</w:t>
            </w:r>
            <w:r w:rsidRPr="00EE7BA1">
              <w:rPr>
                <w:rFonts w:ascii="Calibri" w:eastAsia="Times New Roman" w:hAnsi="Calibri" w:cs="Times New Roman"/>
                <w:b w:val="0"/>
              </w:rPr>
              <w:t xml:space="preserve">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39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19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61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&lt;0.0001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Neurological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96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69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33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7920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Diabetes*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90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46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77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7649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Cardiovascular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23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91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66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1823</w:t>
            </w:r>
          </w:p>
        </w:tc>
      </w:tr>
      <w:tr w:rsidR="00EE7BA1" w:rsidRPr="00EE7BA1" w:rsidTr="00EE7BA1">
        <w:trPr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Kidney event*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35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06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72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2A5244" w:rsidRDefault="00EE7BA1" w:rsidP="00EE7BA1">
            <w:pPr>
              <w:jc w:val="center"/>
              <w:cnfStyle w:val="000000000000"/>
              <w:rPr>
                <w:rFonts w:ascii="Calibri" w:eastAsia="Times New Roman" w:hAnsi="Calibri" w:cs="Times New Roman"/>
                <w:b/>
              </w:rPr>
            </w:pPr>
            <w:r w:rsidRPr="002A5244">
              <w:rPr>
                <w:rFonts w:ascii="Calibri" w:eastAsia="Times New Roman" w:hAnsi="Calibri" w:cs="Times New Roman"/>
                <w:b/>
              </w:rPr>
              <w:t>0.0156</w:t>
            </w:r>
          </w:p>
        </w:tc>
      </w:tr>
      <w:tr w:rsidR="00EE7BA1" w:rsidRPr="00EE7BA1" w:rsidTr="00EE7BA1">
        <w:trPr>
          <w:cnfStyle w:val="000000100000"/>
          <w:trHeight w:val="300"/>
        </w:trPr>
        <w:tc>
          <w:tcPr>
            <w:cnfStyle w:val="001000000000"/>
            <w:tcW w:w="332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rPr>
                <w:rFonts w:ascii="Calibri" w:eastAsia="Times New Roman" w:hAnsi="Calibri" w:cs="Times New Roman"/>
                <w:b w:val="0"/>
              </w:rPr>
            </w:pPr>
            <w:r w:rsidRPr="00EE7BA1">
              <w:rPr>
                <w:rFonts w:ascii="Calibri" w:eastAsia="Times New Roman" w:hAnsi="Calibri" w:cs="Times New Roman"/>
                <w:b w:val="0"/>
              </w:rPr>
              <w:t>male vs. female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93</w:t>
            </w:r>
          </w:p>
        </w:tc>
        <w:tc>
          <w:tcPr>
            <w:tcW w:w="965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83</w:t>
            </w:r>
          </w:p>
        </w:tc>
        <w:tc>
          <w:tcPr>
            <w:tcW w:w="983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1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04</w:t>
            </w:r>
          </w:p>
        </w:tc>
        <w:tc>
          <w:tcPr>
            <w:tcW w:w="960" w:type="dxa"/>
            <w:shd w:val="clear" w:color="auto" w:fill="BFBFBF"/>
            <w:noWrap/>
            <w:hideMark/>
          </w:tcPr>
          <w:p w:rsidR="00EE7BA1" w:rsidRPr="00EE7BA1" w:rsidRDefault="00EE7BA1" w:rsidP="00EE7BA1">
            <w:pPr>
              <w:jc w:val="center"/>
              <w:cnfStyle w:val="000000100000"/>
              <w:rPr>
                <w:rFonts w:ascii="Calibri" w:eastAsia="Times New Roman" w:hAnsi="Calibri" w:cs="Times New Roman"/>
              </w:rPr>
            </w:pPr>
            <w:r w:rsidRPr="00EE7BA1">
              <w:rPr>
                <w:rFonts w:ascii="Calibri" w:eastAsia="Times New Roman" w:hAnsi="Calibri" w:cs="Times New Roman"/>
              </w:rPr>
              <w:t>0</w:t>
            </w:r>
            <w:r>
              <w:rPr>
                <w:rFonts w:ascii="Calibri" w:eastAsia="Times New Roman" w:hAnsi="Calibri" w:cs="Times New Roman"/>
              </w:rPr>
              <w:t>.</w:t>
            </w:r>
            <w:r w:rsidRPr="00EE7BA1">
              <w:rPr>
                <w:rFonts w:ascii="Calibri" w:eastAsia="Times New Roman" w:hAnsi="Calibri" w:cs="Times New Roman"/>
              </w:rPr>
              <w:t>2202</w:t>
            </w:r>
          </w:p>
        </w:tc>
      </w:tr>
    </w:tbl>
    <w:p w:rsidR="00EE7BA1" w:rsidRPr="00EE7BA1" w:rsidRDefault="00EE7BA1" w:rsidP="00EE7BA1">
      <w:pPr>
        <w:spacing w:line="276" w:lineRule="auto"/>
        <w:rPr>
          <w:rFonts w:ascii="Calibri" w:eastAsia="MS Mincho" w:hAnsi="Calibri" w:cs="Times New Roman"/>
          <w:sz w:val="22"/>
          <w:szCs w:val="22"/>
          <w:lang w:val="en-US"/>
        </w:rPr>
      </w:pPr>
      <w:r w:rsidRPr="00EE7BA1">
        <w:rPr>
          <w:rFonts w:ascii="Calibri" w:eastAsia="MS Mincho" w:hAnsi="Calibri" w:cs="Times New Roman"/>
          <w:sz w:val="22"/>
          <w:szCs w:val="22"/>
          <w:lang w:val="en-US"/>
        </w:rPr>
        <w:t>* time-updated variables</w:t>
      </w:r>
    </w:p>
    <w:p w:rsidR="00EB0F37" w:rsidRDefault="00EB0F37"/>
    <w:sectPr w:rsidR="00EB0F37" w:rsidSect="003E585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>
    <w:useFELayout/>
  </w:compat>
  <w:rsids>
    <w:rsidRoot w:val="00EE7BA1"/>
    <w:rsid w:val="002A5244"/>
    <w:rsid w:val="007138C5"/>
    <w:rsid w:val="0071623E"/>
    <w:rsid w:val="009D6D64"/>
    <w:rsid w:val="00C33A44"/>
    <w:rsid w:val="00C42174"/>
    <w:rsid w:val="00CE3EB8"/>
    <w:rsid w:val="00E80C97"/>
    <w:rsid w:val="00EB0F37"/>
    <w:rsid w:val="00EC1229"/>
    <w:rsid w:val="00EE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1623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1">
    <w:name w:val="Sfondo chiaro1"/>
    <w:basedOn w:val="Tabellanormale"/>
    <w:next w:val="Sfondochiaro"/>
    <w:uiPriority w:val="60"/>
    <w:rsid w:val="00EE7BA1"/>
    <w:rPr>
      <w:color w:val="000000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">
    <w:name w:val="Light Shading"/>
    <w:basedOn w:val="Tabellanormale"/>
    <w:uiPriority w:val="60"/>
    <w:rsid w:val="00EE7BA1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122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1229"/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EC122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C1229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C1229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1229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122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Sfondochiaro1">
    <w:name w:val="Sfondo chiaro1"/>
    <w:basedOn w:val="Tabellanormale"/>
    <w:next w:val="Sfondochiaro"/>
    <w:uiPriority w:val="60"/>
    <w:rsid w:val="00EE7BA1"/>
    <w:rPr>
      <w:color w:val="000000"/>
      <w:sz w:val="22"/>
      <w:szCs w:val="22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Sfondochiaro">
    <w:name w:val="Light Shading"/>
    <w:basedOn w:val="Tabellanormale"/>
    <w:uiPriority w:val="60"/>
    <w:rsid w:val="00EE7BA1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518</Words>
  <Characters>2958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Malattie Infettive</Company>
  <LinksUpToDate>false</LinksUpToDate>
  <CharactersWithSpaces>3470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Emanuele Focà</dc:creator>
  <cp:keywords/>
  <dc:description/>
  <cp:lastModifiedBy>E Focà</cp:lastModifiedBy>
  <cp:revision>2</cp:revision>
  <dcterms:created xsi:type="dcterms:W3CDTF">2016-03-09T12:01:00Z</dcterms:created>
  <dcterms:modified xsi:type="dcterms:W3CDTF">2016-03-09T12:01:00Z</dcterms:modified>
</cp:coreProperties>
</file>