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4"/>
        <w:gridCol w:w="1134"/>
        <w:gridCol w:w="935"/>
        <w:gridCol w:w="1002"/>
        <w:gridCol w:w="1227"/>
        <w:gridCol w:w="1432"/>
        <w:gridCol w:w="787"/>
        <w:gridCol w:w="896"/>
        <w:gridCol w:w="1023"/>
      </w:tblGrid>
      <w:tr w:rsidR="00215248">
        <w:trPr>
          <w:trHeight w:val="938"/>
          <w:jc w:val="center"/>
        </w:trPr>
        <w:tc>
          <w:tcPr>
            <w:tcW w:w="9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Table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S1. The Newcastle-Ottawa Scale (NOS) for assessing the quality of nonrandomized studies.</w:t>
            </w:r>
          </w:p>
        </w:tc>
      </w:tr>
      <w:tr w:rsidR="00215248">
        <w:trPr>
          <w:trHeight w:val="487"/>
          <w:jc w:val="center"/>
        </w:trPr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Selection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Comparability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Assessment of Outcome</w:t>
            </w:r>
          </w:p>
        </w:tc>
      </w:tr>
      <w:tr w:rsidR="00215248">
        <w:trPr>
          <w:trHeight w:val="1515"/>
          <w:jc w:val="center"/>
        </w:trPr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Author, 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Representativeness of treated arm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Selection of the comparative treatment arm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Ascertainment of the treatment regimen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Demonstration that outcome of interest was not present at start of study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Comparability between patients in different treatment arms-main/secondary factor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Assessment of outcome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Was median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br/>
              <w:t>follow-up ≥5 years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spacing w:after="240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Lost to follow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up acceptable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(less than 10% and reported)</w:t>
            </w:r>
          </w:p>
        </w:tc>
      </w:tr>
      <w:tr w:rsidR="00215248">
        <w:trPr>
          <w:trHeight w:val="624"/>
          <w:jc w:val="center"/>
        </w:trPr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Pospischill</w:t>
            </w:r>
            <w:r>
              <w:rPr>
                <w:rFonts w:ascii="Times New Roman" w:cs="Times New Roman"/>
                <w:color w:val="0000FF"/>
                <w:sz w:val="16"/>
                <w:szCs w:val="16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 *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215248">
        <w:trPr>
          <w:trHeight w:val="510"/>
          <w:jc w:val="center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Bolland</w:t>
            </w:r>
            <w:r>
              <w:rPr>
                <w:rFonts w:ascii="Times New Roman" w:cs="Times New Roman"/>
                <w:color w:val="0000FF"/>
                <w:sz w:val="16"/>
                <w:szCs w:val="16"/>
                <w:vertAlign w:val="superscript"/>
              </w:rPr>
              <w:t>44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215248">
        <w:trPr>
          <w:trHeight w:val="510"/>
          <w:jc w:val="center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Firth</w:t>
            </w:r>
            <w:r>
              <w:rPr>
                <w:rFonts w:ascii="Times New Roman" w:cs="Times New Roman"/>
                <w:color w:val="0000FF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215248">
        <w:trPr>
          <w:trHeight w:val="510"/>
          <w:jc w:val="center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Jain</w:t>
            </w:r>
            <w:r>
              <w:rPr>
                <w:rFonts w:ascii="Times New Roman" w:cs="Times New Roman"/>
                <w:color w:val="0000FF"/>
                <w:sz w:val="16"/>
                <w:szCs w:val="16"/>
                <w:vertAlign w:val="superscript"/>
              </w:rPr>
              <w:t>29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 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215248">
        <w:trPr>
          <w:trHeight w:val="510"/>
          <w:jc w:val="center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Clarke</w:t>
            </w:r>
            <w:r>
              <w:rPr>
                <w:rFonts w:ascii="Times New Roman" w:cs="Times New Roman"/>
                <w:color w:val="0000FF"/>
                <w:sz w:val="16"/>
                <w:szCs w:val="16"/>
                <w:vertAlign w:val="superscript"/>
              </w:rPr>
              <w:t>28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 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215248">
        <w:trPr>
          <w:trHeight w:val="510"/>
          <w:jc w:val="center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Segal</w:t>
            </w:r>
            <w:r>
              <w:rPr>
                <w:rFonts w:ascii="Times New Roman" w:cs="Times New Roman"/>
                <w:color w:val="0000FF"/>
                <w:sz w:val="16"/>
                <w:szCs w:val="16"/>
                <w:vertAlign w:val="superscript"/>
              </w:rPr>
              <w:t>27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 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215248">
        <w:trPr>
          <w:trHeight w:val="510"/>
          <w:jc w:val="center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Luhmann</w:t>
            </w:r>
            <w:r>
              <w:rPr>
                <w:rFonts w:ascii="Times New Roman" w:cs="Times New Roman"/>
                <w:color w:val="0000FF"/>
                <w:sz w:val="16"/>
                <w:szCs w:val="16"/>
                <w:vertAlign w:val="superscript"/>
              </w:rPr>
              <w:t>26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 1998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215248">
        <w:trPr>
          <w:trHeight w:val="510"/>
          <w:jc w:val="center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Camp</w:t>
            </w:r>
            <w:r>
              <w:rPr>
                <w:rFonts w:ascii="Times New Roman" w:cs="Times New Roman"/>
                <w:color w:val="0000FF"/>
                <w:sz w:val="16"/>
                <w:szCs w:val="16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215248">
        <w:trPr>
          <w:trHeight w:val="510"/>
          <w:jc w:val="center"/>
        </w:trPr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Mardam</w:t>
            </w:r>
            <w:r>
              <w:rPr>
                <w:rFonts w:ascii="Times New Roman" w:cs="Times New Roman"/>
                <w:color w:val="0000FF"/>
                <w:sz w:val="16"/>
                <w:szCs w:val="16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,1982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248" w:rsidRDefault="0021524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--</w:t>
            </w:r>
          </w:p>
        </w:tc>
      </w:tr>
      <w:bookmarkEnd w:id="0"/>
      <w:bookmarkEnd w:id="1"/>
    </w:tbl>
    <w:p w:rsidR="00215248" w:rsidRDefault="00215248">
      <w:pPr>
        <w:rPr>
          <w:rFonts w:ascii="Times New Roman" w:hAnsi="Times New Roman" w:cs="Times New Roman"/>
        </w:rPr>
      </w:pPr>
    </w:p>
    <w:sectPr w:rsidR="00215248" w:rsidSect="00215248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48" w:rsidRDefault="00215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15248" w:rsidRDefault="00215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48" w:rsidRDefault="0021524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48" w:rsidRDefault="00215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15248" w:rsidRDefault="00215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48" w:rsidRDefault="0021524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48"/>
    <w:rsid w:val="0021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121</Words>
  <Characters>691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王亚捷</dc:creator>
  <cp:keywords/>
  <dc:description/>
  <cp:lastModifiedBy>TEESLWW</cp:lastModifiedBy>
  <cp:revision>4</cp:revision>
  <cp:lastPrinted>2016-06-29T10:16:00Z</cp:lastPrinted>
  <dcterms:created xsi:type="dcterms:W3CDTF">2015-12-11T06:46:00Z</dcterms:created>
  <dcterms:modified xsi:type="dcterms:W3CDTF">2016-06-29T10:17:00Z</dcterms:modified>
</cp:coreProperties>
</file>