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6D" w:rsidRDefault="00E2716D">
      <w:pPr>
        <w:widowControl w:val="0"/>
        <w:autoSpaceDE w:val="0"/>
        <w:autoSpaceDN w:val="0"/>
        <w:adjustRightInd w:val="0"/>
        <w:spacing w:after="120" w:line="360" w:lineRule="auto"/>
        <w:jc w:val="center"/>
        <w:rPr>
          <w:rFonts w:ascii="Times New Roman" w:hAnsi="Times New Roman" w:cs="Times New Roman"/>
          <w:lang w:val="en-US"/>
        </w:rPr>
      </w:pPr>
      <w:r>
        <w:rPr>
          <w:rFonts w:ascii="Times New Roman" w:hAnsi="Times New Roman" w:cs="Times New Roman"/>
          <w:lang w:val="en-US"/>
        </w:rPr>
        <w:t>MD-D-1601951_R2</w:t>
      </w:r>
      <w:bookmarkStart w:id="0" w:name="_GoBack"/>
      <w:bookmarkEnd w:id="0"/>
    </w:p>
    <w:p w:rsidR="00E2716D" w:rsidRDefault="00E2716D">
      <w:pPr>
        <w:spacing w:line="480" w:lineRule="auto"/>
        <w:jc w:val="center"/>
        <w:rPr>
          <w:rFonts w:ascii="Times New Roman" w:hAnsi="Times New Roman" w:cs="Times New Roman"/>
          <w:b/>
          <w:bCs/>
          <w:lang w:val="en-US"/>
        </w:rPr>
      </w:pPr>
      <w:r>
        <w:rPr>
          <w:rFonts w:ascii="Times New Roman" w:hAnsi="Times New Roman" w:cs="Times New Roman"/>
          <w:b/>
          <w:bCs/>
          <w:lang w:val="en-US"/>
        </w:rPr>
        <w:t>SUPPLEMENTARY MATERIAL</w:t>
      </w:r>
    </w:p>
    <w:p w:rsidR="00E2716D" w:rsidRDefault="00E2716D">
      <w:pPr>
        <w:widowControl w:val="0"/>
        <w:autoSpaceDE w:val="0"/>
        <w:autoSpaceDN w:val="0"/>
        <w:adjustRightInd w:val="0"/>
        <w:spacing w:after="120" w:line="360" w:lineRule="auto"/>
        <w:rPr>
          <w:rFonts w:ascii="Times New Roman" w:hAnsi="Times New Roman" w:cs="Times New Roman"/>
          <w:b/>
          <w:bCs/>
          <w:i/>
          <w:iCs/>
          <w:u w:val="single"/>
          <w:lang w:val="en-US"/>
        </w:rPr>
      </w:pPr>
    </w:p>
    <w:p w:rsidR="00E2716D" w:rsidRDefault="00E2716D">
      <w:pPr>
        <w:widowControl w:val="0"/>
        <w:autoSpaceDE w:val="0"/>
        <w:autoSpaceDN w:val="0"/>
        <w:adjustRightInd w:val="0"/>
        <w:spacing w:after="120" w:line="360" w:lineRule="auto"/>
        <w:jc w:val="center"/>
        <w:rPr>
          <w:rFonts w:ascii="Times New Roman" w:hAnsi="Times New Roman" w:cs="Times New Roman"/>
          <w:b/>
          <w:bCs/>
          <w:lang w:val="en-US"/>
        </w:rPr>
      </w:pPr>
      <w:r>
        <w:rPr>
          <w:rFonts w:ascii="Times New Roman" w:hAnsi="Times New Roman" w:cs="Times New Roman"/>
          <w:b/>
          <w:bCs/>
          <w:lang w:val="en-US"/>
        </w:rPr>
        <w:t xml:space="preserve">Complement Activation and Effect of Eculizumab </w:t>
      </w:r>
      <w:r>
        <w:rPr>
          <w:rFonts w:ascii="Times New Roman" w:hAnsi="Times New Roman" w:cs="Times New Roman"/>
          <w:b/>
          <w:bCs/>
          <w:lang w:val="en-US"/>
        </w:rPr>
        <w:br/>
        <w:t>in Scleroderma Renal Crisis</w:t>
      </w:r>
    </w:p>
    <w:p w:rsidR="00E2716D" w:rsidRDefault="00E2716D">
      <w:pPr>
        <w:widowControl w:val="0"/>
        <w:autoSpaceDE w:val="0"/>
        <w:autoSpaceDN w:val="0"/>
        <w:adjustRightInd w:val="0"/>
        <w:spacing w:after="120" w:line="360" w:lineRule="auto"/>
        <w:jc w:val="center"/>
        <w:rPr>
          <w:rFonts w:ascii="Times New Roman" w:hAnsi="Times New Roman" w:cs="Times New Roman"/>
          <w:b/>
          <w:bCs/>
          <w:i/>
          <w:iCs/>
          <w:lang w:val="en-US"/>
        </w:rPr>
      </w:pPr>
      <w:r>
        <w:rPr>
          <w:rFonts w:ascii="Times New Roman" w:hAnsi="Times New Roman" w:cs="Times New Roman"/>
          <w:b/>
          <w:bCs/>
          <w:i/>
          <w:iCs/>
          <w:lang w:val="en-US"/>
        </w:rPr>
        <w:t>Case Report and Literature Review</w:t>
      </w:r>
    </w:p>
    <w:p w:rsidR="00E2716D" w:rsidRDefault="00E2716D">
      <w:pPr>
        <w:widowControl w:val="0"/>
        <w:autoSpaceDE w:val="0"/>
        <w:autoSpaceDN w:val="0"/>
        <w:adjustRightInd w:val="0"/>
        <w:spacing w:after="120" w:line="480" w:lineRule="auto"/>
        <w:rPr>
          <w:rFonts w:ascii="Times New Roman" w:hAnsi="Times New Roman" w:cs="Times New Roman"/>
          <w:lang w:val="en-US"/>
        </w:rPr>
      </w:pPr>
    </w:p>
    <w:p w:rsidR="00E2716D" w:rsidRDefault="00E2716D">
      <w:pPr>
        <w:widowControl w:val="0"/>
        <w:autoSpaceDE w:val="0"/>
        <w:autoSpaceDN w:val="0"/>
        <w:adjustRightInd w:val="0"/>
        <w:spacing w:after="120" w:line="480" w:lineRule="auto"/>
        <w:jc w:val="center"/>
        <w:rPr>
          <w:rFonts w:ascii="Times New Roman" w:hAnsi="Times New Roman" w:cs="Times New Roman"/>
          <w:lang w:val="en-US"/>
        </w:rPr>
      </w:pPr>
      <w:r>
        <w:rPr>
          <w:rFonts w:ascii="Times New Roman" w:hAnsi="Times New Roman" w:cs="Times New Roman"/>
          <w:lang w:val="en-US"/>
        </w:rPr>
        <w:t>Arnaud Devresse, MD, Selda Aydin, MD, Moglie Le Quintrec, MD, PhD, Nathalie Demoulin, MD, Patrick Stordeur, PhD, Catherine Lambert, MD, Sara Gastoldi, MD, Yves Pirson, MD, Michel Jadoul, MD, Johann Morelle, MD</w:t>
      </w:r>
    </w:p>
    <w:p w:rsidR="00E2716D" w:rsidRDefault="00E2716D">
      <w:pPr>
        <w:spacing w:line="480" w:lineRule="auto"/>
        <w:rPr>
          <w:rFonts w:ascii="Times New Roman" w:hAnsi="Times New Roman" w:cs="Times New Roman"/>
          <w:b/>
          <w:bCs/>
          <w:lang w:val="en-US"/>
        </w:rPr>
      </w:pPr>
    </w:p>
    <w:p w:rsidR="00E2716D" w:rsidRDefault="00E2716D">
      <w:pPr>
        <w:spacing w:line="480" w:lineRule="auto"/>
        <w:rPr>
          <w:rFonts w:ascii="Times New Roman" w:hAnsi="Times New Roman" w:cs="Times New Roman"/>
          <w:b/>
          <w:bCs/>
          <w:lang w:val="en-US"/>
        </w:rPr>
      </w:pPr>
    </w:p>
    <w:p w:rsidR="00E2716D" w:rsidRDefault="00E2716D">
      <w:pPr>
        <w:spacing w:line="480" w:lineRule="auto"/>
        <w:jc w:val="center"/>
        <w:rPr>
          <w:rFonts w:ascii="Times New Roman" w:hAnsi="Times New Roman" w:cs="Times New Roman"/>
          <w:b/>
          <w:bCs/>
          <w:i/>
          <w:iCs/>
          <w:lang w:val="en-US"/>
        </w:rPr>
      </w:pPr>
      <w:r>
        <w:rPr>
          <w:rFonts w:ascii="Times New Roman" w:hAnsi="Times New Roman" w:cs="Times New Roman"/>
          <w:b/>
          <w:bCs/>
          <w:i/>
          <w:iCs/>
          <w:lang w:val="en-US"/>
        </w:rPr>
        <w:t>Table of content</w:t>
      </w:r>
    </w:p>
    <w:p w:rsidR="00E2716D" w:rsidRDefault="00E2716D">
      <w:pPr>
        <w:spacing w:line="480" w:lineRule="auto"/>
        <w:rPr>
          <w:rFonts w:ascii="Times New Roman" w:hAnsi="Times New Roman" w:cs="Times New Roman"/>
          <w:b/>
          <w:bCs/>
          <w:lang w:val="en-US"/>
        </w:rPr>
      </w:pPr>
    </w:p>
    <w:p w:rsidR="00E2716D" w:rsidRDefault="00E2716D">
      <w:pPr>
        <w:spacing w:line="480" w:lineRule="auto"/>
        <w:ind w:left="1701"/>
        <w:rPr>
          <w:rFonts w:ascii="Times New Roman" w:hAnsi="Times New Roman" w:cs="Times New Roman"/>
          <w:i/>
          <w:iCs/>
          <w:lang w:val="en-US"/>
        </w:rPr>
      </w:pPr>
      <w:r>
        <w:rPr>
          <w:rFonts w:ascii="Times New Roman" w:hAnsi="Times New Roman" w:cs="Times New Roman"/>
          <w:i/>
          <w:iCs/>
          <w:lang w:val="en-US"/>
        </w:rPr>
        <w:t>Methods</w:t>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t>P 2</w:t>
      </w:r>
    </w:p>
    <w:p w:rsidR="00E2716D" w:rsidRDefault="00E2716D">
      <w:pPr>
        <w:spacing w:line="480" w:lineRule="auto"/>
        <w:ind w:left="1701"/>
        <w:rPr>
          <w:rFonts w:ascii="Times New Roman" w:hAnsi="Times New Roman" w:cs="Times New Roman"/>
          <w:i/>
          <w:iCs/>
          <w:lang w:val="en-US"/>
        </w:rPr>
      </w:pPr>
      <w:r>
        <w:rPr>
          <w:rFonts w:ascii="Times New Roman" w:hAnsi="Times New Roman" w:cs="Times New Roman"/>
          <w:i/>
          <w:iCs/>
          <w:lang w:val="en-US"/>
        </w:rPr>
        <w:t>References</w:t>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r>
      <w:r>
        <w:rPr>
          <w:rFonts w:ascii="Times New Roman" w:hAnsi="Times New Roman" w:cs="Times New Roman"/>
          <w:i/>
          <w:iCs/>
          <w:lang w:val="en-US"/>
        </w:rPr>
        <w:tab/>
        <w:t>P 3</w:t>
      </w:r>
    </w:p>
    <w:p w:rsidR="00E2716D" w:rsidRDefault="00E2716D">
      <w:pPr>
        <w:rPr>
          <w:rFonts w:ascii="Times New Roman" w:hAnsi="Times New Roman" w:cs="Times New Roman"/>
          <w:b/>
          <w:bCs/>
          <w:caps/>
          <w:lang w:val="en-US"/>
        </w:rPr>
      </w:pPr>
      <w:r>
        <w:rPr>
          <w:rFonts w:ascii="Times New Roman" w:hAnsi="Times New Roman" w:cs="Times New Roman"/>
          <w:b/>
          <w:bCs/>
          <w:caps/>
          <w:lang w:val="en-US"/>
        </w:rPr>
        <w:br w:type="page"/>
      </w:r>
    </w:p>
    <w:p w:rsidR="00E2716D" w:rsidRDefault="00E2716D">
      <w:pPr>
        <w:spacing w:line="360" w:lineRule="auto"/>
        <w:rPr>
          <w:rFonts w:ascii="Times New Roman" w:hAnsi="Times New Roman" w:cs="Times New Roman"/>
          <w:b/>
          <w:bCs/>
          <w:caps/>
          <w:lang w:val="en-US"/>
        </w:rPr>
      </w:pPr>
      <w:r>
        <w:rPr>
          <w:rFonts w:ascii="Times New Roman" w:hAnsi="Times New Roman" w:cs="Times New Roman"/>
          <w:b/>
          <w:bCs/>
          <w:caps/>
          <w:lang w:val="en-US"/>
        </w:rPr>
        <w:t>methods</w:t>
      </w:r>
    </w:p>
    <w:p w:rsidR="00E2716D" w:rsidRDefault="00E2716D">
      <w:pPr>
        <w:widowControl w:val="0"/>
        <w:autoSpaceDE w:val="0"/>
        <w:autoSpaceDN w:val="0"/>
        <w:adjustRightInd w:val="0"/>
        <w:spacing w:after="120" w:line="360" w:lineRule="auto"/>
        <w:rPr>
          <w:rFonts w:ascii="Times New Roman" w:hAnsi="Times New Roman" w:cs="Times New Roman"/>
          <w:b/>
          <w:bCs/>
          <w:i/>
          <w:iCs/>
          <w:lang w:val="en-US"/>
        </w:rPr>
      </w:pPr>
      <w:r>
        <w:rPr>
          <w:rFonts w:ascii="Times New Roman" w:hAnsi="Times New Roman" w:cs="Times New Roman"/>
          <w:b/>
          <w:bCs/>
          <w:i/>
          <w:iCs/>
          <w:lang w:val="en-US"/>
        </w:rPr>
        <w:t xml:space="preserve">Immunofluorescence staining. </w:t>
      </w:r>
      <w:r>
        <w:rPr>
          <w:rFonts w:ascii="Times New Roman" w:hAnsi="Times New Roman" w:cs="Times New Roman"/>
          <w:lang w:val="en-US"/>
        </w:rPr>
        <w:t>For immunofluorescence, 3 μm cryostat sections were stained with fluorescein isothiocyanate (FITC)-conjugated polyclonal rabbit antihuman C1q (Code no. F 0254, Dako) at 1:20 dilution (direct immunofluorescence) and, a murine monoclonal anti-human C4d (cat. No. A213, Quidel) at 1:100 dilution with secondary fluorescein isothiocyanate (FITC)-conjugated polyclonal rabbit anti-mouse IgG (Code no. F 0232, Dako) at 1:20 dilution (indirect immunofluorescence). The intensity of immunofluorescence positivity was graded on a scale of 0, trace, and 1 to 3+.</w:t>
      </w:r>
      <w:r>
        <w:rPr>
          <w:rFonts w:ascii="Times New Roman" w:hAnsi="Times New Roman" w:cs="Times New Roman"/>
          <w:b/>
          <w:bCs/>
          <w:i/>
          <w:iCs/>
          <w:lang w:val="en-US"/>
        </w:rPr>
        <w:t xml:space="preserve"> </w:t>
      </w:r>
    </w:p>
    <w:p w:rsidR="00E2716D" w:rsidRDefault="00E2716D">
      <w:pPr>
        <w:widowControl w:val="0"/>
        <w:autoSpaceDE w:val="0"/>
        <w:autoSpaceDN w:val="0"/>
        <w:adjustRightInd w:val="0"/>
        <w:spacing w:after="120" w:line="360" w:lineRule="auto"/>
        <w:rPr>
          <w:rFonts w:ascii="Times New Roman" w:hAnsi="Times New Roman" w:cs="Times New Roman"/>
          <w:lang w:val="en-US"/>
        </w:rPr>
      </w:pPr>
      <w:r>
        <w:rPr>
          <w:rFonts w:ascii="Times New Roman" w:hAnsi="Times New Roman" w:cs="Times New Roman"/>
          <w:b/>
          <w:bCs/>
          <w:i/>
          <w:iCs/>
          <w:lang w:val="en-US"/>
        </w:rPr>
        <w:t xml:space="preserve">Staining of C5b9. </w:t>
      </w:r>
      <w:r>
        <w:rPr>
          <w:rFonts w:ascii="Times New Roman" w:hAnsi="Times New Roman" w:cs="Times New Roman"/>
          <w:lang w:val="en-US"/>
        </w:rPr>
        <w:t xml:space="preserve">Immunohistochemistry was performed from paraffin-embedded kidney sections as previously described (1). Sections were analyzed for deposits C5b9 neoantigen (gift from Professor Paul Morgan Cardiff, UK) as primary antibody diluted to 1:50, the biotinylated anti-mouse IgG secondary antibody diluted to 1:300 was performed and streptavidine-biotin-peroxydase complex system was used for signal amplification. </w:t>
      </w:r>
    </w:p>
    <w:p w:rsidR="00E2716D" w:rsidRDefault="00E2716D">
      <w:pPr>
        <w:widowControl w:val="0"/>
        <w:autoSpaceDE w:val="0"/>
        <w:autoSpaceDN w:val="0"/>
        <w:adjustRightInd w:val="0"/>
        <w:spacing w:after="120" w:line="360" w:lineRule="auto"/>
        <w:rPr>
          <w:rFonts w:ascii="Times New Roman" w:hAnsi="Times New Roman" w:cs="Times New Roman"/>
          <w:lang w:val="en-GB"/>
        </w:rPr>
      </w:pPr>
      <w:r>
        <w:rPr>
          <w:rFonts w:ascii="Times New Roman" w:hAnsi="Times New Roman" w:cs="Times New Roman"/>
          <w:b/>
          <w:bCs/>
          <w:i/>
          <w:iCs/>
          <w:lang w:val="en-US"/>
        </w:rPr>
        <w:t>Testing of the complement system.</w:t>
      </w:r>
      <w:r>
        <w:rPr>
          <w:rFonts w:ascii="Times New Roman" w:hAnsi="Times New Roman" w:cs="Times New Roman"/>
          <w:lang w:val="en-US"/>
        </w:rPr>
        <w:t xml:space="preserve"> C3, C3d, CFH, CFI and FB were quantified by nephelometry on a Siemens BNII instrument. Measurement of C3 and FB was performed on plasma following manufacturer’s instructions, while CFH and CFI were analyzed on serum following home-made protocols available on request. After separation of plasmatic C3d from native C3 by polyethylene glycol precipitation, the C3d was quantified in the precipitate by nephelometry on the same instrument, adapted from a previously described method (2). FBb and SC5b-9 complex were quantified in plasma by ELISA methods using commercial kits (MicroVue SC5b-9 Plus EIA, MicroVue Bb Plus EIA, Quidel, San Diego, CA 92121) according to the manufacturer’s instructions. An ELISA was also used to detect a</w:t>
      </w:r>
      <w:r>
        <w:rPr>
          <w:rFonts w:ascii="Times New Roman" w:hAnsi="Times New Roman" w:cs="Times New Roman"/>
          <w:lang w:val="en-GB"/>
        </w:rPr>
        <w:t xml:space="preserve">nti-CFH antibodies, as previously described (3). </w:t>
      </w:r>
    </w:p>
    <w:p w:rsidR="00E2716D" w:rsidRDefault="00E2716D">
      <w:pPr>
        <w:widowControl w:val="0"/>
        <w:autoSpaceDE w:val="0"/>
        <w:autoSpaceDN w:val="0"/>
        <w:adjustRightInd w:val="0"/>
        <w:spacing w:after="120" w:line="360" w:lineRule="auto"/>
        <w:rPr>
          <w:rFonts w:ascii="Times New Roman" w:hAnsi="Times New Roman" w:cs="Times New Roman"/>
          <w:lang w:val="en-US"/>
        </w:rPr>
      </w:pPr>
      <w:r>
        <w:rPr>
          <w:rFonts w:ascii="Times New Roman" w:hAnsi="Times New Roman" w:cs="Times New Roman"/>
          <w:b/>
          <w:bCs/>
          <w:i/>
          <w:iCs/>
          <w:lang w:val="en-US"/>
        </w:rPr>
        <w:t xml:space="preserve">Genetic testing of the genes encoding the components of the alternative pathway of complement or its regulatory proteins. </w:t>
      </w:r>
      <w:r>
        <w:rPr>
          <w:rFonts w:ascii="Times New Roman" w:hAnsi="Times New Roman" w:cs="Times New Roman"/>
          <w:lang w:val="en-US"/>
        </w:rPr>
        <w:t xml:space="preserve">Genetic testing was performed using SALSA MLPA probemix P236 to detect deletions/duplications of one or more sequences in the </w:t>
      </w:r>
      <w:r>
        <w:rPr>
          <w:rFonts w:ascii="Times New Roman" w:hAnsi="Times New Roman" w:cs="Times New Roman"/>
          <w:i/>
          <w:iCs/>
          <w:lang w:val="en-US"/>
        </w:rPr>
        <w:t>CFH</w:t>
      </w:r>
      <w:r>
        <w:rPr>
          <w:rFonts w:ascii="Times New Roman" w:hAnsi="Times New Roman" w:cs="Times New Roman"/>
          <w:lang w:val="en-US"/>
        </w:rPr>
        <w:t xml:space="preserve"> and </w:t>
      </w:r>
      <w:r>
        <w:rPr>
          <w:rFonts w:ascii="Times New Roman" w:hAnsi="Times New Roman" w:cs="Times New Roman"/>
          <w:i/>
          <w:iCs/>
          <w:lang w:val="en-US"/>
        </w:rPr>
        <w:t>CFH</w:t>
      </w:r>
      <w:r>
        <w:rPr>
          <w:rFonts w:ascii="Times New Roman" w:hAnsi="Times New Roman" w:cs="Times New Roman"/>
          <w:lang w:val="en-US"/>
        </w:rPr>
        <w:t>- related (</w:t>
      </w:r>
      <w:r>
        <w:rPr>
          <w:rFonts w:ascii="Times New Roman" w:hAnsi="Times New Roman" w:cs="Times New Roman"/>
          <w:i/>
          <w:iCs/>
          <w:lang w:val="en-US"/>
        </w:rPr>
        <w:t>CFHR</w:t>
      </w:r>
      <w:r>
        <w:rPr>
          <w:rFonts w:ascii="Times New Roman" w:hAnsi="Times New Roman" w:cs="Times New Roman"/>
          <w:lang w:val="en-US"/>
        </w:rPr>
        <w:t xml:space="preserve">) genes; DNA sequencing based on Sanger method for the </w:t>
      </w:r>
      <w:r>
        <w:rPr>
          <w:rFonts w:ascii="Times New Roman" w:hAnsi="Times New Roman" w:cs="Times New Roman"/>
          <w:i/>
          <w:iCs/>
          <w:lang w:val="en-US"/>
        </w:rPr>
        <w:t>CFH, CFI</w:t>
      </w:r>
      <w:r>
        <w:rPr>
          <w:rFonts w:ascii="Times New Roman" w:hAnsi="Times New Roman" w:cs="Times New Roman"/>
          <w:lang w:val="en-US"/>
        </w:rPr>
        <w:t xml:space="preserve"> and </w:t>
      </w:r>
      <w:r>
        <w:rPr>
          <w:rFonts w:ascii="Times New Roman" w:hAnsi="Times New Roman" w:cs="Times New Roman"/>
          <w:i/>
          <w:iCs/>
          <w:lang w:val="en-US"/>
        </w:rPr>
        <w:t>MCP</w:t>
      </w:r>
      <w:r>
        <w:rPr>
          <w:rFonts w:ascii="Times New Roman" w:hAnsi="Times New Roman" w:cs="Times New Roman"/>
          <w:lang w:val="en-US"/>
        </w:rPr>
        <w:t xml:space="preserve"> genes; a diagnostic panel for all known genes encoding complement regulatory proteins (this test is based on a combination of multiplex PCR and high throughput sequencing -next-generation sequencing). </w:t>
      </w:r>
    </w:p>
    <w:p w:rsidR="00E2716D" w:rsidRDefault="00E2716D">
      <w:pPr>
        <w:widowControl w:val="0"/>
        <w:autoSpaceDE w:val="0"/>
        <w:autoSpaceDN w:val="0"/>
        <w:adjustRightInd w:val="0"/>
        <w:spacing w:after="120" w:line="360" w:lineRule="auto"/>
        <w:rPr>
          <w:rFonts w:ascii="Times New Roman" w:hAnsi="Times New Roman" w:cs="Times New Roman"/>
          <w:lang w:val="en-US"/>
        </w:rPr>
      </w:pPr>
      <w:r>
        <w:rPr>
          <w:rFonts w:ascii="Times New Roman" w:hAnsi="Times New Roman" w:cs="Times New Roman"/>
          <w:b/>
          <w:bCs/>
          <w:i/>
          <w:iCs/>
          <w:lang w:val="en-US"/>
        </w:rPr>
        <w:t>Membrane expression of CD46 (MCP).</w:t>
      </w:r>
      <w:r>
        <w:rPr>
          <w:rFonts w:ascii="Times New Roman" w:hAnsi="Times New Roman" w:cs="Times New Roman"/>
          <w:lang w:val="en-US"/>
        </w:rPr>
        <w:t xml:space="preserve"> One hundred µL of EDTA whole blood were incubated during 20 minutes with saturating concentrations of fluorescein-conjugated antibody against MCP (clone E4.3; BD Pharmingen) at room temperature. After lysis of red blood cells with the BD Facs Lysing Solution (BD Biosciences, Mountain View, CA), acquisition was performed using a FacsCalibur flow cytometer and data were analyzed using BD CellQuest software (BD Biosciences). MCP expression was analyzed on granulocytes that were identified on basis of forward versus side-scatter. Results were expressed both in percentages of MCP expression compared to controls.</w:t>
      </w:r>
    </w:p>
    <w:p w:rsidR="00E2716D" w:rsidRDefault="00E2716D">
      <w:pPr>
        <w:spacing w:line="360" w:lineRule="auto"/>
        <w:rPr>
          <w:rFonts w:ascii="Times New Roman" w:hAnsi="Times New Roman" w:cs="Times New Roman"/>
          <w:b/>
          <w:bCs/>
          <w:caps/>
          <w:lang w:val="en-US"/>
        </w:rPr>
      </w:pPr>
      <w:r>
        <w:rPr>
          <w:rFonts w:ascii="Times New Roman" w:hAnsi="Times New Roman" w:cs="Times New Roman"/>
          <w:b/>
          <w:bCs/>
          <w:i/>
          <w:iCs/>
          <w:lang w:val="en-US"/>
        </w:rPr>
        <w:t>Ex vivo C5b-9 deposition.</w:t>
      </w:r>
      <w:r>
        <w:rPr>
          <w:rFonts w:ascii="Times New Roman" w:hAnsi="Times New Roman" w:cs="Times New Roman"/>
          <w:lang w:val="en-US"/>
        </w:rPr>
        <w:t xml:space="preserve"> C5b-9 deposition induced by the patient serum was assessed </w:t>
      </w:r>
      <w:r>
        <w:rPr>
          <w:rFonts w:ascii="Times New Roman" w:hAnsi="Times New Roman" w:cs="Times New Roman"/>
          <w:i/>
          <w:iCs/>
          <w:lang w:val="en-US"/>
        </w:rPr>
        <w:t>ex vivo</w:t>
      </w:r>
      <w:r>
        <w:rPr>
          <w:rFonts w:ascii="Times New Roman" w:hAnsi="Times New Roman" w:cs="Times New Roman"/>
          <w:lang w:val="en-US"/>
        </w:rPr>
        <w:t>, as previously described (4). Briefly, the serum was incubated during 4 hours on cultured microvascular endothelial cells (HMEC-1), in resting conditions and after activation by adenosine5’-diphospate (ADP). SC5b-9 deposition was then assessed using immunofluorescence and confocal microscopy.</w:t>
      </w:r>
    </w:p>
    <w:p w:rsidR="00E2716D" w:rsidRDefault="00E2716D">
      <w:pPr>
        <w:autoSpaceDE w:val="0"/>
        <w:autoSpaceDN w:val="0"/>
        <w:adjustRightInd w:val="0"/>
        <w:spacing w:before="120" w:after="120" w:line="360" w:lineRule="auto"/>
        <w:rPr>
          <w:rFonts w:ascii="Times New Roman" w:hAnsi="Times New Roman" w:cs="Times New Roman"/>
          <w:lang w:val="en-US"/>
        </w:rPr>
      </w:pPr>
      <w:r>
        <w:rPr>
          <w:rFonts w:ascii="Times New Roman" w:hAnsi="Times New Roman" w:cs="Times New Roman"/>
          <w:b/>
          <w:bCs/>
          <w:i/>
          <w:iCs/>
          <w:lang w:val="en-US"/>
        </w:rPr>
        <w:t xml:space="preserve">Picrosirius red staining. </w:t>
      </w:r>
      <w:r>
        <w:rPr>
          <w:rFonts w:ascii="Times New Roman" w:hAnsi="Times New Roman" w:cs="Times New Roman"/>
          <w:lang w:val="en-US"/>
        </w:rPr>
        <w:t>Five</w:t>
      </w:r>
      <w:r>
        <w:rPr>
          <w:rFonts w:ascii="Times New Roman" w:hAnsi="Times New Roman" w:cs="Times New Roman"/>
          <w:b/>
          <w:bCs/>
          <w:i/>
          <w:iCs/>
          <w:lang w:val="en-US"/>
        </w:rPr>
        <w:t xml:space="preserve"> </w:t>
      </w:r>
      <w:r>
        <w:rPr>
          <w:rFonts w:ascii="Times New Roman" w:hAnsi="Times New Roman" w:cs="Times New Roman"/>
          <w:lang w:val="en-US"/>
        </w:rPr>
        <w:t>µm sections were deparaffinized, rehydrated, treated with 1% phosphomolybdic acid and incubated in saturated picric acid solution containing 1% sirius red for 2h at room temperature before washing in 0.01N hydrochloric acid and mounting. Samples were scanned using a SCN400 slide scanner (Leica, Heerbrugg, Switzerland).</w:t>
      </w:r>
    </w:p>
    <w:p w:rsidR="00E2716D" w:rsidRDefault="00E2716D">
      <w:pPr>
        <w:rPr>
          <w:rFonts w:ascii="Times New Roman" w:hAnsi="Times New Roman" w:cs="Times New Roman"/>
          <w:b/>
          <w:bCs/>
          <w:lang w:val="en-US"/>
        </w:rPr>
      </w:pPr>
    </w:p>
    <w:p w:rsidR="00E2716D" w:rsidRDefault="00E2716D">
      <w:pPr>
        <w:spacing w:line="360" w:lineRule="auto"/>
        <w:rPr>
          <w:rFonts w:ascii="Times New Roman" w:hAnsi="Times New Roman" w:cs="Times New Roman"/>
          <w:b/>
          <w:bCs/>
          <w:lang w:val="en-US"/>
        </w:rPr>
      </w:pPr>
      <w:r>
        <w:rPr>
          <w:rFonts w:ascii="Times New Roman" w:hAnsi="Times New Roman" w:cs="Times New Roman"/>
          <w:b/>
          <w:bCs/>
          <w:lang w:val="en-US"/>
        </w:rPr>
        <w:t>REFERENCES</w:t>
      </w:r>
    </w:p>
    <w:p w:rsidR="00E2716D" w:rsidRDefault="00E2716D">
      <w:pPr>
        <w:pStyle w:val="ListParagraph"/>
        <w:numPr>
          <w:ilvl w:val="0"/>
          <w:numId w:val="1"/>
        </w:numPr>
        <w:spacing w:line="360" w:lineRule="auto"/>
        <w:rPr>
          <w:rFonts w:ascii="Times New Roman" w:hAnsi="Times New Roman" w:cs="Times New Roman"/>
        </w:rPr>
      </w:pPr>
      <w:r>
        <w:rPr>
          <w:rFonts w:ascii="Times New Roman" w:hAnsi="Times New Roman" w:cs="Times New Roman"/>
          <w:lang w:val="fr-FR"/>
        </w:rPr>
        <w:t xml:space="preserve">Le Quintrec M, Lionet A, Kandel C, et al. </w:t>
      </w:r>
      <w:r>
        <w:rPr>
          <w:rFonts w:ascii="Times New Roman" w:hAnsi="Times New Roman" w:cs="Times New Roman"/>
          <w:lang w:val="en-US"/>
        </w:rPr>
        <w:t xml:space="preserve">Eculizumab for treatment of rapidly progressive C3 glomerulopathy. </w:t>
      </w:r>
      <w:r>
        <w:rPr>
          <w:rFonts w:ascii="Times New Roman" w:hAnsi="Times New Roman" w:cs="Times New Roman"/>
          <w:i/>
          <w:iCs/>
          <w:lang w:val="fr-FR"/>
        </w:rPr>
        <w:t>Am J Kidney Dis</w:t>
      </w:r>
      <w:r>
        <w:rPr>
          <w:rFonts w:ascii="Times New Roman" w:hAnsi="Times New Roman" w:cs="Times New Roman"/>
          <w:lang w:val="fr-FR"/>
        </w:rPr>
        <w:t xml:space="preserve"> 2015;65:484-489.</w:t>
      </w:r>
    </w:p>
    <w:p w:rsidR="00E2716D" w:rsidRDefault="00E2716D">
      <w:pPr>
        <w:pStyle w:val="ListParagraph"/>
        <w:widowControl w:val="0"/>
        <w:numPr>
          <w:ilvl w:val="0"/>
          <w:numId w:val="1"/>
        </w:numPr>
        <w:autoSpaceDE w:val="0"/>
        <w:autoSpaceDN w:val="0"/>
        <w:adjustRightInd w:val="0"/>
        <w:spacing w:after="120" w:line="360" w:lineRule="auto"/>
        <w:rPr>
          <w:rFonts w:ascii="Times New Roman" w:hAnsi="Times New Roman" w:cs="Times New Roman"/>
          <w:lang w:val="en-US"/>
        </w:rPr>
      </w:pPr>
      <w:r>
        <w:rPr>
          <w:rFonts w:ascii="Times New Roman" w:hAnsi="Times New Roman" w:cs="Times New Roman"/>
        </w:rPr>
        <w:t xml:space="preserve">Vergani D, Bevis L, Nasaruddin BA, Mieli-Vergani G, Tee DE. Clinical application of a new nephelometric technique to measure complement activation. </w:t>
      </w:r>
      <w:r>
        <w:rPr>
          <w:rFonts w:ascii="Times New Roman" w:hAnsi="Times New Roman" w:cs="Times New Roman"/>
          <w:i/>
          <w:iCs/>
          <w:lang w:val="en-US"/>
        </w:rPr>
        <w:t>J Clin Pathol</w:t>
      </w:r>
      <w:r>
        <w:rPr>
          <w:rFonts w:ascii="Times New Roman" w:hAnsi="Times New Roman" w:cs="Times New Roman"/>
          <w:lang w:val="en-US"/>
        </w:rPr>
        <w:t xml:space="preserve"> 1983;36(7):793-797.</w:t>
      </w:r>
    </w:p>
    <w:p w:rsidR="00E2716D" w:rsidRDefault="00E2716D">
      <w:pPr>
        <w:pStyle w:val="ListParagraph"/>
        <w:widowControl w:val="0"/>
        <w:numPr>
          <w:ilvl w:val="0"/>
          <w:numId w:val="1"/>
        </w:numPr>
        <w:autoSpaceDE w:val="0"/>
        <w:autoSpaceDN w:val="0"/>
        <w:adjustRightInd w:val="0"/>
        <w:spacing w:after="120" w:line="360" w:lineRule="auto"/>
        <w:rPr>
          <w:rFonts w:ascii="Times New Roman" w:hAnsi="Times New Roman" w:cs="Times New Roman"/>
          <w:lang w:val="en-US"/>
        </w:rPr>
      </w:pPr>
      <w:r>
        <w:rPr>
          <w:rFonts w:ascii="Times New Roman" w:hAnsi="Times New Roman" w:cs="Times New Roman"/>
          <w:lang w:val="nl-BE"/>
        </w:rPr>
        <w:t xml:space="preserve">Watson R, Lindner S, Bordereau P, et al. </w:t>
      </w:r>
      <w:r>
        <w:rPr>
          <w:rFonts w:ascii="Times New Roman" w:hAnsi="Times New Roman" w:cs="Times New Roman"/>
          <w:lang w:val="en-US"/>
        </w:rPr>
        <w:t xml:space="preserve">Standardisation of the factor H autoantibody assay. </w:t>
      </w:r>
      <w:r>
        <w:rPr>
          <w:rFonts w:ascii="Times New Roman" w:hAnsi="Times New Roman" w:cs="Times New Roman"/>
          <w:i/>
          <w:iCs/>
          <w:lang w:val="en-US"/>
        </w:rPr>
        <w:t>Immunobiology</w:t>
      </w:r>
      <w:r>
        <w:rPr>
          <w:rFonts w:ascii="Times New Roman" w:hAnsi="Times New Roman" w:cs="Times New Roman"/>
          <w:lang w:val="en-US"/>
        </w:rPr>
        <w:t xml:space="preserve"> 2014;219(1):9-16.</w:t>
      </w:r>
    </w:p>
    <w:p w:rsidR="00E2716D" w:rsidRDefault="00E2716D">
      <w:pPr>
        <w:pStyle w:val="ListParagraph"/>
        <w:widowControl w:val="0"/>
        <w:numPr>
          <w:ilvl w:val="0"/>
          <w:numId w:val="1"/>
        </w:numPr>
        <w:autoSpaceDE w:val="0"/>
        <w:autoSpaceDN w:val="0"/>
        <w:adjustRightInd w:val="0"/>
        <w:spacing w:after="120" w:line="360" w:lineRule="auto"/>
        <w:rPr>
          <w:rFonts w:ascii="Times New Roman" w:hAnsi="Times New Roman" w:cs="Times New Roman"/>
          <w:lang w:val="en-US"/>
        </w:rPr>
      </w:pPr>
      <w:r>
        <w:rPr>
          <w:rFonts w:ascii="Times New Roman" w:hAnsi="Times New Roman" w:cs="Times New Roman"/>
          <w:lang w:val="en-US"/>
        </w:rPr>
        <w:t xml:space="preserve">Noris M, Galbusera M, Gastoldi S, et al. Dynamics of complement activation in aHUS and how to monitor eculizumab therapy. </w:t>
      </w:r>
      <w:r>
        <w:rPr>
          <w:rFonts w:ascii="Times New Roman" w:hAnsi="Times New Roman" w:cs="Times New Roman"/>
          <w:i/>
          <w:iCs/>
          <w:lang w:val="en-US"/>
        </w:rPr>
        <w:t>Blood</w:t>
      </w:r>
      <w:r>
        <w:rPr>
          <w:rFonts w:ascii="Times New Roman" w:hAnsi="Times New Roman" w:cs="Times New Roman"/>
          <w:lang w:val="en-US"/>
        </w:rPr>
        <w:t xml:space="preserve"> 2014;124(11):1715-1726.</w:t>
      </w:r>
    </w:p>
    <w:p w:rsidR="00E2716D" w:rsidRDefault="00E2716D">
      <w:pPr>
        <w:spacing w:line="360" w:lineRule="auto"/>
        <w:rPr>
          <w:rFonts w:ascii="Times New Roman" w:hAnsi="Times New Roman" w:cs="Times New Roman"/>
          <w:b/>
          <w:bCs/>
          <w:lang w:val="en-US"/>
        </w:rPr>
      </w:pPr>
      <w:r>
        <w:rPr>
          <w:rFonts w:ascii="Times New Roman" w:hAnsi="Times New Roman" w:cs="Times New Roman"/>
          <w:lang w:val="en-US"/>
        </w:rPr>
        <w:br w:type="page"/>
      </w:r>
      <w:r>
        <w:rPr>
          <w:rFonts w:ascii="Times New Roman" w:hAnsi="Times New Roman" w:cs="Times New Roman"/>
          <w:b/>
          <w:bCs/>
          <w:lang w:val="en-US"/>
        </w:rPr>
        <w:t>SUPPLEMENTARY TABLE</w:t>
      </w:r>
    </w:p>
    <w:p w:rsidR="00E2716D" w:rsidRDefault="00E2716D">
      <w:pPr>
        <w:spacing w:line="360" w:lineRule="auto"/>
        <w:rPr>
          <w:rFonts w:ascii="Times New Roman" w:hAnsi="Times New Roman" w:cs="Times New Roman"/>
          <w:b/>
          <w:bCs/>
          <w:lang w:val="en-US"/>
        </w:rPr>
      </w:pPr>
    </w:p>
    <w:p w:rsidR="00E2716D" w:rsidRDefault="00E2716D">
      <w:pPr>
        <w:widowControl w:val="0"/>
        <w:autoSpaceDE w:val="0"/>
        <w:autoSpaceDN w:val="0"/>
        <w:adjustRightInd w:val="0"/>
        <w:spacing w:after="120" w:line="360" w:lineRule="auto"/>
        <w:rPr>
          <w:rFonts w:ascii="Times New Roman" w:hAnsi="Times New Roman" w:cs="Times New Roman"/>
          <w:b/>
          <w:bCs/>
          <w:lang w:val="en-US"/>
        </w:rPr>
      </w:pPr>
      <w:r>
        <w:rPr>
          <w:rFonts w:ascii="Times New Roman" w:hAnsi="Times New Roman" w:cs="Times New Roman"/>
          <w:b/>
          <w:bCs/>
          <w:lang w:val="en-US"/>
        </w:rPr>
        <w:t>Supplementary table 1. Biological data during follow-up.</w:t>
      </w:r>
    </w:p>
    <w:tbl>
      <w:tblPr>
        <w:tblW w:w="0" w:type="auto"/>
        <w:jc w:val="center"/>
        <w:tblBorders>
          <w:top w:val="single" w:sz="8" w:space="0" w:color="000000"/>
          <w:bottom w:val="single" w:sz="8" w:space="0" w:color="000000"/>
        </w:tblBorders>
        <w:tblLook w:val="0000"/>
      </w:tblPr>
      <w:tblGrid>
        <w:gridCol w:w="1613"/>
        <w:gridCol w:w="1236"/>
        <w:gridCol w:w="1233"/>
        <w:gridCol w:w="738"/>
        <w:gridCol w:w="652"/>
        <w:gridCol w:w="652"/>
        <w:gridCol w:w="629"/>
        <w:gridCol w:w="576"/>
        <w:gridCol w:w="629"/>
        <w:gridCol w:w="628"/>
        <w:gridCol w:w="696"/>
      </w:tblGrid>
      <w:tr w:rsidR="00E2716D">
        <w:trPr>
          <w:trHeight w:val="491"/>
          <w:jc w:val="center"/>
        </w:trPr>
        <w:tc>
          <w:tcPr>
            <w:tcW w:w="1627" w:type="dxa"/>
            <w:tcBorders>
              <w:top w:val="single" w:sz="8" w:space="0" w:color="000000"/>
              <w:left w:val="nil"/>
              <w:bottom w:val="nil"/>
              <w:right w:val="nil"/>
            </w:tcBorders>
            <w:vAlign w:val="center"/>
          </w:tcPr>
          <w:p w:rsidR="00E2716D" w:rsidRDefault="00E2716D">
            <w:pPr>
              <w:widowControl w:val="0"/>
              <w:autoSpaceDE w:val="0"/>
              <w:autoSpaceDN w:val="0"/>
              <w:adjustRightInd w:val="0"/>
              <w:spacing w:line="360" w:lineRule="auto"/>
              <w:rPr>
                <w:rFonts w:ascii="Times New Roman" w:hAnsi="Times New Roman" w:cs="Times New Roman"/>
                <w:b/>
                <w:bCs/>
                <w:color w:val="000000"/>
                <w:lang w:val="en-US" w:eastAsia="ja-JP"/>
              </w:rPr>
            </w:pPr>
          </w:p>
        </w:tc>
        <w:tc>
          <w:tcPr>
            <w:tcW w:w="1266" w:type="dxa"/>
            <w:tcBorders>
              <w:top w:val="single" w:sz="8" w:space="0" w:color="000000"/>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b/>
                <w:bCs/>
                <w:color w:val="000000"/>
                <w:lang w:eastAsia="ja-JP"/>
              </w:rPr>
            </w:pPr>
            <w:r>
              <w:rPr>
                <w:rFonts w:ascii="Times New Roman" w:hAnsi="Times New Roman" w:cs="Times New Roman"/>
                <w:b/>
                <w:bCs/>
                <w:color w:val="000000"/>
                <w:lang w:eastAsia="ja-JP"/>
              </w:rPr>
              <w:t>Normal range</w:t>
            </w:r>
          </w:p>
        </w:tc>
        <w:tc>
          <w:tcPr>
            <w:tcW w:w="1288" w:type="dxa"/>
            <w:tcBorders>
              <w:top w:val="single" w:sz="8" w:space="0" w:color="000000"/>
              <w:left w:val="nil"/>
              <w:bottom w:val="nil"/>
              <w:right w:val="nil"/>
            </w:tcBorders>
          </w:tcPr>
          <w:p w:rsidR="00E2716D" w:rsidRDefault="00E2716D">
            <w:pPr>
              <w:spacing w:line="360" w:lineRule="auto"/>
              <w:jc w:val="center"/>
              <w:rPr>
                <w:rFonts w:ascii="Times New Roman" w:hAnsi="Times New Roman" w:cs="Times New Roman"/>
                <w:b/>
                <w:bCs/>
                <w:color w:val="000000"/>
                <w:lang w:eastAsia="ja-JP"/>
              </w:rPr>
            </w:pPr>
            <w:r>
              <w:rPr>
                <w:rFonts w:ascii="Times New Roman" w:hAnsi="Times New Roman" w:cs="Times New Roman"/>
                <w:b/>
                <w:bCs/>
                <w:color w:val="000000"/>
                <w:lang w:eastAsia="ja-JP"/>
              </w:rPr>
              <w:t>Units</w:t>
            </w:r>
          </w:p>
        </w:tc>
        <w:tc>
          <w:tcPr>
            <w:tcW w:w="5225" w:type="dxa"/>
            <w:gridSpan w:val="8"/>
            <w:tcBorders>
              <w:top w:val="single" w:sz="8" w:space="0" w:color="000000"/>
              <w:left w:val="nil"/>
              <w:bottom w:val="nil"/>
              <w:right w:val="nil"/>
            </w:tcBorders>
            <w:vAlign w:val="center"/>
          </w:tcPr>
          <w:p w:rsidR="00E2716D" w:rsidRDefault="00E2716D">
            <w:pPr>
              <w:spacing w:line="360" w:lineRule="auto"/>
              <w:jc w:val="center"/>
              <w:rPr>
                <w:rFonts w:ascii="Times New Roman" w:eastAsia="MS PGothic" w:hAnsi="Times New Roman" w:cstheme="minorBidi"/>
                <w:b/>
                <w:bCs/>
                <w:color w:val="000000"/>
                <w:kern w:val="24"/>
                <w:lang w:eastAsia="ja-JP"/>
              </w:rPr>
            </w:pPr>
            <w:r>
              <w:rPr>
                <w:rFonts w:ascii="Times New Roman" w:hAnsi="Times New Roman" w:cs="Times New Roman"/>
                <w:b/>
                <w:bCs/>
                <w:color w:val="000000"/>
                <w:lang w:eastAsia="ja-JP"/>
              </w:rPr>
              <w:t>Time (days from admission)</w:t>
            </w:r>
          </w:p>
        </w:tc>
      </w:tr>
      <w:tr w:rsidR="00E2716D">
        <w:trPr>
          <w:trHeight w:val="491"/>
          <w:jc w:val="center"/>
        </w:trPr>
        <w:tc>
          <w:tcPr>
            <w:tcW w:w="1627" w:type="dxa"/>
            <w:tcBorders>
              <w:top w:val="nil"/>
              <w:left w:val="nil"/>
              <w:bottom w:val="single" w:sz="4" w:space="0" w:color="auto"/>
              <w:right w:val="nil"/>
            </w:tcBorders>
            <w:vAlign w:val="center"/>
          </w:tcPr>
          <w:p w:rsidR="00E2716D" w:rsidRDefault="00E2716D">
            <w:pPr>
              <w:widowControl w:val="0"/>
              <w:autoSpaceDE w:val="0"/>
              <w:autoSpaceDN w:val="0"/>
              <w:adjustRightInd w:val="0"/>
              <w:spacing w:line="360" w:lineRule="auto"/>
              <w:rPr>
                <w:rFonts w:ascii="Times New Roman" w:hAnsi="Times New Roman" w:cs="Times New Roman"/>
                <w:b/>
                <w:bCs/>
                <w:color w:val="000000"/>
                <w:lang w:eastAsia="ja-JP"/>
              </w:rPr>
            </w:pPr>
          </w:p>
        </w:tc>
        <w:tc>
          <w:tcPr>
            <w:tcW w:w="1266" w:type="dxa"/>
            <w:tcBorders>
              <w:top w:val="nil"/>
              <w:left w:val="nil"/>
              <w:bottom w:val="single" w:sz="4" w:space="0" w:color="auto"/>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p>
        </w:tc>
        <w:tc>
          <w:tcPr>
            <w:tcW w:w="1288" w:type="dxa"/>
            <w:tcBorders>
              <w:top w:val="nil"/>
              <w:left w:val="nil"/>
              <w:bottom w:val="single" w:sz="4" w:space="0" w:color="auto"/>
              <w:right w:val="nil"/>
            </w:tcBorders>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p>
        </w:tc>
        <w:tc>
          <w:tcPr>
            <w:tcW w:w="749" w:type="dxa"/>
            <w:tcBorders>
              <w:top w:val="nil"/>
              <w:left w:val="nil"/>
              <w:bottom w:val="single" w:sz="4" w:space="0" w:color="auto"/>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b/>
                <w:bCs/>
                <w:color w:val="000000"/>
                <w:lang w:eastAsia="ja-JP"/>
              </w:rPr>
            </w:pPr>
            <w:r>
              <w:rPr>
                <w:rFonts w:ascii="Times New Roman" w:hAnsi="Times New Roman" w:cs="Times New Roman"/>
                <w:b/>
                <w:bCs/>
                <w:color w:val="000000"/>
                <w:lang w:eastAsia="ja-JP"/>
              </w:rPr>
              <w:t>1</w:t>
            </w:r>
          </w:p>
        </w:tc>
        <w:tc>
          <w:tcPr>
            <w:tcW w:w="652" w:type="dxa"/>
            <w:tcBorders>
              <w:top w:val="nil"/>
              <w:left w:val="nil"/>
              <w:bottom w:val="single" w:sz="4" w:space="0" w:color="auto"/>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b/>
                <w:bCs/>
                <w:color w:val="000000"/>
                <w:lang w:eastAsia="ja-JP"/>
              </w:rPr>
            </w:pPr>
            <w:r>
              <w:rPr>
                <w:rFonts w:ascii="Times New Roman" w:hAnsi="Times New Roman" w:cs="Times New Roman"/>
                <w:b/>
                <w:bCs/>
                <w:color w:val="000000"/>
                <w:lang w:eastAsia="ja-JP"/>
              </w:rPr>
              <w:t>5</w:t>
            </w:r>
          </w:p>
        </w:tc>
        <w:tc>
          <w:tcPr>
            <w:tcW w:w="652" w:type="dxa"/>
            <w:tcBorders>
              <w:top w:val="nil"/>
              <w:left w:val="nil"/>
              <w:bottom w:val="single" w:sz="4" w:space="0" w:color="auto"/>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b/>
                <w:bCs/>
                <w:color w:val="000000"/>
                <w:lang w:eastAsia="ja-JP"/>
              </w:rPr>
            </w:pPr>
            <w:r>
              <w:rPr>
                <w:rFonts w:ascii="Times New Roman" w:hAnsi="Times New Roman" w:cs="Times New Roman"/>
                <w:b/>
                <w:bCs/>
                <w:color w:val="000000"/>
                <w:lang w:eastAsia="ja-JP"/>
              </w:rPr>
              <w:t>10</w:t>
            </w:r>
          </w:p>
        </w:tc>
        <w:tc>
          <w:tcPr>
            <w:tcW w:w="636" w:type="dxa"/>
            <w:tcBorders>
              <w:top w:val="nil"/>
              <w:left w:val="nil"/>
              <w:bottom w:val="single" w:sz="4" w:space="0" w:color="auto"/>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b/>
                <w:bCs/>
                <w:color w:val="000000"/>
                <w:lang w:eastAsia="ja-JP"/>
              </w:rPr>
            </w:pPr>
            <w:r>
              <w:rPr>
                <w:rFonts w:ascii="Times New Roman" w:hAnsi="Times New Roman" w:cs="Times New Roman"/>
                <w:b/>
                <w:bCs/>
                <w:color w:val="000000"/>
                <w:lang w:eastAsia="ja-JP"/>
              </w:rPr>
              <w:t>15</w:t>
            </w:r>
          </w:p>
        </w:tc>
        <w:tc>
          <w:tcPr>
            <w:tcW w:w="576" w:type="dxa"/>
            <w:tcBorders>
              <w:top w:val="nil"/>
              <w:left w:val="nil"/>
              <w:bottom w:val="single" w:sz="4" w:space="0" w:color="auto"/>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b/>
                <w:bCs/>
                <w:color w:val="000000"/>
                <w:lang w:eastAsia="ja-JP"/>
              </w:rPr>
            </w:pPr>
            <w:r>
              <w:rPr>
                <w:rFonts w:ascii="Times New Roman" w:hAnsi="Times New Roman" w:cs="Times New Roman"/>
                <w:b/>
                <w:bCs/>
                <w:color w:val="000000"/>
                <w:lang w:eastAsia="ja-JP"/>
              </w:rPr>
              <w:t>20</w:t>
            </w:r>
          </w:p>
        </w:tc>
        <w:tc>
          <w:tcPr>
            <w:tcW w:w="636" w:type="dxa"/>
            <w:tcBorders>
              <w:top w:val="nil"/>
              <w:left w:val="nil"/>
              <w:bottom w:val="single" w:sz="4" w:space="0" w:color="auto"/>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b/>
                <w:bCs/>
                <w:color w:val="000000"/>
                <w:lang w:eastAsia="ja-JP"/>
              </w:rPr>
            </w:pPr>
            <w:r>
              <w:rPr>
                <w:rFonts w:ascii="Times New Roman" w:eastAsia="MS PGothic" w:hAnsi="Times New Roman" w:cs="Times New Roman"/>
                <w:b/>
                <w:bCs/>
                <w:color w:val="000000"/>
                <w:kern w:val="24"/>
                <w:lang w:eastAsia="ja-JP"/>
              </w:rPr>
              <w:t>30</w:t>
            </w:r>
          </w:p>
        </w:tc>
        <w:tc>
          <w:tcPr>
            <w:tcW w:w="628" w:type="dxa"/>
            <w:tcBorders>
              <w:top w:val="nil"/>
              <w:left w:val="nil"/>
              <w:bottom w:val="single" w:sz="4" w:space="0" w:color="auto"/>
              <w:right w:val="nil"/>
            </w:tcBorders>
            <w:vAlign w:val="center"/>
          </w:tcPr>
          <w:p w:rsidR="00E2716D" w:rsidRDefault="00E2716D">
            <w:pPr>
              <w:spacing w:line="360" w:lineRule="auto"/>
              <w:jc w:val="center"/>
              <w:rPr>
                <w:rFonts w:ascii="Times New Roman" w:hAnsi="Times New Roman" w:cs="Times New Roman"/>
                <w:b/>
                <w:bCs/>
                <w:color w:val="000000"/>
                <w:lang w:eastAsia="ja-JP"/>
              </w:rPr>
            </w:pPr>
            <w:r>
              <w:rPr>
                <w:rFonts w:ascii="Times New Roman" w:eastAsia="MS PGothic" w:hAnsi="Times New Roman" w:cs="Times New Roman"/>
                <w:b/>
                <w:bCs/>
                <w:color w:val="000000"/>
                <w:kern w:val="24"/>
                <w:lang w:eastAsia="ja-JP"/>
              </w:rPr>
              <w:t>40</w:t>
            </w:r>
          </w:p>
        </w:tc>
        <w:tc>
          <w:tcPr>
            <w:tcW w:w="696" w:type="dxa"/>
            <w:tcBorders>
              <w:top w:val="nil"/>
              <w:left w:val="nil"/>
              <w:bottom w:val="single" w:sz="4" w:space="0" w:color="auto"/>
              <w:right w:val="nil"/>
            </w:tcBorders>
            <w:vAlign w:val="center"/>
          </w:tcPr>
          <w:p w:rsidR="00E2716D" w:rsidRDefault="00E2716D">
            <w:pPr>
              <w:spacing w:line="360" w:lineRule="auto"/>
              <w:jc w:val="center"/>
              <w:rPr>
                <w:rFonts w:ascii="Times New Roman" w:hAnsi="Times New Roman" w:cs="Times New Roman"/>
                <w:b/>
                <w:bCs/>
                <w:color w:val="000000"/>
                <w:lang w:eastAsia="ja-JP"/>
              </w:rPr>
            </w:pPr>
            <w:r>
              <w:rPr>
                <w:rFonts w:ascii="Times New Roman" w:eastAsia="MS PGothic" w:hAnsi="Times New Roman" w:cs="Times New Roman"/>
                <w:b/>
                <w:bCs/>
                <w:color w:val="000000"/>
                <w:kern w:val="24"/>
                <w:lang w:eastAsia="ja-JP"/>
              </w:rPr>
              <w:t>50</w:t>
            </w:r>
          </w:p>
        </w:tc>
      </w:tr>
      <w:tr w:rsidR="00E2716D">
        <w:trPr>
          <w:trHeight w:val="491"/>
          <w:jc w:val="center"/>
        </w:trPr>
        <w:tc>
          <w:tcPr>
            <w:tcW w:w="1627" w:type="dxa"/>
            <w:tcBorders>
              <w:top w:val="single" w:sz="4" w:space="0" w:color="auto"/>
              <w:left w:val="nil"/>
              <w:bottom w:val="nil"/>
              <w:right w:val="nil"/>
            </w:tcBorders>
            <w:shd w:val="clear" w:color="auto" w:fill="D9D9D9"/>
            <w:vAlign w:val="center"/>
          </w:tcPr>
          <w:p w:rsidR="00E2716D" w:rsidRDefault="00E2716D">
            <w:pPr>
              <w:widowControl w:val="0"/>
              <w:autoSpaceDE w:val="0"/>
              <w:autoSpaceDN w:val="0"/>
              <w:adjustRightInd w:val="0"/>
              <w:spacing w:line="360" w:lineRule="auto"/>
              <w:rPr>
                <w:rFonts w:ascii="Times New Roman" w:hAnsi="Times New Roman" w:cs="Times New Roman"/>
                <w:b/>
                <w:bCs/>
                <w:color w:val="000000"/>
                <w:lang w:eastAsia="ja-JP"/>
              </w:rPr>
            </w:pPr>
            <w:r>
              <w:rPr>
                <w:rFonts w:ascii="Times New Roman" w:hAnsi="Times New Roman" w:cs="Times New Roman"/>
                <w:b/>
                <w:bCs/>
                <w:color w:val="000000"/>
                <w:lang w:eastAsia="ja-JP"/>
              </w:rPr>
              <w:t>Platelets</w:t>
            </w:r>
          </w:p>
        </w:tc>
        <w:tc>
          <w:tcPr>
            <w:tcW w:w="1266" w:type="dxa"/>
            <w:tcBorders>
              <w:top w:val="single" w:sz="4" w:space="0" w:color="auto"/>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150-350</w:t>
            </w:r>
          </w:p>
        </w:tc>
        <w:tc>
          <w:tcPr>
            <w:tcW w:w="1288" w:type="dxa"/>
            <w:tcBorders>
              <w:top w:val="single" w:sz="4" w:space="0" w:color="auto"/>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10³/µl</w:t>
            </w:r>
          </w:p>
        </w:tc>
        <w:tc>
          <w:tcPr>
            <w:tcW w:w="749" w:type="dxa"/>
            <w:tcBorders>
              <w:top w:val="single" w:sz="4" w:space="0" w:color="auto"/>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55</w:t>
            </w:r>
          </w:p>
        </w:tc>
        <w:tc>
          <w:tcPr>
            <w:tcW w:w="652" w:type="dxa"/>
            <w:tcBorders>
              <w:top w:val="single" w:sz="4" w:space="0" w:color="auto"/>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68</w:t>
            </w:r>
          </w:p>
        </w:tc>
        <w:tc>
          <w:tcPr>
            <w:tcW w:w="652" w:type="dxa"/>
            <w:tcBorders>
              <w:top w:val="single" w:sz="4" w:space="0" w:color="auto"/>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109</w:t>
            </w:r>
          </w:p>
        </w:tc>
        <w:tc>
          <w:tcPr>
            <w:tcW w:w="636" w:type="dxa"/>
            <w:tcBorders>
              <w:top w:val="single" w:sz="4" w:space="0" w:color="auto"/>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174</w:t>
            </w:r>
          </w:p>
        </w:tc>
        <w:tc>
          <w:tcPr>
            <w:tcW w:w="576" w:type="dxa"/>
            <w:tcBorders>
              <w:top w:val="single" w:sz="4" w:space="0" w:color="auto"/>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338</w:t>
            </w:r>
          </w:p>
        </w:tc>
        <w:tc>
          <w:tcPr>
            <w:tcW w:w="636" w:type="dxa"/>
            <w:tcBorders>
              <w:top w:val="single" w:sz="4" w:space="0" w:color="auto"/>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214</w:t>
            </w:r>
          </w:p>
        </w:tc>
        <w:tc>
          <w:tcPr>
            <w:tcW w:w="628" w:type="dxa"/>
            <w:tcBorders>
              <w:top w:val="single" w:sz="4" w:space="0" w:color="auto"/>
              <w:left w:val="nil"/>
              <w:bottom w:val="nil"/>
              <w:right w:val="nil"/>
            </w:tcBorders>
            <w:shd w:val="clear" w:color="auto" w:fill="D9D9D9"/>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171</w:t>
            </w:r>
          </w:p>
        </w:tc>
        <w:tc>
          <w:tcPr>
            <w:tcW w:w="696" w:type="dxa"/>
            <w:tcBorders>
              <w:top w:val="single" w:sz="4" w:space="0" w:color="auto"/>
              <w:left w:val="nil"/>
              <w:bottom w:val="nil"/>
              <w:right w:val="nil"/>
            </w:tcBorders>
            <w:shd w:val="clear" w:color="auto" w:fill="D9D9D9"/>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158</w:t>
            </w:r>
          </w:p>
        </w:tc>
      </w:tr>
      <w:tr w:rsidR="00E2716D">
        <w:trPr>
          <w:trHeight w:val="491"/>
          <w:jc w:val="center"/>
        </w:trPr>
        <w:tc>
          <w:tcPr>
            <w:tcW w:w="1627" w:type="dxa"/>
            <w:tcBorders>
              <w:top w:val="nil"/>
              <w:left w:val="nil"/>
              <w:bottom w:val="nil"/>
              <w:right w:val="nil"/>
            </w:tcBorders>
            <w:vAlign w:val="center"/>
          </w:tcPr>
          <w:p w:rsidR="00E2716D" w:rsidRDefault="00E2716D">
            <w:pPr>
              <w:widowControl w:val="0"/>
              <w:autoSpaceDE w:val="0"/>
              <w:autoSpaceDN w:val="0"/>
              <w:adjustRightInd w:val="0"/>
              <w:spacing w:line="360" w:lineRule="auto"/>
              <w:rPr>
                <w:rFonts w:ascii="Times New Roman" w:hAnsi="Times New Roman" w:cs="Times New Roman"/>
                <w:b/>
                <w:bCs/>
                <w:color w:val="000000"/>
                <w:lang w:eastAsia="ja-JP"/>
              </w:rPr>
            </w:pPr>
            <w:r>
              <w:rPr>
                <w:rFonts w:ascii="Times New Roman" w:hAnsi="Times New Roman" w:cs="Times New Roman"/>
                <w:b/>
                <w:bCs/>
                <w:color w:val="000000"/>
                <w:lang w:eastAsia="ja-JP"/>
              </w:rPr>
              <w:t>LDH</w:t>
            </w:r>
          </w:p>
        </w:tc>
        <w:tc>
          <w:tcPr>
            <w:tcW w:w="1266"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&lt;250</w:t>
            </w:r>
          </w:p>
        </w:tc>
        <w:tc>
          <w:tcPr>
            <w:tcW w:w="1288"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IU/l</w:t>
            </w:r>
          </w:p>
        </w:tc>
        <w:tc>
          <w:tcPr>
            <w:tcW w:w="749"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968</w:t>
            </w:r>
          </w:p>
        </w:tc>
        <w:tc>
          <w:tcPr>
            <w:tcW w:w="652"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777</w:t>
            </w:r>
          </w:p>
        </w:tc>
        <w:tc>
          <w:tcPr>
            <w:tcW w:w="652"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621</w:t>
            </w:r>
          </w:p>
        </w:tc>
        <w:tc>
          <w:tcPr>
            <w:tcW w:w="636"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558</w:t>
            </w:r>
          </w:p>
        </w:tc>
        <w:tc>
          <w:tcPr>
            <w:tcW w:w="576"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320</w:t>
            </w:r>
          </w:p>
        </w:tc>
        <w:tc>
          <w:tcPr>
            <w:tcW w:w="636"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318</w:t>
            </w:r>
          </w:p>
        </w:tc>
        <w:tc>
          <w:tcPr>
            <w:tcW w:w="628" w:type="dxa"/>
            <w:tcBorders>
              <w:top w:val="nil"/>
              <w:left w:val="nil"/>
              <w:bottom w:val="nil"/>
              <w:right w:val="nil"/>
            </w:tcBorders>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341</w:t>
            </w:r>
          </w:p>
        </w:tc>
        <w:tc>
          <w:tcPr>
            <w:tcW w:w="696" w:type="dxa"/>
            <w:tcBorders>
              <w:top w:val="nil"/>
              <w:left w:val="nil"/>
              <w:bottom w:val="nil"/>
              <w:right w:val="nil"/>
            </w:tcBorders>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412</w:t>
            </w:r>
          </w:p>
        </w:tc>
      </w:tr>
      <w:tr w:rsidR="00E2716D">
        <w:trPr>
          <w:trHeight w:val="491"/>
          <w:jc w:val="center"/>
        </w:trPr>
        <w:tc>
          <w:tcPr>
            <w:tcW w:w="1627"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Haptoglobin </w:t>
            </w:r>
          </w:p>
        </w:tc>
        <w:tc>
          <w:tcPr>
            <w:tcW w:w="1266"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0.3-2.0</w:t>
            </w:r>
          </w:p>
        </w:tc>
        <w:tc>
          <w:tcPr>
            <w:tcW w:w="1288"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g/l</w:t>
            </w:r>
          </w:p>
        </w:tc>
        <w:tc>
          <w:tcPr>
            <w:tcW w:w="749"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&lt;0.1</w:t>
            </w:r>
          </w:p>
        </w:tc>
        <w:tc>
          <w:tcPr>
            <w:tcW w:w="652"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&lt;0.1</w:t>
            </w:r>
          </w:p>
        </w:tc>
        <w:tc>
          <w:tcPr>
            <w:tcW w:w="652"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&lt;0.1</w:t>
            </w:r>
          </w:p>
        </w:tc>
        <w:tc>
          <w:tcPr>
            <w:tcW w:w="636"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0.1</w:t>
            </w:r>
          </w:p>
        </w:tc>
        <w:tc>
          <w:tcPr>
            <w:tcW w:w="576"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1.1</w:t>
            </w:r>
          </w:p>
        </w:tc>
        <w:tc>
          <w:tcPr>
            <w:tcW w:w="636"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0.6</w:t>
            </w:r>
          </w:p>
        </w:tc>
        <w:tc>
          <w:tcPr>
            <w:tcW w:w="628" w:type="dxa"/>
            <w:tcBorders>
              <w:top w:val="nil"/>
              <w:left w:val="nil"/>
              <w:bottom w:val="nil"/>
              <w:right w:val="nil"/>
            </w:tcBorders>
            <w:shd w:val="clear" w:color="auto" w:fill="D9D9D9"/>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1.11</w:t>
            </w:r>
          </w:p>
        </w:tc>
        <w:tc>
          <w:tcPr>
            <w:tcW w:w="696" w:type="dxa"/>
            <w:tcBorders>
              <w:top w:val="nil"/>
              <w:left w:val="nil"/>
              <w:bottom w:val="nil"/>
              <w:right w:val="nil"/>
            </w:tcBorders>
            <w:shd w:val="clear" w:color="auto" w:fill="D9D9D9"/>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1.0</w:t>
            </w:r>
          </w:p>
        </w:tc>
      </w:tr>
      <w:tr w:rsidR="00E2716D">
        <w:trPr>
          <w:trHeight w:val="491"/>
          <w:jc w:val="center"/>
        </w:trPr>
        <w:tc>
          <w:tcPr>
            <w:tcW w:w="1627" w:type="dxa"/>
            <w:tcBorders>
              <w:top w:val="nil"/>
              <w:left w:val="nil"/>
              <w:bottom w:val="nil"/>
              <w:right w:val="nil"/>
            </w:tcBorders>
            <w:vAlign w:val="center"/>
          </w:tcPr>
          <w:p w:rsidR="00E2716D" w:rsidRDefault="00E2716D">
            <w:pPr>
              <w:widowControl w:val="0"/>
              <w:autoSpaceDE w:val="0"/>
              <w:autoSpaceDN w:val="0"/>
              <w:adjustRightInd w:val="0"/>
              <w:spacing w:line="360" w:lineRule="auto"/>
              <w:rPr>
                <w:rFonts w:ascii="Times New Roman" w:hAnsi="Times New Roman" w:cs="Times New Roman"/>
                <w:b/>
                <w:bCs/>
                <w:color w:val="000000"/>
                <w:lang w:eastAsia="ja-JP"/>
              </w:rPr>
            </w:pPr>
            <w:r>
              <w:rPr>
                <w:rFonts w:ascii="Times New Roman" w:hAnsi="Times New Roman" w:cs="Times New Roman"/>
                <w:b/>
                <w:bCs/>
                <w:color w:val="000000"/>
                <w:lang w:eastAsia="ja-JP"/>
              </w:rPr>
              <w:t xml:space="preserve">Schistocytes </w:t>
            </w:r>
          </w:p>
        </w:tc>
        <w:tc>
          <w:tcPr>
            <w:tcW w:w="1266"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&lt;1</w:t>
            </w:r>
          </w:p>
        </w:tc>
        <w:tc>
          <w:tcPr>
            <w:tcW w:w="1288"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w:t>
            </w:r>
          </w:p>
        </w:tc>
        <w:tc>
          <w:tcPr>
            <w:tcW w:w="749"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3</w:t>
            </w:r>
          </w:p>
        </w:tc>
        <w:tc>
          <w:tcPr>
            <w:tcW w:w="652"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3</w:t>
            </w:r>
          </w:p>
        </w:tc>
        <w:tc>
          <w:tcPr>
            <w:tcW w:w="652"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5</w:t>
            </w:r>
          </w:p>
        </w:tc>
        <w:tc>
          <w:tcPr>
            <w:tcW w:w="636"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4</w:t>
            </w:r>
          </w:p>
        </w:tc>
        <w:tc>
          <w:tcPr>
            <w:tcW w:w="576"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4</w:t>
            </w:r>
          </w:p>
        </w:tc>
        <w:tc>
          <w:tcPr>
            <w:tcW w:w="636" w:type="dxa"/>
            <w:tcBorders>
              <w:top w:val="nil"/>
              <w:left w:val="nil"/>
              <w:bottom w:val="nil"/>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&lt;1</w:t>
            </w:r>
          </w:p>
        </w:tc>
        <w:tc>
          <w:tcPr>
            <w:tcW w:w="628" w:type="dxa"/>
            <w:tcBorders>
              <w:top w:val="nil"/>
              <w:left w:val="nil"/>
              <w:bottom w:val="nil"/>
              <w:right w:val="nil"/>
            </w:tcBorders>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&lt;1</w:t>
            </w:r>
          </w:p>
        </w:tc>
        <w:tc>
          <w:tcPr>
            <w:tcW w:w="696" w:type="dxa"/>
            <w:tcBorders>
              <w:top w:val="nil"/>
              <w:left w:val="nil"/>
              <w:bottom w:val="nil"/>
              <w:right w:val="nil"/>
            </w:tcBorders>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2</w:t>
            </w:r>
          </w:p>
        </w:tc>
      </w:tr>
      <w:tr w:rsidR="00E2716D">
        <w:trPr>
          <w:trHeight w:val="491"/>
          <w:jc w:val="center"/>
        </w:trPr>
        <w:tc>
          <w:tcPr>
            <w:tcW w:w="1627"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rPr>
                <w:rFonts w:ascii="Times New Roman" w:hAnsi="Times New Roman" w:cs="Times New Roman"/>
                <w:b/>
                <w:bCs/>
                <w:color w:val="000000"/>
                <w:lang w:eastAsia="ja-JP"/>
              </w:rPr>
            </w:pPr>
            <w:r>
              <w:rPr>
                <w:rFonts w:ascii="Times New Roman" w:hAnsi="Times New Roman" w:cs="Times New Roman"/>
                <w:b/>
                <w:bCs/>
                <w:color w:val="000000"/>
                <w:lang w:eastAsia="ja-JP"/>
              </w:rPr>
              <w:t>TnT</w:t>
            </w:r>
          </w:p>
        </w:tc>
        <w:tc>
          <w:tcPr>
            <w:tcW w:w="1266"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&lt;15</w:t>
            </w:r>
          </w:p>
        </w:tc>
        <w:tc>
          <w:tcPr>
            <w:tcW w:w="1288"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pg/ml</w:t>
            </w:r>
          </w:p>
        </w:tc>
        <w:tc>
          <w:tcPr>
            <w:tcW w:w="749"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454</w:t>
            </w:r>
          </w:p>
        </w:tc>
        <w:tc>
          <w:tcPr>
            <w:tcW w:w="652"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580</w:t>
            </w:r>
          </w:p>
        </w:tc>
        <w:tc>
          <w:tcPr>
            <w:tcW w:w="652"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880</w:t>
            </w:r>
          </w:p>
        </w:tc>
        <w:tc>
          <w:tcPr>
            <w:tcW w:w="636"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927</w:t>
            </w:r>
          </w:p>
        </w:tc>
        <w:tc>
          <w:tcPr>
            <w:tcW w:w="576"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623</w:t>
            </w:r>
          </w:p>
        </w:tc>
        <w:tc>
          <w:tcPr>
            <w:tcW w:w="636" w:type="dxa"/>
            <w:tcBorders>
              <w:top w:val="nil"/>
              <w:left w:val="nil"/>
              <w:bottom w:val="nil"/>
              <w:right w:val="nil"/>
            </w:tcBorders>
            <w:shd w:val="clear" w:color="auto" w:fill="D9D9D9"/>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704</w:t>
            </w:r>
          </w:p>
        </w:tc>
        <w:tc>
          <w:tcPr>
            <w:tcW w:w="628" w:type="dxa"/>
            <w:tcBorders>
              <w:top w:val="nil"/>
              <w:left w:val="nil"/>
              <w:bottom w:val="nil"/>
              <w:right w:val="nil"/>
            </w:tcBorders>
            <w:shd w:val="clear" w:color="auto" w:fill="D9D9D9"/>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921</w:t>
            </w:r>
          </w:p>
        </w:tc>
        <w:tc>
          <w:tcPr>
            <w:tcW w:w="696" w:type="dxa"/>
            <w:tcBorders>
              <w:top w:val="nil"/>
              <w:left w:val="nil"/>
              <w:bottom w:val="nil"/>
              <w:right w:val="nil"/>
            </w:tcBorders>
            <w:shd w:val="clear" w:color="auto" w:fill="D9D9D9"/>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1030</w:t>
            </w:r>
          </w:p>
        </w:tc>
      </w:tr>
      <w:tr w:rsidR="00E2716D">
        <w:trPr>
          <w:trHeight w:val="491"/>
          <w:jc w:val="center"/>
        </w:trPr>
        <w:tc>
          <w:tcPr>
            <w:tcW w:w="1627" w:type="dxa"/>
            <w:tcBorders>
              <w:top w:val="nil"/>
              <w:left w:val="nil"/>
              <w:bottom w:val="single" w:sz="8" w:space="0" w:color="000000"/>
              <w:right w:val="nil"/>
            </w:tcBorders>
            <w:vAlign w:val="center"/>
          </w:tcPr>
          <w:p w:rsidR="00E2716D" w:rsidRDefault="00E2716D">
            <w:pPr>
              <w:widowControl w:val="0"/>
              <w:autoSpaceDE w:val="0"/>
              <w:autoSpaceDN w:val="0"/>
              <w:adjustRightInd w:val="0"/>
              <w:spacing w:line="360" w:lineRule="auto"/>
              <w:rPr>
                <w:rFonts w:ascii="Times New Roman" w:hAnsi="Times New Roman" w:cs="Times New Roman"/>
                <w:b/>
                <w:bCs/>
                <w:color w:val="000000"/>
                <w:lang w:eastAsia="ja-JP"/>
              </w:rPr>
            </w:pPr>
            <w:r>
              <w:rPr>
                <w:rFonts w:ascii="Times New Roman" w:hAnsi="Times New Roman" w:cs="Times New Roman"/>
                <w:b/>
                <w:bCs/>
                <w:color w:val="000000"/>
                <w:lang w:eastAsia="ja-JP"/>
              </w:rPr>
              <w:t>Hb</w:t>
            </w:r>
          </w:p>
        </w:tc>
        <w:tc>
          <w:tcPr>
            <w:tcW w:w="1266" w:type="dxa"/>
            <w:tcBorders>
              <w:top w:val="nil"/>
              <w:left w:val="nil"/>
              <w:bottom w:val="single" w:sz="8" w:space="0" w:color="000000"/>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12-16</w:t>
            </w:r>
          </w:p>
        </w:tc>
        <w:tc>
          <w:tcPr>
            <w:tcW w:w="1288" w:type="dxa"/>
            <w:tcBorders>
              <w:top w:val="nil"/>
              <w:left w:val="nil"/>
              <w:bottom w:val="single" w:sz="8" w:space="0" w:color="000000"/>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g/dl</w:t>
            </w:r>
          </w:p>
        </w:tc>
        <w:tc>
          <w:tcPr>
            <w:tcW w:w="749" w:type="dxa"/>
            <w:tcBorders>
              <w:top w:val="nil"/>
              <w:left w:val="nil"/>
              <w:bottom w:val="single" w:sz="8" w:space="0" w:color="000000"/>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9.7</w:t>
            </w:r>
          </w:p>
        </w:tc>
        <w:tc>
          <w:tcPr>
            <w:tcW w:w="652" w:type="dxa"/>
            <w:tcBorders>
              <w:top w:val="nil"/>
              <w:left w:val="nil"/>
              <w:bottom w:val="single" w:sz="8" w:space="0" w:color="000000"/>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7.9</w:t>
            </w:r>
          </w:p>
        </w:tc>
        <w:tc>
          <w:tcPr>
            <w:tcW w:w="652" w:type="dxa"/>
            <w:tcBorders>
              <w:top w:val="nil"/>
              <w:left w:val="nil"/>
              <w:bottom w:val="single" w:sz="8" w:space="0" w:color="000000"/>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7.5</w:t>
            </w:r>
          </w:p>
        </w:tc>
        <w:tc>
          <w:tcPr>
            <w:tcW w:w="636" w:type="dxa"/>
            <w:tcBorders>
              <w:top w:val="nil"/>
              <w:left w:val="nil"/>
              <w:bottom w:val="single" w:sz="8" w:space="0" w:color="000000"/>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5.7</w:t>
            </w:r>
          </w:p>
        </w:tc>
        <w:tc>
          <w:tcPr>
            <w:tcW w:w="576" w:type="dxa"/>
            <w:tcBorders>
              <w:top w:val="nil"/>
              <w:left w:val="nil"/>
              <w:bottom w:val="single" w:sz="8" w:space="0" w:color="000000"/>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hAnsi="Times New Roman" w:cs="Times New Roman"/>
                <w:color w:val="000000"/>
                <w:lang w:eastAsia="ja-JP"/>
              </w:rPr>
              <w:t>7.7</w:t>
            </w:r>
          </w:p>
        </w:tc>
        <w:tc>
          <w:tcPr>
            <w:tcW w:w="636" w:type="dxa"/>
            <w:tcBorders>
              <w:top w:val="nil"/>
              <w:left w:val="nil"/>
              <w:bottom w:val="single" w:sz="8" w:space="0" w:color="000000"/>
              <w:right w:val="nil"/>
            </w:tcBorders>
            <w:vAlign w:val="center"/>
          </w:tcPr>
          <w:p w:rsidR="00E2716D" w:rsidRDefault="00E2716D">
            <w:pPr>
              <w:widowControl w:val="0"/>
              <w:autoSpaceDE w:val="0"/>
              <w:autoSpaceDN w:val="0"/>
              <w:adjustRightInd w:val="0"/>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7.3</w:t>
            </w:r>
          </w:p>
        </w:tc>
        <w:tc>
          <w:tcPr>
            <w:tcW w:w="628" w:type="dxa"/>
            <w:tcBorders>
              <w:top w:val="nil"/>
              <w:left w:val="nil"/>
              <w:bottom w:val="single" w:sz="8" w:space="0" w:color="000000"/>
              <w:right w:val="nil"/>
            </w:tcBorders>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7.3</w:t>
            </w:r>
          </w:p>
        </w:tc>
        <w:tc>
          <w:tcPr>
            <w:tcW w:w="696" w:type="dxa"/>
            <w:tcBorders>
              <w:top w:val="nil"/>
              <w:left w:val="nil"/>
              <w:bottom w:val="single" w:sz="8" w:space="0" w:color="000000"/>
              <w:right w:val="nil"/>
            </w:tcBorders>
            <w:vAlign w:val="center"/>
          </w:tcPr>
          <w:p w:rsidR="00E2716D" w:rsidRDefault="00E2716D">
            <w:pPr>
              <w:spacing w:line="360" w:lineRule="auto"/>
              <w:jc w:val="center"/>
              <w:rPr>
                <w:rFonts w:ascii="Times New Roman" w:hAnsi="Times New Roman" w:cs="Times New Roman"/>
                <w:color w:val="000000"/>
                <w:lang w:eastAsia="ja-JP"/>
              </w:rPr>
            </w:pPr>
            <w:r>
              <w:rPr>
                <w:rFonts w:ascii="Times New Roman" w:eastAsia="MS PGothic" w:hAnsi="Times New Roman" w:cs="Times New Roman"/>
                <w:color w:val="000000"/>
                <w:kern w:val="24"/>
                <w:lang w:eastAsia="ja-JP"/>
              </w:rPr>
              <w:t>7.7</w:t>
            </w:r>
          </w:p>
        </w:tc>
      </w:tr>
    </w:tbl>
    <w:p w:rsidR="00E2716D" w:rsidRDefault="00E2716D">
      <w:pPr>
        <w:widowControl w:val="0"/>
        <w:autoSpaceDE w:val="0"/>
        <w:autoSpaceDN w:val="0"/>
        <w:adjustRightInd w:val="0"/>
        <w:spacing w:after="120" w:line="360" w:lineRule="auto"/>
        <w:ind w:left="142"/>
        <w:rPr>
          <w:rFonts w:ascii="Times New Roman" w:hAnsi="Times New Roman" w:cs="Times New Roman"/>
          <w:lang w:val="en-US"/>
        </w:rPr>
      </w:pPr>
      <w:r>
        <w:rPr>
          <w:rFonts w:ascii="Times New Roman" w:hAnsi="Times New Roman" w:cs="Times New Roman"/>
          <w:lang w:val="en-US"/>
        </w:rPr>
        <w:t>LDH, lactate dehydrogenase; TnT, troponin T levels; Hb, hemoglobin</w:t>
      </w:r>
    </w:p>
    <w:p w:rsidR="00E2716D" w:rsidRDefault="00E2716D">
      <w:pPr>
        <w:rPr>
          <w:lang w:val="en-US"/>
        </w:rPr>
      </w:pPr>
      <w:r>
        <w:rPr>
          <w:rFonts w:cstheme="minorBidi"/>
          <w:lang w:val="en-US"/>
        </w:rPr>
        <w:br w:type="page"/>
      </w:r>
      <w:r>
        <w:rPr>
          <w:lang w:val="en-US"/>
        </w:rPr>
        <w:t>Figure S1: Evolution of platelets level and lactate dehydrogenase (LDH) during plasma exchanges and after initiation of eculizumab</w:t>
      </w:r>
    </w:p>
    <w:p w:rsidR="00E2716D" w:rsidRDefault="00E2716D">
      <w:pPr>
        <w:rPr>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margin-left:125.3pt;margin-top:58.5pt;width:327.7pt;height:225pt;z-index:251658240;visibility:visible">
            <v:imagedata r:id="rId7" o:title=""/>
            <v:path arrowok="t"/>
          </v:shape>
        </w:pict>
      </w:r>
      <w:r>
        <w:rPr>
          <w:rFonts w:cstheme="minorBidi"/>
          <w:lang w:val="en-US"/>
        </w:rPr>
        <w:br w:type="page"/>
      </w:r>
      <w:r>
        <w:rPr>
          <w:lang w:val="en-US"/>
        </w:rPr>
        <w:t>Figure S2: Post-mortem examination of the heart</w:t>
      </w:r>
    </w:p>
    <w:p w:rsidR="00E2716D" w:rsidRDefault="00E2716D">
      <w:pPr>
        <w:jc w:val="center"/>
        <w:rPr>
          <w:rFonts w:ascii="Arial" w:hAnsi="Arial" w:cs="Arial"/>
          <w:vanish/>
          <w:color w:val="000000"/>
          <w:lang w:val="fr-FR" w:eastAsia="en-US"/>
        </w:rPr>
      </w:pPr>
      <w:r>
        <w:rPr>
          <w:rFonts w:ascii="Arial" w:hAnsi="Arial" w:cs="Arial"/>
          <w:color w:val="000000"/>
        </w:rPr>
        <w:t>(A-B) Picrosirius red-stained sections of the left ventricle showing the accumulation of collagen fibers in the case (B) as compared with a gender- and age-matched control patient (A), with no history of SSc. Original magnification 10x, bar, 100 µm. (C-D) Coronary arteries with no evidence of macrovascular lesion, both in the patient (D) and the control (C). Original magnification 2x, bar, 1 mm.</w:t>
      </w:r>
    </w:p>
    <w:p w:rsidR="00E2716D" w:rsidRDefault="00E2716D">
      <w:pPr>
        <w:rPr>
          <w:rFonts w:ascii="Arial Unicode MS" w:eastAsia="Arial Unicode MS" w:hAnsi="Arial Unicode MS" w:cstheme="minorBidi"/>
          <w:vanish/>
          <w:color w:val="000000"/>
          <w:lang w:val="en-US"/>
        </w:rPr>
      </w:pPr>
    </w:p>
    <w:p w:rsidR="00E2716D" w:rsidRDefault="00E2716D">
      <w:pPr>
        <w:rPr>
          <w:rFonts w:cstheme="minorBidi"/>
        </w:rPr>
      </w:pPr>
    </w:p>
    <w:p w:rsidR="00E2716D" w:rsidRDefault="00E2716D">
      <w:pPr>
        <w:rPr>
          <w:rFonts w:cstheme="minorBidi"/>
          <w:lang w:val="en-US"/>
        </w:rPr>
      </w:pPr>
      <w:r>
        <w:rPr>
          <w:noProof/>
          <w:lang w:val="en-US" w:eastAsia="en-US"/>
        </w:rPr>
        <w:pict>
          <v:group id="Groupe 54" o:spid="_x0000_s1027" style="position:absolute;margin-left:9pt;margin-top:7.95pt;width:404pt;height:315.75pt;z-index:251659264" coordorigin="1524987,889826" coordsize="5930556,4767008">
            <v:shape id="Image 15" o:spid="_x0000_s1028" type="#_x0000_t75" style="position:absolute;left:1862385;top:1224970;width:2673231;height:2192500;visibility:visible">
              <v:imagedata r:id="rId8" o:title="" cropleft="11658f" cropright="10635f"/>
              <v:path arrowok="t"/>
            </v:shape>
            <v:shape id="Image 16" o:spid="_x0000_s1029" type="#_x0000_t75" style="position:absolute;left:4614512;top:1224970;width:2673232;height:2192500;visibility:visible">
              <v:imagedata r:id="rId9" o:title="" cropleft="17608f" cropright="4684f"/>
              <v:path arrowok="t"/>
            </v:shape>
            <v:shapetype id="_x0000_t202" coordsize="21600,21600" o:spt="202" path="m,l,21600r21600,l21600,xe">
              <v:stroke joinstyle="miter"/>
              <v:path gradientshapeok="t" o:connecttype="rect"/>
            </v:shapetype>
            <v:shape id="ZoneTexte 17" o:spid="_x0000_s1030" type="#_x0000_t202" style="position:absolute;left:1861281;top:889826;width:2673229;height:325856;visibility:visible" filled="f" stroked="f">
              <v:textbox style="mso-rotate-with-shape:t;mso-fit-shape-to-text:t">
                <w:txbxContent>
                  <w:p w:rsidR="00E2716D" w:rsidRDefault="00E2716D">
                    <w:pPr>
                      <w:autoSpaceDE w:val="0"/>
                      <w:autoSpaceDN w:val="0"/>
                      <w:adjustRightInd w:val="0"/>
                      <w:jc w:val="center"/>
                      <w:rPr>
                        <w:rFonts w:ascii="Arial" w:hAnsi="Arial" w:cs="Arial"/>
                        <w:color w:val="000000"/>
                        <w:lang w:val="fr-FR"/>
                      </w:rPr>
                    </w:pPr>
                    <w:r>
                      <w:rPr>
                        <w:rFonts w:ascii="Arial" w:hAnsi="Arial" w:cs="Arial"/>
                        <w:color w:val="000000"/>
                      </w:rPr>
                      <w:t>Control</w:t>
                    </w:r>
                  </w:p>
                </w:txbxContent>
              </v:textbox>
            </v:shape>
            <v:shape id="ZoneTexte 18" o:spid="_x0000_s1031" type="#_x0000_t202" style="position:absolute;left:4614513;top:889826;width:2673231;height:325856;visibility:visible" filled="f" stroked="f">
              <v:textbox style="mso-rotate-with-shape:t;mso-fit-shape-to-text:t">
                <w:txbxContent>
                  <w:p w:rsidR="00E2716D" w:rsidRDefault="00E2716D">
                    <w:pPr>
                      <w:autoSpaceDE w:val="0"/>
                      <w:autoSpaceDN w:val="0"/>
                      <w:adjustRightInd w:val="0"/>
                      <w:jc w:val="center"/>
                      <w:rPr>
                        <w:rFonts w:ascii="Arial" w:hAnsi="Arial" w:cs="Arial"/>
                        <w:color w:val="000000"/>
                        <w:lang w:val="fr-FR"/>
                      </w:rPr>
                    </w:pPr>
                    <w:r>
                      <w:rPr>
                        <w:rFonts w:ascii="Arial" w:hAnsi="Arial" w:cs="Arial"/>
                        <w:color w:val="000000"/>
                      </w:rPr>
                      <w:t>Case</w:t>
                    </w:r>
                  </w:p>
                </w:txbxContent>
              </v:textbox>
            </v:shape>
            <v:shape id="ZoneTexte 20" o:spid="_x0000_s1032" type="#_x0000_t202" style="position:absolute;left:598338;top:2158292;width:2192498;height:325856;rotation:-90;visibility:visible" filled="f" stroked="f">
              <v:textbox style="mso-rotate-with-shape:t;mso-fit-shape-to-text:t">
                <w:txbxContent>
                  <w:p w:rsidR="00E2716D" w:rsidRDefault="00E2716D">
                    <w:pPr>
                      <w:autoSpaceDE w:val="0"/>
                      <w:autoSpaceDN w:val="0"/>
                      <w:adjustRightInd w:val="0"/>
                      <w:jc w:val="center"/>
                      <w:rPr>
                        <w:rFonts w:ascii="Arial" w:hAnsi="Arial" w:cs="Arial"/>
                        <w:color w:val="000000"/>
                        <w:lang w:val="fr-FR"/>
                      </w:rPr>
                    </w:pPr>
                    <w:r>
                      <w:rPr>
                        <w:rFonts w:ascii="Arial" w:hAnsi="Arial" w:cs="Arial"/>
                        <w:color w:val="000000"/>
                      </w:rPr>
                      <w:t>Left ventricle</w:t>
                    </w:r>
                  </w:p>
                </w:txbxContent>
              </v:textbox>
            </v:shape>
            <v:shape id="Image 21" o:spid="_x0000_s1033" type="#_x0000_t75" style="position:absolute;left:1861281;top:3462964;width:2673229;height:2192504;visibility:visible">
              <v:imagedata r:id="rId10" o:title="" cropleft="11658f" cropright="10635f"/>
              <v:path arrowok="t"/>
            </v:shape>
            <v:shape id="Image 22" o:spid="_x0000_s1034" type="#_x0000_t75" style="position:absolute;left:4614512;top:3462964;width:2673232;height:2193870;visibility:visible">
              <v:imagedata r:id="rId11" o:title="" cropleft="10387f" cropright="11931f"/>
              <v:path arrowok="t"/>
            </v:shape>
            <v:shape id="ZoneTexte 23" o:spid="_x0000_s1035" type="#_x0000_t202" style="position:absolute;left:591662;top:4396287;width:2192506;height:325856;rotation:-90;visibility:visible" filled="f" stroked="f">
              <v:textbox style="mso-rotate-with-shape:t;mso-fit-shape-to-text:t">
                <w:txbxContent>
                  <w:p w:rsidR="00E2716D" w:rsidRDefault="00E2716D">
                    <w:pPr>
                      <w:autoSpaceDE w:val="0"/>
                      <w:autoSpaceDN w:val="0"/>
                      <w:adjustRightInd w:val="0"/>
                      <w:jc w:val="center"/>
                      <w:rPr>
                        <w:rFonts w:ascii="Arial" w:hAnsi="Arial" w:cs="Arial"/>
                        <w:color w:val="000000"/>
                        <w:lang w:val="fr-FR"/>
                      </w:rPr>
                    </w:pPr>
                    <w:r>
                      <w:rPr>
                        <w:rFonts w:ascii="Arial" w:hAnsi="Arial" w:cs="Arial"/>
                        <w:color w:val="000000"/>
                      </w:rPr>
                      <w:t>Coronary artery</w:t>
                    </w:r>
                  </w:p>
                </w:txbxContent>
              </v:textbox>
            </v:shape>
            <v:line id="Connecteur droit 26" o:spid="_x0000_s1036" style="position:absolute;visibility:visible" from="6702942,5491497" to="7079356,5491498" o:connectortype="straight" strokeweight="3pt">
              <v:stroke joinstyle="miter"/>
              <o:lock v:ext="edit" aspectratio="t" shapetype="f"/>
            </v:line>
            <v:line id="Connecteur droit 27" o:spid="_x0000_s1037" style="position:absolute;visibility:visible" from="4029713,5491497" to="4406127,5491498" o:connectortype="straight" strokeweight="3pt">
              <v:stroke joinstyle="miter"/>
              <o:lock v:ext="edit" aspectratio="t" shapetype="f"/>
            </v:line>
            <v:line id="Connecteur droit 28" o:spid="_x0000_s1038" style="position:absolute;visibility:visible" from="4194621,3295810" to="4412544,3295811" o:connectortype="straight" strokeweight="3pt">
              <v:stroke joinstyle="miter"/>
              <o:lock v:ext="edit" aspectratio="t" shapetype="f"/>
            </v:line>
            <v:shape id="ZoneTexte 11" o:spid="_x0000_s1039" type="#_x0000_t202" style="position:absolute;left:6470962;top:5239929;width:840373;height:253444;visibility:visible" filled="f" stroked="f">
              <v:path arrowok="t"/>
              <o:lock v:ext="edit" aspectratio="t"/>
              <v:textbox style="mso-rotate-with-shape:t;mso-fit-shape-to-text:t">
                <w:txbxContent>
                  <w:p w:rsidR="00E2716D" w:rsidRDefault="00E2716D">
                    <w:pPr>
                      <w:autoSpaceDE w:val="0"/>
                      <w:autoSpaceDN w:val="0"/>
                      <w:adjustRightInd w:val="0"/>
                      <w:jc w:val="center"/>
                      <w:rPr>
                        <w:rFonts w:ascii="Arial" w:hAnsi="Arial" w:cs="Arial"/>
                        <w:color w:val="000000"/>
                        <w:sz w:val="16"/>
                        <w:szCs w:val="16"/>
                        <w:lang w:val="fr-FR"/>
                      </w:rPr>
                    </w:pPr>
                    <w:r>
                      <w:rPr>
                        <w:rFonts w:ascii="Arial" w:hAnsi="Arial" w:cs="Arial"/>
                        <w:color w:val="000000"/>
                        <w:sz w:val="16"/>
                        <w:szCs w:val="16"/>
                      </w:rPr>
                      <w:t>1 mm</w:t>
                    </w:r>
                  </w:p>
                </w:txbxContent>
              </v:textbox>
            </v:shape>
            <v:shape id="ZoneTexte 29" o:spid="_x0000_s1040" type="#_x0000_t202" style="position:absolute;left:3797733;top:5239929;width:840373;height:253444;visibility:visible" filled="f" stroked="f">
              <v:path arrowok="t"/>
              <o:lock v:ext="edit" aspectratio="t"/>
              <v:textbox style="mso-rotate-with-shape:t;mso-fit-shape-to-text:t">
                <w:txbxContent>
                  <w:p w:rsidR="00E2716D" w:rsidRDefault="00E2716D">
                    <w:pPr>
                      <w:autoSpaceDE w:val="0"/>
                      <w:autoSpaceDN w:val="0"/>
                      <w:adjustRightInd w:val="0"/>
                      <w:jc w:val="center"/>
                      <w:rPr>
                        <w:rFonts w:ascii="Arial" w:hAnsi="Arial" w:cs="Arial"/>
                        <w:color w:val="000000"/>
                        <w:sz w:val="16"/>
                        <w:szCs w:val="16"/>
                        <w:lang w:val="fr-FR"/>
                      </w:rPr>
                    </w:pPr>
                    <w:r>
                      <w:rPr>
                        <w:rFonts w:ascii="Arial" w:hAnsi="Arial" w:cs="Arial"/>
                        <w:color w:val="000000"/>
                        <w:sz w:val="16"/>
                        <w:szCs w:val="16"/>
                      </w:rPr>
                      <w:t>1 mm</w:t>
                    </w:r>
                  </w:p>
                </w:txbxContent>
              </v:textbox>
            </v:shape>
            <v:line id="Connecteur droit 30" o:spid="_x0000_s1041" style="position:absolute;visibility:visible" from="6926395,3296719" to="7144318,3296720" o:connectortype="straight" strokeweight="3pt">
              <v:stroke joinstyle="miter"/>
              <o:lock v:ext="edit" aspectratio="t" shapetype="f"/>
            </v:line>
            <v:shape id="ZoneTexte 42" o:spid="_x0000_s1042" type="#_x0000_t202" style="position:absolute;left:3887795;top:3060052;width:840373;height:253444;visibility:visible" filled="f" stroked="f">
              <v:path arrowok="t"/>
              <o:lock v:ext="edit" aspectratio="t"/>
              <v:textbox style="mso-rotate-with-shape:t;mso-fit-shape-to-text:t">
                <w:txbxContent>
                  <w:p w:rsidR="00E2716D" w:rsidRDefault="00E2716D">
                    <w:pPr>
                      <w:autoSpaceDE w:val="0"/>
                      <w:autoSpaceDN w:val="0"/>
                      <w:adjustRightInd w:val="0"/>
                      <w:jc w:val="center"/>
                      <w:rPr>
                        <w:rFonts w:ascii="Arial" w:hAnsi="Arial" w:cs="Arial"/>
                        <w:color w:val="000000"/>
                        <w:sz w:val="16"/>
                        <w:szCs w:val="16"/>
                        <w:lang w:val="fr-FR"/>
                      </w:rPr>
                    </w:pPr>
                    <w:r>
                      <w:rPr>
                        <w:rFonts w:ascii="Arial" w:hAnsi="Arial" w:cs="Arial"/>
                        <w:color w:val="000000"/>
                        <w:sz w:val="16"/>
                        <w:szCs w:val="16"/>
                      </w:rPr>
                      <w:t>100 µm</w:t>
                    </w:r>
                  </w:p>
                </w:txbxContent>
              </v:textbox>
            </v:shape>
            <v:shape id="ZoneTexte 43" o:spid="_x0000_s1043" type="#_x0000_t202" style="position:absolute;left:6615170;top:3060052;width:840373;height:253444;visibility:visible" filled="f" stroked="f">
              <v:path arrowok="t"/>
              <o:lock v:ext="edit" aspectratio="t"/>
              <v:textbox style="mso-rotate-with-shape:t;mso-fit-shape-to-text:t">
                <w:txbxContent>
                  <w:p w:rsidR="00E2716D" w:rsidRDefault="00E2716D">
                    <w:pPr>
                      <w:autoSpaceDE w:val="0"/>
                      <w:autoSpaceDN w:val="0"/>
                      <w:adjustRightInd w:val="0"/>
                      <w:jc w:val="center"/>
                      <w:rPr>
                        <w:rFonts w:ascii="Arial" w:hAnsi="Arial" w:cs="Arial"/>
                        <w:color w:val="000000"/>
                        <w:sz w:val="16"/>
                        <w:szCs w:val="16"/>
                        <w:lang w:val="fr-FR"/>
                      </w:rPr>
                    </w:pPr>
                    <w:r>
                      <w:rPr>
                        <w:rFonts w:ascii="Arial" w:hAnsi="Arial" w:cs="Arial"/>
                        <w:color w:val="000000"/>
                        <w:sz w:val="16"/>
                        <w:szCs w:val="16"/>
                      </w:rPr>
                      <w:t>100 µm</w:t>
                    </w:r>
                  </w:p>
                </w:txbxContent>
              </v:textbox>
            </v:shape>
            <v:shape id="ZoneTexte 50" o:spid="_x0000_s1044" type="#_x0000_t202" style="position:absolute;left:1875622;top:1224969;width:338554;height:369332;visibility:visible;mso-wrap-style:none" filled="f" stroked="f">
              <v:textbox style="mso-rotate-with-shape:t;mso-fit-shape-to-text:t">
                <w:txbxContent>
                  <w:p w:rsidR="00E2716D" w:rsidRDefault="00E2716D">
                    <w:pPr>
                      <w:autoSpaceDE w:val="0"/>
                      <w:autoSpaceDN w:val="0"/>
                      <w:adjustRightInd w:val="0"/>
                      <w:rPr>
                        <w:rFonts w:ascii="Arial" w:hAnsi="Arial" w:cs="Arial"/>
                        <w:color w:val="000000"/>
                        <w:sz w:val="36"/>
                        <w:szCs w:val="36"/>
                        <w:lang w:val="fr-FR"/>
                      </w:rPr>
                    </w:pPr>
                    <w:r>
                      <w:rPr>
                        <w:rFonts w:ascii="Arial" w:hAnsi="Arial" w:cs="Arial"/>
                        <w:color w:val="000000"/>
                        <w:sz w:val="36"/>
                        <w:szCs w:val="36"/>
                      </w:rPr>
                      <w:t>A</w:t>
                    </w:r>
                  </w:p>
                </w:txbxContent>
              </v:textbox>
            </v:shape>
            <v:shape id="ZoneTexte 51" o:spid="_x0000_s1045" type="#_x0000_t202" style="position:absolute;left:4614512;top:1224969;width:338554;height:369332;visibility:visible;mso-wrap-style:none" filled="f" stroked="f">
              <v:textbox style="mso-rotate-with-shape:t;mso-fit-shape-to-text:t">
                <w:txbxContent>
                  <w:p w:rsidR="00E2716D" w:rsidRDefault="00E2716D">
                    <w:pPr>
                      <w:autoSpaceDE w:val="0"/>
                      <w:autoSpaceDN w:val="0"/>
                      <w:adjustRightInd w:val="0"/>
                      <w:rPr>
                        <w:rFonts w:ascii="Arial" w:hAnsi="Arial" w:cs="Arial"/>
                        <w:color w:val="000000"/>
                        <w:sz w:val="36"/>
                        <w:szCs w:val="36"/>
                        <w:lang w:val="fr-FR"/>
                      </w:rPr>
                    </w:pPr>
                    <w:r>
                      <w:rPr>
                        <w:rFonts w:ascii="Arial" w:hAnsi="Arial" w:cs="Arial"/>
                        <w:color w:val="000000"/>
                        <w:sz w:val="36"/>
                        <w:szCs w:val="36"/>
                      </w:rPr>
                      <w:t>B</w:t>
                    </w:r>
                  </w:p>
                </w:txbxContent>
              </v:textbox>
            </v:shape>
            <v:shape id="ZoneTexte 52" o:spid="_x0000_s1046" type="#_x0000_t202" style="position:absolute;left:1875622;top:3472251;width:351378;height:369332;visibility:visible;mso-wrap-style:none" filled="f" stroked="f">
              <v:textbox style="mso-rotate-with-shape:t;mso-fit-shape-to-text:t">
                <w:txbxContent>
                  <w:p w:rsidR="00E2716D" w:rsidRDefault="00E2716D">
                    <w:pPr>
                      <w:autoSpaceDE w:val="0"/>
                      <w:autoSpaceDN w:val="0"/>
                      <w:adjustRightInd w:val="0"/>
                      <w:rPr>
                        <w:rFonts w:ascii="Arial" w:hAnsi="Arial" w:cs="Arial"/>
                        <w:color w:val="000000"/>
                        <w:sz w:val="36"/>
                        <w:szCs w:val="36"/>
                        <w:lang w:val="fr-FR"/>
                      </w:rPr>
                    </w:pPr>
                    <w:r>
                      <w:rPr>
                        <w:rFonts w:ascii="Arial" w:hAnsi="Arial" w:cs="Arial"/>
                        <w:color w:val="000000"/>
                        <w:sz w:val="36"/>
                        <w:szCs w:val="36"/>
                      </w:rPr>
                      <w:t>C</w:t>
                    </w:r>
                  </w:p>
                </w:txbxContent>
              </v:textbox>
            </v:shape>
            <v:shape id="ZoneTexte 53" o:spid="_x0000_s1047" type="#_x0000_t202" style="position:absolute;left:4614512;top:3462962;width:351378;height:369332;visibility:visible;mso-wrap-style:none" filled="f" stroked="f">
              <v:textbox style="mso-rotate-with-shape:t;mso-fit-shape-to-text:t">
                <w:txbxContent>
                  <w:p w:rsidR="00E2716D" w:rsidRDefault="00E2716D">
                    <w:pPr>
                      <w:autoSpaceDE w:val="0"/>
                      <w:autoSpaceDN w:val="0"/>
                      <w:adjustRightInd w:val="0"/>
                      <w:rPr>
                        <w:rFonts w:ascii="Arial" w:hAnsi="Arial" w:cs="Arial"/>
                        <w:color w:val="000000"/>
                        <w:sz w:val="36"/>
                        <w:szCs w:val="36"/>
                        <w:lang w:val="fr-FR"/>
                      </w:rPr>
                    </w:pPr>
                    <w:r>
                      <w:rPr>
                        <w:rFonts w:ascii="Arial" w:hAnsi="Arial" w:cs="Arial"/>
                        <w:color w:val="000000"/>
                        <w:sz w:val="36"/>
                        <w:szCs w:val="36"/>
                      </w:rPr>
                      <w:t>D</w:t>
                    </w:r>
                  </w:p>
                </w:txbxContent>
              </v:textbox>
            </v:shape>
          </v:group>
        </w:pict>
      </w:r>
    </w:p>
    <w:sectPr w:rsidR="00E2716D" w:rsidSect="00E2716D">
      <w:footerReference w:type="defaul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16D" w:rsidRDefault="00E2716D">
      <w:pPr>
        <w:rPr>
          <w:rFonts w:ascii="Times New Roman" w:hAnsi="Times New Roman" w:cs="Times New Roman"/>
        </w:rPr>
      </w:pPr>
      <w:r>
        <w:rPr>
          <w:rFonts w:ascii="Times New Roman" w:hAnsi="Times New Roman" w:cs="Times New Roman"/>
        </w:rPr>
        <w:separator/>
      </w:r>
    </w:p>
  </w:endnote>
  <w:endnote w:type="continuationSeparator" w:id="0">
    <w:p w:rsidR="00E2716D" w:rsidRDefault="00E2716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6D" w:rsidRDefault="00E2716D">
    <w:pPr>
      <w:pStyle w:val="Footer"/>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lang w:val="fr-FR"/>
      </w:rPr>
      <w:t>6</w:t>
    </w:r>
    <w:r>
      <w:rPr>
        <w:rFonts w:ascii="Times New Roman" w:hAnsi="Times New Roman" w:cs="Times New Roman"/>
      </w:rPr>
      <w:fldChar w:fldCharType="end"/>
    </w:r>
  </w:p>
  <w:p w:rsidR="00E2716D" w:rsidRDefault="00E2716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16D" w:rsidRDefault="00E2716D">
      <w:pPr>
        <w:rPr>
          <w:rFonts w:ascii="Times New Roman" w:hAnsi="Times New Roman" w:cs="Times New Roman"/>
        </w:rPr>
      </w:pPr>
      <w:r>
        <w:rPr>
          <w:rFonts w:ascii="Times New Roman" w:hAnsi="Times New Roman" w:cs="Times New Roman"/>
        </w:rPr>
        <w:separator/>
      </w:r>
    </w:p>
  </w:footnote>
  <w:footnote w:type="continuationSeparator" w:id="0">
    <w:p w:rsidR="00E2716D" w:rsidRDefault="00E2716D">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67AAF"/>
    <w:multiLevelType w:val="hybridMultilevel"/>
    <w:tmpl w:val="003658F4"/>
    <w:lvl w:ilvl="0" w:tplc="C0B20FF2">
      <w:start w:val="1"/>
      <w:numFmt w:val="decimal"/>
      <w:lvlText w:val="%1."/>
      <w:lvlJc w:val="left"/>
      <w:pPr>
        <w:ind w:left="1065" w:hanging="705"/>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
    <w:nsid w:val="51D5257F"/>
    <w:multiLevelType w:val="hybridMultilevel"/>
    <w:tmpl w:val="60725CF6"/>
    <w:lvl w:ilvl="0" w:tplc="040C000F">
      <w:start w:val="1"/>
      <w:numFmt w:val="decimal"/>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75ED4AA5"/>
    <w:multiLevelType w:val="hybridMultilevel"/>
    <w:tmpl w:val="E5C09B64"/>
    <w:lvl w:ilvl="0" w:tplc="080C000F">
      <w:start w:val="1"/>
      <w:numFmt w:val="decimal"/>
      <w:lvlText w:val="%1."/>
      <w:lvlJc w:val="left"/>
      <w:pPr>
        <w:ind w:left="720" w:hanging="360"/>
      </w:pPr>
      <w:rPr>
        <w:rFonts w:ascii="Times New Roman" w:hAnsi="Times New Roman" w:cs="Times New Roman" w:hint="default"/>
      </w:rPr>
    </w:lvl>
    <w:lvl w:ilvl="1" w:tplc="080C0019">
      <w:start w:val="1"/>
      <w:numFmt w:val="lowerLetter"/>
      <w:lvlText w:val="%2."/>
      <w:lvlJc w:val="left"/>
      <w:pPr>
        <w:ind w:left="1440" w:hanging="360"/>
      </w:pPr>
      <w:rPr>
        <w:rFonts w:ascii="Times New Roman" w:hAnsi="Times New Roman" w:cs="Times New Roman"/>
      </w:rPr>
    </w:lvl>
    <w:lvl w:ilvl="2" w:tplc="080C001B">
      <w:start w:val="1"/>
      <w:numFmt w:val="lowerRoman"/>
      <w:lvlText w:val="%3."/>
      <w:lvlJc w:val="right"/>
      <w:pPr>
        <w:ind w:left="2160" w:hanging="180"/>
      </w:pPr>
      <w:rPr>
        <w:rFonts w:ascii="Times New Roman" w:hAnsi="Times New Roman" w:cs="Times New Roman"/>
      </w:rPr>
    </w:lvl>
    <w:lvl w:ilvl="3" w:tplc="080C000F">
      <w:start w:val="1"/>
      <w:numFmt w:val="decimal"/>
      <w:lvlText w:val="%4."/>
      <w:lvlJc w:val="left"/>
      <w:pPr>
        <w:ind w:left="2880" w:hanging="360"/>
      </w:pPr>
      <w:rPr>
        <w:rFonts w:ascii="Times New Roman" w:hAnsi="Times New Roman" w:cs="Times New Roman"/>
      </w:rPr>
    </w:lvl>
    <w:lvl w:ilvl="4" w:tplc="080C0019">
      <w:start w:val="1"/>
      <w:numFmt w:val="lowerLetter"/>
      <w:lvlText w:val="%5."/>
      <w:lvlJc w:val="left"/>
      <w:pPr>
        <w:ind w:left="3600" w:hanging="360"/>
      </w:pPr>
      <w:rPr>
        <w:rFonts w:ascii="Times New Roman" w:hAnsi="Times New Roman" w:cs="Times New Roman"/>
      </w:rPr>
    </w:lvl>
    <w:lvl w:ilvl="5" w:tplc="080C001B">
      <w:start w:val="1"/>
      <w:numFmt w:val="lowerRoman"/>
      <w:lvlText w:val="%6."/>
      <w:lvlJc w:val="right"/>
      <w:pPr>
        <w:ind w:left="4320" w:hanging="180"/>
      </w:pPr>
      <w:rPr>
        <w:rFonts w:ascii="Times New Roman" w:hAnsi="Times New Roman" w:cs="Times New Roman"/>
      </w:rPr>
    </w:lvl>
    <w:lvl w:ilvl="6" w:tplc="080C000F">
      <w:start w:val="1"/>
      <w:numFmt w:val="decimal"/>
      <w:lvlText w:val="%7."/>
      <w:lvlJc w:val="left"/>
      <w:pPr>
        <w:ind w:left="5040" w:hanging="360"/>
      </w:pPr>
      <w:rPr>
        <w:rFonts w:ascii="Times New Roman" w:hAnsi="Times New Roman" w:cs="Times New Roman"/>
      </w:rPr>
    </w:lvl>
    <w:lvl w:ilvl="7" w:tplc="080C0019">
      <w:start w:val="1"/>
      <w:numFmt w:val="lowerLetter"/>
      <w:lvlText w:val="%8."/>
      <w:lvlJc w:val="left"/>
      <w:pPr>
        <w:ind w:left="5760" w:hanging="360"/>
      </w:pPr>
      <w:rPr>
        <w:rFonts w:ascii="Times New Roman" w:hAnsi="Times New Roman" w:cs="Times New Roman"/>
      </w:rPr>
    </w:lvl>
    <w:lvl w:ilvl="8" w:tplc="080C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716D"/>
    <w:rsid w:val="00E271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cs="Cambria"/>
      <w:sz w:val="24"/>
      <w:szCs w:val="24"/>
      <w:lang w:val="fr-BE" w:eastAsia="fr-F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6</Pages>
  <Words>854</Words>
  <Characters>4868</Characters>
  <Application>Microsoft Office Outlook</Application>
  <DocSecurity>0</DocSecurity>
  <Lines>0</Lines>
  <Paragraphs>0</Paragraphs>
  <ScaleCrop>false</ScaleCrop>
  <Company>Cliniques universitaires Saint-Luc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Morelle</dc:creator>
  <cp:keywords/>
  <dc:description/>
  <cp:lastModifiedBy>TEESLWW</cp:lastModifiedBy>
  <cp:revision>14</cp:revision>
  <dcterms:created xsi:type="dcterms:W3CDTF">2016-06-05T11:48:00Z</dcterms:created>
  <dcterms:modified xsi:type="dcterms:W3CDTF">2016-07-13T22:53:00Z</dcterms:modified>
</cp:coreProperties>
</file>