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0AC" w:rsidRDefault="001970AC">
      <w:pPr>
        <w:jc w:val="center"/>
        <w:rPr>
          <w:rFonts w:ascii="Times New Roman" w:hAnsi="Times New Roman" w:cs="Times New Roman"/>
          <w:sz w:val="36"/>
          <w:szCs w:val="36"/>
        </w:rPr>
      </w:pPr>
      <w:r>
        <w:rPr>
          <w:rFonts w:ascii="Times New Roman" w:hAnsi="Times New Roman" w:cs="Times New Roman"/>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949.5pt;height:894.75pt;visibility:visible">
            <v:imagedata r:id="rId5" o:title=""/>
          </v:shape>
        </w:pict>
      </w:r>
      <w:bookmarkStart w:id="0" w:name="_GoBack"/>
      <w:bookmarkEnd w:id="0"/>
    </w:p>
    <w:p w:rsidR="001970AC" w:rsidRDefault="001970AC">
      <w:pPr>
        <w:jc w:val="left"/>
        <w:rPr>
          <w:rFonts w:ascii="Times New Roman" w:hAnsi="Times New Roman" w:cs="Times New Roman"/>
          <w:b/>
          <w:bCs/>
          <w:sz w:val="24"/>
          <w:szCs w:val="24"/>
        </w:rPr>
      </w:pPr>
    </w:p>
    <w:p w:rsidR="001970AC" w:rsidRDefault="001970AC">
      <w:pPr>
        <w:jc w:val="left"/>
        <w:rPr>
          <w:rFonts w:ascii="Times New Roman" w:hAnsi="Times New Roman" w:cs="Times New Roman"/>
          <w:b/>
          <w:bCs/>
          <w:sz w:val="24"/>
          <w:szCs w:val="24"/>
        </w:rPr>
      </w:pPr>
    </w:p>
    <w:p w:rsidR="001970AC" w:rsidRDefault="001970AC">
      <w:pPr>
        <w:jc w:val="left"/>
        <w:rPr>
          <w:rFonts w:ascii="Times New Roman" w:hAnsi="Times New Roman" w:cs="Times New Roman"/>
          <w:sz w:val="24"/>
          <w:szCs w:val="24"/>
        </w:rPr>
      </w:pPr>
      <w:r>
        <w:rPr>
          <w:rFonts w:ascii="Times New Roman" w:hAnsi="Times New Roman" w:cs="Times New Roman"/>
          <w:b/>
          <w:bCs/>
          <w:sz w:val="24"/>
          <w:szCs w:val="24"/>
        </w:rPr>
        <w:t>Figure 1</w:t>
      </w:r>
      <w:r>
        <w:rPr>
          <w:rFonts w:ascii="Times New Roman" w:hAnsi="Times New Roman" w:cs="Times New Roman"/>
          <w:sz w:val="24"/>
          <w:szCs w:val="24"/>
        </w:rPr>
        <w:t>: SBP change divided into quartiles according to the degree of change in patients with admission SBP under 140 mm Hg and patients with admission values equal or higher than 140 mm Hg.</w:t>
      </w:r>
    </w:p>
    <w:p w:rsidR="001970AC" w:rsidRDefault="001970AC">
      <w:pPr>
        <w:jc w:val="left"/>
        <w:rPr>
          <w:rFonts w:ascii="Arial" w:hAnsi="Arial" w:cs="Arial"/>
        </w:rPr>
      </w:pPr>
    </w:p>
    <w:p w:rsidR="001970AC" w:rsidRDefault="001970AC">
      <w:pPr>
        <w:jc w:val="left"/>
        <w:rPr>
          <w:rFonts w:ascii="Arial" w:hAnsi="Arial" w:cs="Arial"/>
        </w:rPr>
      </w:pPr>
    </w:p>
    <w:p w:rsidR="001970AC" w:rsidRDefault="001970AC">
      <w:pPr>
        <w:jc w:val="left"/>
        <w:rPr>
          <w:rFonts w:ascii="Times New Roman" w:hAnsi="Times New Roman" w:cs="Times New Roman"/>
          <w:b/>
          <w:bCs/>
          <w:sz w:val="24"/>
          <w:szCs w:val="24"/>
        </w:rPr>
      </w:pPr>
      <w:r>
        <w:rPr>
          <w:rFonts w:ascii="Times New Roman" w:hAnsi="Times New Roman" w:cs="Times New Roman"/>
          <w:noProof/>
          <w:sz w:val="24"/>
          <w:szCs w:val="24"/>
        </w:rPr>
        <w:pict>
          <v:shape id="Picture 5" o:spid="_x0000_i1026" type="#_x0000_t75" style="width:951pt;height:712.5pt;visibility:visible">
            <v:imagedata r:id="rId6" o:title=""/>
          </v:shape>
        </w:pict>
      </w:r>
    </w:p>
    <w:p w:rsidR="001970AC" w:rsidRDefault="001970AC">
      <w:pPr>
        <w:pStyle w:val="Body"/>
        <w:numPr>
          <w:ilvl w:val="0"/>
          <w:numId w:val="1"/>
        </w:numPr>
        <w:pBdr>
          <w:top w:val="none" w:sz="0" w:space="0" w:color="auto"/>
          <w:left w:val="none" w:sz="0" w:space="0" w:color="auto"/>
          <w:bottom w:val="none" w:sz="0" w:space="0" w:color="auto"/>
          <w:right w:val="none" w:sz="0" w:space="0" w:color="auto"/>
        </w:pBdr>
        <w:spacing w:line="480" w:lineRule="auto"/>
        <w:jc w:val="left"/>
        <w:rPr>
          <w:rFonts w:ascii="Times New Roman" w:hAnsi="Times New Roman" w:cs="Times New Roman"/>
        </w:rPr>
      </w:pPr>
      <w:r>
        <w:rPr>
          <w:rStyle w:val="PageNumber"/>
          <w:rFonts w:ascii="Times New Roman" w:hAnsi="Times New Roman" w:cs="Times New Roman"/>
          <w:i/>
          <w:iCs/>
        </w:rPr>
        <w:t>P</w:t>
      </w:r>
      <w:r>
        <w:rPr>
          <w:rFonts w:ascii="Times New Roman" w:hAnsi="Times New Roman" w:cs="Times New Roman"/>
        </w:rPr>
        <w:t>-value for interaction (Upper quartile by admission SBP product) = 0.22</w:t>
      </w:r>
    </w:p>
    <w:p w:rsidR="001970AC" w:rsidRDefault="001970AC">
      <w:pPr>
        <w:pStyle w:val="Body"/>
        <w:numPr>
          <w:ilvl w:val="0"/>
          <w:numId w:val="1"/>
        </w:numPr>
        <w:pBdr>
          <w:top w:val="none" w:sz="0" w:space="0" w:color="auto"/>
          <w:left w:val="none" w:sz="0" w:space="0" w:color="auto"/>
          <w:bottom w:val="none" w:sz="0" w:space="0" w:color="auto"/>
          <w:right w:val="none" w:sz="0" w:space="0" w:color="auto"/>
        </w:pBdr>
        <w:spacing w:line="480" w:lineRule="auto"/>
        <w:jc w:val="left"/>
        <w:rPr>
          <w:rFonts w:ascii="Arial Unicode MS" w:hAnsi="Arial Unicode MS" w:cs="Arial Unicode MS"/>
        </w:rPr>
      </w:pPr>
      <w:r>
        <w:rPr>
          <w:rFonts w:ascii="Times New Roman" w:hAnsi="Times New Roman" w:cs="Times New Roman"/>
        </w:rPr>
        <w:t xml:space="preserve">model further adjusted for age, gender, NYHA class, eGFR and LVEF </w:t>
      </w:r>
    </w:p>
    <w:p w:rsidR="001970AC" w:rsidRDefault="001970AC">
      <w:pPr>
        <w:jc w:val="left"/>
        <w:rPr>
          <w:rFonts w:ascii="Times New Roman" w:hAnsi="Times New Roman" w:cs="Times New Roman"/>
          <w:b/>
          <w:bCs/>
          <w:sz w:val="24"/>
          <w:szCs w:val="24"/>
        </w:rPr>
      </w:pPr>
    </w:p>
    <w:p w:rsidR="001970AC" w:rsidRDefault="001970AC">
      <w:pPr>
        <w:jc w:val="left"/>
        <w:rPr>
          <w:rFonts w:ascii="Times New Roman" w:hAnsi="Times New Roman" w:cs="Times New Roman"/>
          <w:sz w:val="24"/>
          <w:szCs w:val="24"/>
        </w:rPr>
      </w:pPr>
      <w:r>
        <w:rPr>
          <w:rFonts w:ascii="Times New Roman" w:hAnsi="Times New Roman" w:cs="Times New Roman"/>
          <w:b/>
          <w:bCs/>
          <w:sz w:val="24"/>
          <w:szCs w:val="24"/>
        </w:rPr>
        <w:t xml:space="preserve"> Figure 2</w:t>
      </w:r>
      <w:r>
        <w:rPr>
          <w:rFonts w:ascii="Times New Roman" w:hAnsi="Times New Roman" w:cs="Times New Roman"/>
          <w:sz w:val="24"/>
          <w:szCs w:val="24"/>
        </w:rPr>
        <w:t>: hazard ratio associated with upper quartile SBP change by dichotomized admission SBP values showing that increased SBP change is associated with mortality in patients with admission SBP ≥ 140 mm Hg, whereas patients with admission SBP &lt; 140 mm Hg have no significant additional risk as a result of SBP increase.</w:t>
      </w:r>
    </w:p>
    <w:p w:rsidR="001970AC" w:rsidRDefault="001970AC">
      <w:pPr>
        <w:jc w:val="left"/>
        <w:rPr>
          <w:rFonts w:ascii="Arial" w:hAnsi="Arial" w:cs="Arial"/>
        </w:rPr>
      </w:pPr>
    </w:p>
    <w:p w:rsidR="001970AC" w:rsidRDefault="001970AC">
      <w:pPr>
        <w:jc w:val="left"/>
        <w:rPr>
          <w:rFonts w:ascii="Times New Roman" w:hAnsi="Times New Roman" w:cs="Times New Roman"/>
          <w:sz w:val="24"/>
          <w:szCs w:val="24"/>
        </w:rPr>
      </w:pPr>
      <w:r>
        <w:rPr>
          <w:rFonts w:ascii="Times New Roman" w:hAnsi="Times New Roman" w:cs="Times New Roman"/>
          <w:noProof/>
          <w:sz w:val="24"/>
          <w:szCs w:val="24"/>
        </w:rPr>
        <w:pict>
          <v:shape id="Picture 1" o:spid="_x0000_i1027" type="#_x0000_t75" style="width:942.75pt;height:751.5pt;visibility:visible">
            <v:imagedata r:id="rId7" o:title=""/>
          </v:shape>
        </w:pict>
      </w:r>
    </w:p>
    <w:p w:rsidR="001970AC" w:rsidRDefault="001970AC">
      <w:pPr>
        <w:jc w:val="left"/>
        <w:rPr>
          <w:rFonts w:ascii="Times New Roman" w:hAnsi="Times New Roman" w:cs="Times New Roman"/>
          <w:sz w:val="24"/>
          <w:szCs w:val="24"/>
        </w:rPr>
      </w:pPr>
    </w:p>
    <w:p w:rsidR="001970AC" w:rsidRDefault="001970AC">
      <w:pPr>
        <w:jc w:val="left"/>
        <w:rPr>
          <w:rFonts w:ascii="Times New Roman" w:hAnsi="Times New Roman" w:cs="Times New Roman"/>
          <w:sz w:val="24"/>
          <w:szCs w:val="24"/>
        </w:rPr>
      </w:pPr>
    </w:p>
    <w:p w:rsidR="001970AC" w:rsidRDefault="001970AC">
      <w:pPr>
        <w:jc w:val="left"/>
        <w:rPr>
          <w:rFonts w:ascii="Times New Roman" w:hAnsi="Times New Roman" w:cs="Times New Roman"/>
          <w:sz w:val="24"/>
          <w:szCs w:val="24"/>
        </w:rPr>
      </w:pPr>
      <w:r>
        <w:rPr>
          <w:rFonts w:ascii="Times New Roman" w:hAnsi="Times New Roman" w:cs="Times New Roman"/>
          <w:b/>
          <w:bCs/>
          <w:sz w:val="24"/>
          <w:szCs w:val="24"/>
        </w:rPr>
        <w:t xml:space="preserve">Figure 3: </w:t>
      </w:r>
      <w:r>
        <w:rPr>
          <w:rFonts w:ascii="Times New Roman" w:hAnsi="Times New Roman" w:cs="Times New Roman"/>
          <w:sz w:val="24"/>
          <w:szCs w:val="24"/>
        </w:rPr>
        <w:t>A forest plot of the independent risk associated with each quartile, showing that the low SBP change group (Q1) has the lowest mortality risk, whilst the high SBP change group (Q4) presented the highest risk of mortality.</w:t>
      </w:r>
    </w:p>
    <w:p w:rsidR="001970AC" w:rsidRDefault="001970AC">
      <w:pPr>
        <w:jc w:val="left"/>
        <w:rPr>
          <w:rFonts w:ascii="Arial" w:hAnsi="Arial" w:cs="Arial"/>
        </w:rPr>
      </w:pPr>
    </w:p>
    <w:p w:rsidR="001970AC" w:rsidRDefault="001970AC">
      <w:pPr>
        <w:spacing w:after="0" w:line="240" w:lineRule="auto"/>
        <w:jc w:val="left"/>
        <w:rPr>
          <w:rStyle w:val="PageNumber"/>
          <w:b/>
          <w:bCs/>
          <w:color w:val="000000"/>
          <w:sz w:val="28"/>
          <w:szCs w:val="28"/>
          <w:u w:color="000000"/>
        </w:rPr>
      </w:pPr>
      <w:r>
        <w:rPr>
          <w:rStyle w:val="PageNumber"/>
          <w:b/>
          <w:bCs/>
          <w:color w:val="000000"/>
          <w:sz w:val="28"/>
          <w:szCs w:val="28"/>
          <w:u w:color="000000"/>
        </w:rPr>
        <w:t>Table 1. Medication changes by SBP change quartile groups (Q4 vs. Q1-3)</w:t>
      </w:r>
    </w:p>
    <w:p w:rsidR="001970AC" w:rsidRDefault="001970AC">
      <w:pPr>
        <w:rPr>
          <w:rFonts w:ascii="Arial" w:hAnsi="Arial" w:cs="Aria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950"/>
        <w:gridCol w:w="1189"/>
        <w:gridCol w:w="1257"/>
        <w:gridCol w:w="950"/>
        <w:gridCol w:w="1189"/>
        <w:gridCol w:w="1257"/>
        <w:gridCol w:w="1410"/>
      </w:tblGrid>
      <w:tr w:rsidR="001970AC" w:rsidTr="001970AC">
        <w:trPr>
          <w:jc w:val="center"/>
        </w:trPr>
        <w:tc>
          <w:tcPr>
            <w:tcW w:w="1067" w:type="dxa"/>
          </w:tcPr>
          <w:p w:rsidR="001970AC" w:rsidRDefault="001970AC">
            <w:pPr>
              <w:spacing w:after="0" w:line="240" w:lineRule="auto"/>
              <w:jc w:val="left"/>
              <w:rPr>
                <w:rFonts w:ascii="Times New Roman" w:hAnsi="Times New Roman" w:cs="Times New Roman"/>
                <w:sz w:val="24"/>
                <w:szCs w:val="24"/>
              </w:rPr>
            </w:pPr>
            <w:r>
              <w:rPr>
                <w:rFonts w:ascii="Times New Roman" w:hAnsi="Times New Roman" w:cs="Times New Roman"/>
                <w:sz w:val="24"/>
                <w:szCs w:val="24"/>
              </w:rPr>
              <w:t>P value</w:t>
            </w:r>
            <w:r>
              <w:rPr>
                <w:rFonts w:ascii="Times New Roman" w:hAnsi="Times New Roman" w:cs="Times New Roman"/>
                <w:sz w:val="24"/>
                <w:szCs w:val="24"/>
                <w:vertAlign w:val="superscript"/>
              </w:rPr>
              <w:t>§</w:t>
            </w:r>
          </w:p>
        </w:tc>
        <w:tc>
          <w:tcPr>
            <w:tcW w:w="1517" w:type="dxa"/>
          </w:tcPr>
          <w:p w:rsidR="001970AC" w:rsidRDefault="001970AC">
            <w:pPr>
              <w:spacing w:after="0" w:line="240" w:lineRule="auto"/>
              <w:jc w:val="left"/>
              <w:rPr>
                <w:rFonts w:ascii="Times New Roman" w:hAnsi="Times New Roman" w:cs="Times New Roman"/>
                <w:sz w:val="24"/>
                <w:szCs w:val="24"/>
              </w:rPr>
            </w:pPr>
            <w:r>
              <w:rPr>
                <w:rFonts w:ascii="Times New Roman" w:hAnsi="Times New Roman" w:cs="Times New Roman"/>
                <w:sz w:val="24"/>
                <w:szCs w:val="24"/>
              </w:rPr>
              <w:t>Percent Change Q1-3</w:t>
            </w:r>
          </w:p>
        </w:tc>
        <w:tc>
          <w:tcPr>
            <w:tcW w:w="1469" w:type="dxa"/>
          </w:tcPr>
          <w:p w:rsidR="001970AC" w:rsidRDefault="001970AC">
            <w:pPr>
              <w:spacing w:after="0" w:line="240" w:lineRule="auto"/>
              <w:jc w:val="left"/>
              <w:rPr>
                <w:rFonts w:ascii="Times New Roman" w:hAnsi="Times New Roman" w:cs="Times New Roman"/>
                <w:sz w:val="24"/>
                <w:szCs w:val="24"/>
              </w:rPr>
            </w:pPr>
            <w:r>
              <w:rPr>
                <w:rFonts w:ascii="Times New Roman" w:hAnsi="Times New Roman" w:cs="Times New Roman"/>
                <w:sz w:val="24"/>
                <w:szCs w:val="24"/>
              </w:rPr>
              <w:t>Discharge Q1-3</w:t>
            </w:r>
          </w:p>
        </w:tc>
        <w:tc>
          <w:tcPr>
            <w:tcW w:w="1886" w:type="dxa"/>
          </w:tcPr>
          <w:p w:rsidR="001970AC" w:rsidRDefault="001970AC">
            <w:pPr>
              <w:spacing w:after="0" w:line="240" w:lineRule="auto"/>
              <w:jc w:val="left"/>
              <w:rPr>
                <w:rFonts w:ascii="Times New Roman" w:hAnsi="Times New Roman" w:cs="Times New Roman"/>
                <w:sz w:val="24"/>
                <w:szCs w:val="24"/>
              </w:rPr>
            </w:pPr>
            <w:r>
              <w:rPr>
                <w:rFonts w:ascii="Times New Roman" w:hAnsi="Times New Roman" w:cs="Times New Roman"/>
                <w:sz w:val="24"/>
                <w:szCs w:val="24"/>
              </w:rPr>
              <w:t>Admission Q1-3</w:t>
            </w:r>
          </w:p>
        </w:tc>
        <w:tc>
          <w:tcPr>
            <w:tcW w:w="1651" w:type="dxa"/>
          </w:tcPr>
          <w:p w:rsidR="001970AC" w:rsidRDefault="001970AC">
            <w:pPr>
              <w:spacing w:after="0" w:line="240" w:lineRule="auto"/>
              <w:jc w:val="left"/>
              <w:rPr>
                <w:rFonts w:ascii="Times New Roman" w:hAnsi="Times New Roman" w:cs="Times New Roman"/>
                <w:sz w:val="24"/>
                <w:szCs w:val="24"/>
              </w:rPr>
            </w:pPr>
            <w:r>
              <w:rPr>
                <w:rFonts w:ascii="Times New Roman" w:hAnsi="Times New Roman" w:cs="Times New Roman"/>
                <w:sz w:val="24"/>
                <w:szCs w:val="24"/>
              </w:rPr>
              <w:t>Percent Change in Q4</w:t>
            </w:r>
          </w:p>
        </w:tc>
        <w:tc>
          <w:tcPr>
            <w:tcW w:w="1615" w:type="dxa"/>
          </w:tcPr>
          <w:p w:rsidR="001970AC" w:rsidRDefault="001970AC">
            <w:pPr>
              <w:spacing w:after="0" w:line="240" w:lineRule="auto"/>
              <w:jc w:val="left"/>
              <w:rPr>
                <w:rFonts w:ascii="Times New Roman" w:hAnsi="Times New Roman" w:cs="Times New Roman"/>
                <w:sz w:val="24"/>
                <w:szCs w:val="24"/>
              </w:rPr>
            </w:pPr>
            <w:r>
              <w:rPr>
                <w:rFonts w:ascii="Times New Roman" w:hAnsi="Times New Roman" w:cs="Times New Roman"/>
                <w:sz w:val="24"/>
                <w:szCs w:val="24"/>
              </w:rPr>
              <w:t>Discharge Q4</w:t>
            </w:r>
          </w:p>
        </w:tc>
        <w:tc>
          <w:tcPr>
            <w:tcW w:w="2124" w:type="dxa"/>
          </w:tcPr>
          <w:p w:rsidR="001970AC" w:rsidRDefault="001970AC">
            <w:pPr>
              <w:spacing w:after="0" w:line="240" w:lineRule="auto"/>
              <w:jc w:val="left"/>
              <w:rPr>
                <w:rFonts w:ascii="Times New Roman" w:hAnsi="Times New Roman" w:cs="Times New Roman"/>
                <w:sz w:val="24"/>
                <w:szCs w:val="24"/>
              </w:rPr>
            </w:pPr>
            <w:r>
              <w:rPr>
                <w:rFonts w:ascii="Times New Roman" w:hAnsi="Times New Roman" w:cs="Times New Roman"/>
                <w:sz w:val="24"/>
                <w:szCs w:val="24"/>
              </w:rPr>
              <w:t>Admission Q4</w:t>
            </w:r>
          </w:p>
        </w:tc>
        <w:tc>
          <w:tcPr>
            <w:tcW w:w="2158" w:type="dxa"/>
          </w:tcPr>
          <w:p w:rsidR="001970AC" w:rsidRDefault="00197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Drug</w:t>
            </w:r>
          </w:p>
        </w:tc>
      </w:tr>
      <w:tr w:rsidR="001970AC" w:rsidTr="001970AC">
        <w:trPr>
          <w:trHeight w:val="316"/>
          <w:jc w:val="center"/>
        </w:trPr>
        <w:tc>
          <w:tcPr>
            <w:tcW w:w="1067" w:type="dxa"/>
          </w:tcPr>
          <w:p w:rsidR="001970AC" w:rsidRDefault="001970A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0.01</w:t>
            </w:r>
          </w:p>
        </w:tc>
        <w:tc>
          <w:tcPr>
            <w:tcW w:w="1517" w:type="dxa"/>
          </w:tcPr>
          <w:p w:rsidR="001970AC" w:rsidRDefault="001970AC">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+ 4%</w:t>
            </w:r>
          </w:p>
        </w:tc>
        <w:tc>
          <w:tcPr>
            <w:tcW w:w="1469" w:type="dxa"/>
          </w:tcPr>
          <w:p w:rsidR="001970AC" w:rsidRDefault="001970AC">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1788 (70)</w:t>
            </w:r>
          </w:p>
        </w:tc>
        <w:tc>
          <w:tcPr>
            <w:tcW w:w="1886" w:type="dxa"/>
          </w:tcPr>
          <w:p w:rsidR="001970AC" w:rsidRDefault="001970AC">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1724 (66)</w:t>
            </w:r>
          </w:p>
        </w:tc>
        <w:tc>
          <w:tcPr>
            <w:tcW w:w="1651" w:type="dxa"/>
          </w:tcPr>
          <w:p w:rsidR="001970AC" w:rsidRDefault="001970AC">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- 7%</w:t>
            </w:r>
          </w:p>
        </w:tc>
        <w:tc>
          <w:tcPr>
            <w:tcW w:w="1615" w:type="dxa"/>
          </w:tcPr>
          <w:p w:rsidR="001970AC" w:rsidRDefault="001970AC">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560 (67)</w:t>
            </w:r>
          </w:p>
        </w:tc>
        <w:tc>
          <w:tcPr>
            <w:tcW w:w="2124" w:type="dxa"/>
          </w:tcPr>
          <w:p w:rsidR="001970AC" w:rsidRDefault="001970AC">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609 (74)</w:t>
            </w:r>
          </w:p>
        </w:tc>
        <w:tc>
          <w:tcPr>
            <w:tcW w:w="2158" w:type="dxa"/>
          </w:tcPr>
          <w:p w:rsidR="001970AC" w:rsidRDefault="001970AC">
            <w:pPr>
              <w:spacing w:after="0" w:line="48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ACE-I\ARB, n (%)</w:t>
            </w:r>
          </w:p>
        </w:tc>
      </w:tr>
      <w:tr w:rsidR="001970AC" w:rsidTr="001970AC">
        <w:trPr>
          <w:jc w:val="center"/>
        </w:trPr>
        <w:tc>
          <w:tcPr>
            <w:tcW w:w="1067" w:type="dxa"/>
          </w:tcPr>
          <w:p w:rsidR="001970AC" w:rsidRDefault="001970A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NS</w:t>
            </w:r>
          </w:p>
        </w:tc>
        <w:tc>
          <w:tcPr>
            <w:tcW w:w="1517" w:type="dxa"/>
          </w:tcPr>
          <w:p w:rsidR="001970AC" w:rsidRDefault="001970AC">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+ 12%</w:t>
            </w:r>
          </w:p>
        </w:tc>
        <w:tc>
          <w:tcPr>
            <w:tcW w:w="1469" w:type="dxa"/>
          </w:tcPr>
          <w:p w:rsidR="001970AC" w:rsidRDefault="001970AC">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1570 (61)</w:t>
            </w:r>
          </w:p>
        </w:tc>
        <w:tc>
          <w:tcPr>
            <w:tcW w:w="1886" w:type="dxa"/>
          </w:tcPr>
          <w:p w:rsidR="001970AC" w:rsidRDefault="001970AC">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1262 (49)</w:t>
            </w:r>
          </w:p>
        </w:tc>
        <w:tc>
          <w:tcPr>
            <w:tcW w:w="1651" w:type="dxa"/>
          </w:tcPr>
          <w:p w:rsidR="001970AC" w:rsidRDefault="001970AC">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+ 8%</w:t>
            </w:r>
          </w:p>
        </w:tc>
        <w:tc>
          <w:tcPr>
            <w:tcW w:w="1615" w:type="dxa"/>
          </w:tcPr>
          <w:p w:rsidR="001970AC" w:rsidRDefault="001970AC">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482 (58)</w:t>
            </w:r>
          </w:p>
        </w:tc>
        <w:tc>
          <w:tcPr>
            <w:tcW w:w="2124" w:type="dxa"/>
          </w:tcPr>
          <w:p w:rsidR="001970AC" w:rsidRDefault="001970AC">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420 (50)</w:t>
            </w:r>
          </w:p>
        </w:tc>
        <w:tc>
          <w:tcPr>
            <w:tcW w:w="2158" w:type="dxa"/>
          </w:tcPr>
          <w:p w:rsidR="001970AC" w:rsidRDefault="001970AC">
            <w:pPr>
              <w:spacing w:after="0" w:line="48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β-Blockers, n (%)</w:t>
            </w:r>
          </w:p>
        </w:tc>
      </w:tr>
      <w:tr w:rsidR="001970AC" w:rsidTr="001970AC">
        <w:trPr>
          <w:jc w:val="center"/>
        </w:trPr>
        <w:tc>
          <w:tcPr>
            <w:tcW w:w="1067" w:type="dxa"/>
          </w:tcPr>
          <w:p w:rsidR="001970AC" w:rsidRDefault="001970A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NS</w:t>
            </w:r>
          </w:p>
        </w:tc>
        <w:tc>
          <w:tcPr>
            <w:tcW w:w="1517" w:type="dxa"/>
          </w:tcPr>
          <w:p w:rsidR="001970AC" w:rsidRDefault="001970AC">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+ 15%</w:t>
            </w:r>
          </w:p>
        </w:tc>
        <w:tc>
          <w:tcPr>
            <w:tcW w:w="1469" w:type="dxa"/>
          </w:tcPr>
          <w:p w:rsidR="001970AC" w:rsidRDefault="001970AC">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1901 (74)</w:t>
            </w:r>
          </w:p>
        </w:tc>
        <w:tc>
          <w:tcPr>
            <w:tcW w:w="1886" w:type="dxa"/>
          </w:tcPr>
          <w:p w:rsidR="001970AC" w:rsidRDefault="001970AC">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1526 (59)</w:t>
            </w:r>
          </w:p>
        </w:tc>
        <w:tc>
          <w:tcPr>
            <w:tcW w:w="1651" w:type="dxa"/>
          </w:tcPr>
          <w:p w:rsidR="001970AC" w:rsidRDefault="001970AC">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w:t>
            </w:r>
          </w:p>
        </w:tc>
        <w:tc>
          <w:tcPr>
            <w:tcW w:w="1615" w:type="dxa"/>
          </w:tcPr>
          <w:p w:rsidR="001970AC" w:rsidRDefault="001970AC">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620 (74)</w:t>
            </w:r>
          </w:p>
        </w:tc>
        <w:tc>
          <w:tcPr>
            <w:tcW w:w="2124" w:type="dxa"/>
          </w:tcPr>
          <w:p w:rsidR="001970AC" w:rsidRDefault="001970AC">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542 (65)</w:t>
            </w:r>
          </w:p>
        </w:tc>
        <w:tc>
          <w:tcPr>
            <w:tcW w:w="2158" w:type="dxa"/>
          </w:tcPr>
          <w:p w:rsidR="001970AC" w:rsidRDefault="001970AC">
            <w:pPr>
              <w:spacing w:after="0" w:line="48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Furosemide, n (%)</w:t>
            </w:r>
          </w:p>
        </w:tc>
      </w:tr>
      <w:tr w:rsidR="001970AC" w:rsidTr="001970AC">
        <w:trPr>
          <w:trHeight w:val="328"/>
          <w:jc w:val="center"/>
        </w:trPr>
        <w:tc>
          <w:tcPr>
            <w:tcW w:w="1067" w:type="dxa"/>
          </w:tcPr>
          <w:p w:rsidR="001970AC" w:rsidRDefault="001970A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NS</w:t>
            </w:r>
          </w:p>
        </w:tc>
        <w:tc>
          <w:tcPr>
            <w:tcW w:w="1517" w:type="dxa"/>
          </w:tcPr>
          <w:p w:rsidR="001970AC" w:rsidRDefault="001970AC">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69" w:type="dxa"/>
          </w:tcPr>
          <w:p w:rsidR="001970AC" w:rsidRDefault="001970AC">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683 (27)</w:t>
            </w:r>
          </w:p>
        </w:tc>
        <w:tc>
          <w:tcPr>
            <w:tcW w:w="1886" w:type="dxa"/>
          </w:tcPr>
          <w:p w:rsidR="001970AC" w:rsidRDefault="001970AC">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689 (27)</w:t>
            </w:r>
          </w:p>
        </w:tc>
        <w:tc>
          <w:tcPr>
            <w:tcW w:w="1651" w:type="dxa"/>
          </w:tcPr>
          <w:p w:rsidR="001970AC" w:rsidRDefault="001970AC">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- 1%</w:t>
            </w:r>
          </w:p>
        </w:tc>
        <w:tc>
          <w:tcPr>
            <w:tcW w:w="1615" w:type="dxa"/>
          </w:tcPr>
          <w:p w:rsidR="001970AC" w:rsidRDefault="001970AC">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219 (26)</w:t>
            </w:r>
          </w:p>
        </w:tc>
        <w:tc>
          <w:tcPr>
            <w:tcW w:w="2124" w:type="dxa"/>
          </w:tcPr>
          <w:p w:rsidR="001970AC" w:rsidRDefault="001970AC">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226 (27)</w:t>
            </w:r>
          </w:p>
        </w:tc>
        <w:tc>
          <w:tcPr>
            <w:tcW w:w="2158" w:type="dxa"/>
          </w:tcPr>
          <w:p w:rsidR="001970AC" w:rsidRDefault="001970AC">
            <w:pPr>
              <w:spacing w:after="0" w:line="48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Ca Blockers, n (%)</w:t>
            </w:r>
          </w:p>
        </w:tc>
      </w:tr>
      <w:tr w:rsidR="001970AC" w:rsidTr="001970AC">
        <w:trPr>
          <w:trHeight w:val="99"/>
          <w:jc w:val="center"/>
        </w:trPr>
        <w:tc>
          <w:tcPr>
            <w:tcW w:w="1067" w:type="dxa"/>
          </w:tcPr>
          <w:p w:rsidR="001970AC" w:rsidRDefault="001970A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NS</w:t>
            </w:r>
          </w:p>
        </w:tc>
        <w:tc>
          <w:tcPr>
            <w:tcW w:w="1517" w:type="dxa"/>
          </w:tcPr>
          <w:p w:rsidR="001970AC" w:rsidRDefault="001970AC">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+ 1%</w:t>
            </w:r>
          </w:p>
        </w:tc>
        <w:tc>
          <w:tcPr>
            <w:tcW w:w="1469" w:type="dxa"/>
          </w:tcPr>
          <w:p w:rsidR="001970AC" w:rsidRDefault="001970AC">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934 (36)</w:t>
            </w:r>
          </w:p>
        </w:tc>
        <w:tc>
          <w:tcPr>
            <w:tcW w:w="1886" w:type="dxa"/>
          </w:tcPr>
          <w:p w:rsidR="001970AC" w:rsidRDefault="001970AC">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905 (35)</w:t>
            </w:r>
          </w:p>
        </w:tc>
        <w:tc>
          <w:tcPr>
            <w:tcW w:w="1651" w:type="dxa"/>
          </w:tcPr>
          <w:p w:rsidR="001970AC" w:rsidRDefault="001970AC">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615" w:type="dxa"/>
          </w:tcPr>
          <w:p w:rsidR="001970AC" w:rsidRDefault="001970AC">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287 (34)</w:t>
            </w:r>
          </w:p>
        </w:tc>
        <w:tc>
          <w:tcPr>
            <w:tcW w:w="2124" w:type="dxa"/>
          </w:tcPr>
          <w:p w:rsidR="001970AC" w:rsidRDefault="001970AC">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288 (34)</w:t>
            </w:r>
          </w:p>
        </w:tc>
        <w:tc>
          <w:tcPr>
            <w:tcW w:w="2158" w:type="dxa"/>
          </w:tcPr>
          <w:p w:rsidR="001970AC" w:rsidRDefault="001970AC">
            <w:pPr>
              <w:spacing w:after="0" w:line="48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Nitrates, n (%)</w:t>
            </w:r>
          </w:p>
        </w:tc>
      </w:tr>
      <w:tr w:rsidR="001970AC" w:rsidTr="001970AC">
        <w:trPr>
          <w:trHeight w:val="213"/>
          <w:jc w:val="center"/>
        </w:trPr>
        <w:tc>
          <w:tcPr>
            <w:tcW w:w="1067" w:type="dxa"/>
          </w:tcPr>
          <w:p w:rsidR="001970AC" w:rsidRDefault="001970A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NS</w:t>
            </w:r>
          </w:p>
        </w:tc>
        <w:tc>
          <w:tcPr>
            <w:tcW w:w="1517" w:type="dxa"/>
          </w:tcPr>
          <w:p w:rsidR="001970AC" w:rsidRDefault="001970AC">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+ 6%</w:t>
            </w:r>
          </w:p>
        </w:tc>
        <w:tc>
          <w:tcPr>
            <w:tcW w:w="1469" w:type="dxa"/>
          </w:tcPr>
          <w:p w:rsidR="001970AC" w:rsidRDefault="001970AC">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530 (21)</w:t>
            </w:r>
          </w:p>
        </w:tc>
        <w:tc>
          <w:tcPr>
            <w:tcW w:w="1886" w:type="dxa"/>
          </w:tcPr>
          <w:p w:rsidR="001970AC" w:rsidRDefault="001970AC">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349 (14)</w:t>
            </w:r>
          </w:p>
        </w:tc>
        <w:tc>
          <w:tcPr>
            <w:tcW w:w="1651" w:type="dxa"/>
          </w:tcPr>
          <w:p w:rsidR="001970AC" w:rsidRDefault="001970AC">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615" w:type="dxa"/>
          </w:tcPr>
          <w:p w:rsidR="001970AC" w:rsidRDefault="001970AC">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164 (20)</w:t>
            </w:r>
          </w:p>
        </w:tc>
        <w:tc>
          <w:tcPr>
            <w:tcW w:w="2124" w:type="dxa"/>
          </w:tcPr>
          <w:p w:rsidR="001970AC" w:rsidRDefault="001970AC">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122 (15)</w:t>
            </w:r>
          </w:p>
        </w:tc>
        <w:tc>
          <w:tcPr>
            <w:tcW w:w="2158" w:type="dxa"/>
          </w:tcPr>
          <w:p w:rsidR="001970AC" w:rsidRDefault="001970AC">
            <w:pPr>
              <w:spacing w:after="0" w:line="48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MRA, n (%)</w:t>
            </w:r>
          </w:p>
        </w:tc>
      </w:tr>
    </w:tbl>
    <w:p w:rsidR="001970AC" w:rsidRDefault="001970AC">
      <w:pPr>
        <w:jc w:val="left"/>
        <w:rPr>
          <w:rFonts w:ascii="Arial" w:hAnsi="Arial" w:cs="Arial"/>
        </w:rPr>
      </w:pPr>
    </w:p>
    <w:p w:rsidR="001970AC" w:rsidRDefault="001970AC">
      <w:pPr>
        <w:spacing w:after="0" w:line="240" w:lineRule="auto"/>
        <w:jc w:val="left"/>
        <w:rPr>
          <w:rFonts w:ascii="Times New Roman" w:hAnsi="Times New Roman" w:cs="Times New Roman"/>
          <w:color w:val="000000"/>
          <w:sz w:val="24"/>
          <w:szCs w:val="24"/>
        </w:rPr>
      </w:pPr>
    </w:p>
    <w:p w:rsidR="001970AC" w:rsidRDefault="001970AC">
      <w:pPr>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The data is presented as absolute frequencies and percentages. The change was calculated as the difference between the discharge and the admission values for each drug in each group.</w:t>
      </w:r>
    </w:p>
    <w:p w:rsidR="001970AC" w:rsidRDefault="001970AC">
      <w:pPr>
        <w:spacing w:after="0" w:line="240" w:lineRule="auto"/>
        <w:jc w:val="left"/>
        <w:rPr>
          <w:rFonts w:ascii="Times New Roman" w:hAnsi="Times New Roman" w:cs="Times New Roman"/>
          <w:color w:val="000000"/>
          <w:sz w:val="24"/>
          <w:szCs w:val="24"/>
        </w:rPr>
      </w:pPr>
    </w:p>
    <w:p w:rsidR="001970AC" w:rsidRDefault="001970AC">
      <w:pPr>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P value for comparison between medication change in percentage (discharge minus admission) in Q4 vs. lower quartiles (Q1-3) </w:t>
      </w:r>
    </w:p>
    <w:p w:rsidR="001970AC" w:rsidRDefault="001970AC">
      <w:pPr>
        <w:spacing w:after="0" w:line="240" w:lineRule="auto"/>
        <w:jc w:val="left"/>
        <w:rPr>
          <w:rFonts w:ascii="Times New Roman" w:hAnsi="Times New Roman" w:cs="Times New Roman"/>
          <w:color w:val="000000"/>
          <w:sz w:val="24"/>
          <w:szCs w:val="24"/>
        </w:rPr>
      </w:pPr>
    </w:p>
    <w:p w:rsidR="001970AC" w:rsidRDefault="001970AC">
      <w:pPr>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NS, not significant.</w:t>
      </w:r>
    </w:p>
    <w:p w:rsidR="001970AC" w:rsidRDefault="001970AC">
      <w:pPr>
        <w:jc w:val="left"/>
        <w:rPr>
          <w:rFonts w:ascii="Arial" w:hAnsi="Arial" w:cs="Arial"/>
        </w:rPr>
      </w:pPr>
    </w:p>
    <w:p w:rsidR="001970AC" w:rsidRDefault="001970AC">
      <w:pPr>
        <w:pStyle w:val="Body"/>
        <w:pBdr>
          <w:top w:val="none" w:sz="0" w:space="0" w:color="auto"/>
          <w:left w:val="none" w:sz="0" w:space="0" w:color="auto"/>
          <w:bottom w:val="none" w:sz="0" w:space="0" w:color="auto"/>
          <w:right w:val="none" w:sz="0" w:space="0" w:color="auto"/>
        </w:pBdr>
        <w:jc w:val="left"/>
        <w:rPr>
          <w:rStyle w:val="PageNumber"/>
          <w:rFonts w:ascii="Times New Roman" w:hAnsi="Times New Roman" w:cs="Times New Roman"/>
          <w:b/>
          <w:bCs/>
          <w:sz w:val="28"/>
          <w:szCs w:val="28"/>
        </w:rPr>
      </w:pPr>
      <w:r>
        <w:rPr>
          <w:rStyle w:val="PageNumber"/>
          <w:rFonts w:ascii="Times New Roman" w:hAnsi="Times New Roman" w:cs="Times New Roman"/>
          <w:b/>
          <w:bCs/>
          <w:sz w:val="28"/>
          <w:szCs w:val="28"/>
        </w:rPr>
        <w:t>Table 2. Independent predictors of upper quartile SBP change</w:t>
      </w:r>
      <w:r>
        <w:rPr>
          <w:rStyle w:val="PageNumber"/>
          <w:rFonts w:ascii="Arial Unicode MS" w:hAnsi="Arial Unicode MS" w:cs="Arial Unicode MS"/>
          <w:b/>
          <w:bCs/>
          <w:sz w:val="28"/>
          <w:szCs w:val="28"/>
          <w:lang w:val="he-IL"/>
        </w:rPr>
        <w:t>*</w:t>
      </w:r>
      <w:r>
        <w:rPr>
          <w:rStyle w:val="PageNumber"/>
          <w:rFonts w:ascii="Times New Roman" w:hAnsi="Times New Roman" w:cs="Times New Roman"/>
          <w:b/>
          <w:bCs/>
          <w:sz w:val="28"/>
          <w:szCs w:val="28"/>
        </w:rPr>
        <w:t xml:space="preserve"> </w:t>
      </w:r>
    </w:p>
    <w:p w:rsidR="001970AC" w:rsidRDefault="001970AC">
      <w:pPr>
        <w:pStyle w:val="Body"/>
        <w:pBdr>
          <w:top w:val="none" w:sz="0" w:space="0" w:color="auto"/>
          <w:left w:val="none" w:sz="0" w:space="0" w:color="auto"/>
          <w:bottom w:val="none" w:sz="0" w:space="0" w:color="auto"/>
          <w:right w:val="none" w:sz="0" w:space="0" w:color="auto"/>
        </w:pBdr>
        <w:jc w:val="left"/>
        <w:rPr>
          <w:rFonts w:ascii="Times New Roman" w:hAnsi="Times New Roman" w:cs="Times New Roman"/>
        </w:rPr>
      </w:pPr>
    </w:p>
    <w:tbl>
      <w:tblPr>
        <w:tblW w:w="86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02"/>
        <w:gridCol w:w="1300"/>
        <w:gridCol w:w="1300"/>
        <w:gridCol w:w="1300"/>
        <w:gridCol w:w="1300"/>
      </w:tblGrid>
      <w:tr w:rsidR="001970AC">
        <w:trPr>
          <w:trHeight w:val="260"/>
        </w:trPr>
        <w:tc>
          <w:tcPr>
            <w:tcW w:w="3402" w:type="dxa"/>
            <w:tcMar>
              <w:top w:w="80" w:type="dxa"/>
              <w:left w:w="80" w:type="dxa"/>
              <w:bottom w:w="80" w:type="dxa"/>
              <w:right w:w="80" w:type="dxa"/>
            </w:tcMar>
            <w:vAlign w:val="bottom"/>
          </w:tcPr>
          <w:p w:rsidR="001970AC" w:rsidRDefault="001970AC">
            <w:pPr>
              <w:spacing w:after="0" w:line="240" w:lineRule="auto"/>
              <w:rPr>
                <w:rFonts w:ascii="Times New Roman" w:hAnsi="Times New Roman" w:cs="Times New Roman"/>
                <w:sz w:val="20"/>
                <w:szCs w:val="20"/>
              </w:rPr>
            </w:pPr>
          </w:p>
        </w:tc>
        <w:tc>
          <w:tcPr>
            <w:tcW w:w="1300" w:type="dxa"/>
            <w:tcMar>
              <w:top w:w="80" w:type="dxa"/>
              <w:left w:w="80" w:type="dxa"/>
              <w:bottom w:w="80" w:type="dxa"/>
              <w:right w:w="80" w:type="dxa"/>
            </w:tcMar>
            <w:vAlign w:val="bottom"/>
          </w:tcPr>
          <w:p w:rsidR="001970AC" w:rsidRDefault="001970AC">
            <w:pPr>
              <w:pStyle w:val="Body"/>
              <w:pBdr>
                <w:top w:val="none" w:sz="0" w:space="0" w:color="auto"/>
                <w:left w:val="none" w:sz="0" w:space="0" w:color="auto"/>
                <w:bottom w:val="none" w:sz="0" w:space="0" w:color="auto"/>
                <w:right w:val="none" w:sz="0" w:space="0" w:color="auto"/>
              </w:pBdr>
              <w:spacing w:after="0" w:line="240" w:lineRule="auto"/>
              <w:jc w:val="center"/>
              <w:rPr>
                <w:rFonts w:ascii="Arial Unicode MS" w:hAnsi="Arial Unicode MS" w:cs="Arial Unicode MS"/>
                <w:sz w:val="20"/>
                <w:szCs w:val="20"/>
              </w:rPr>
            </w:pPr>
            <w:r>
              <w:rPr>
                <w:rStyle w:val="PageNumber"/>
                <w:rFonts w:ascii="Cambria" w:hAnsi="Cambria" w:cs="Cambria"/>
                <w:b/>
                <w:bCs/>
                <w:sz w:val="20"/>
                <w:szCs w:val="20"/>
              </w:rPr>
              <w:t xml:space="preserve">OR </w:t>
            </w:r>
          </w:p>
        </w:tc>
        <w:tc>
          <w:tcPr>
            <w:tcW w:w="2600" w:type="dxa"/>
            <w:gridSpan w:val="2"/>
            <w:tcMar>
              <w:top w:w="80" w:type="dxa"/>
              <w:left w:w="80" w:type="dxa"/>
              <w:bottom w:w="80" w:type="dxa"/>
              <w:right w:w="80" w:type="dxa"/>
            </w:tcMar>
            <w:vAlign w:val="bottom"/>
          </w:tcPr>
          <w:p w:rsidR="001970AC" w:rsidRDefault="001970AC">
            <w:pPr>
              <w:pStyle w:val="Body"/>
              <w:pBdr>
                <w:top w:val="none" w:sz="0" w:space="0" w:color="auto"/>
                <w:left w:val="none" w:sz="0" w:space="0" w:color="auto"/>
                <w:bottom w:val="none" w:sz="0" w:space="0" w:color="auto"/>
                <w:right w:val="none" w:sz="0" w:space="0" w:color="auto"/>
              </w:pBdr>
              <w:spacing w:after="0" w:line="240" w:lineRule="auto"/>
              <w:jc w:val="center"/>
              <w:rPr>
                <w:rFonts w:ascii="Arial Unicode MS" w:hAnsi="Arial Unicode MS" w:cs="Arial Unicode MS"/>
                <w:sz w:val="20"/>
                <w:szCs w:val="20"/>
              </w:rPr>
            </w:pPr>
            <w:r>
              <w:rPr>
                <w:rStyle w:val="PageNumber"/>
                <w:rFonts w:ascii="Cambria" w:hAnsi="Cambria" w:cs="Cambria"/>
                <w:b/>
                <w:bCs/>
                <w:sz w:val="20"/>
                <w:szCs w:val="20"/>
              </w:rPr>
              <w:t xml:space="preserve">95% CI </w:t>
            </w:r>
          </w:p>
        </w:tc>
        <w:tc>
          <w:tcPr>
            <w:tcW w:w="1300" w:type="dxa"/>
            <w:tcMar>
              <w:top w:w="80" w:type="dxa"/>
              <w:left w:w="80" w:type="dxa"/>
              <w:bottom w:w="80" w:type="dxa"/>
              <w:right w:w="80" w:type="dxa"/>
            </w:tcMar>
            <w:vAlign w:val="bottom"/>
          </w:tcPr>
          <w:p w:rsidR="001970AC" w:rsidRDefault="001970AC">
            <w:pPr>
              <w:pStyle w:val="Body"/>
              <w:pBdr>
                <w:top w:val="none" w:sz="0" w:space="0" w:color="auto"/>
                <w:left w:val="none" w:sz="0" w:space="0" w:color="auto"/>
                <w:bottom w:val="none" w:sz="0" w:space="0" w:color="auto"/>
                <w:right w:val="none" w:sz="0" w:space="0" w:color="auto"/>
              </w:pBdr>
              <w:spacing w:after="0" w:line="240" w:lineRule="auto"/>
              <w:jc w:val="center"/>
              <w:rPr>
                <w:rFonts w:ascii="Arial Unicode MS" w:hAnsi="Arial Unicode MS" w:cs="Arial Unicode MS"/>
                <w:sz w:val="20"/>
                <w:szCs w:val="20"/>
              </w:rPr>
            </w:pPr>
            <w:r>
              <w:rPr>
                <w:rStyle w:val="PageNumber"/>
                <w:rFonts w:ascii="Cambria" w:hAnsi="Cambria" w:cs="Cambria"/>
                <w:b/>
                <w:bCs/>
                <w:i/>
                <w:iCs/>
                <w:sz w:val="20"/>
                <w:szCs w:val="20"/>
              </w:rPr>
              <w:t>P-</w:t>
            </w:r>
            <w:r>
              <w:rPr>
                <w:rStyle w:val="PageNumber"/>
                <w:rFonts w:ascii="Cambria" w:hAnsi="Cambria" w:cs="Cambria"/>
                <w:b/>
                <w:bCs/>
                <w:sz w:val="20"/>
                <w:szCs w:val="20"/>
              </w:rPr>
              <w:t xml:space="preserve">value </w:t>
            </w:r>
          </w:p>
        </w:tc>
      </w:tr>
      <w:tr w:rsidR="001970AC">
        <w:trPr>
          <w:trHeight w:val="260"/>
        </w:trPr>
        <w:tc>
          <w:tcPr>
            <w:tcW w:w="3402" w:type="dxa"/>
            <w:tcMar>
              <w:top w:w="80" w:type="dxa"/>
              <w:left w:w="80" w:type="dxa"/>
              <w:bottom w:w="80" w:type="dxa"/>
              <w:right w:w="80" w:type="dxa"/>
            </w:tcMar>
            <w:vAlign w:val="bottom"/>
          </w:tcPr>
          <w:p w:rsidR="001970AC" w:rsidRDefault="001970AC">
            <w:pPr>
              <w:pStyle w:val="Body"/>
              <w:pBdr>
                <w:top w:val="none" w:sz="0" w:space="0" w:color="auto"/>
                <w:left w:val="none" w:sz="0" w:space="0" w:color="auto"/>
                <w:bottom w:val="none" w:sz="0" w:space="0" w:color="auto"/>
                <w:right w:val="none" w:sz="0" w:space="0" w:color="auto"/>
              </w:pBdr>
              <w:spacing w:after="0" w:line="240" w:lineRule="auto"/>
              <w:jc w:val="left"/>
              <w:rPr>
                <w:rFonts w:ascii="Arial Unicode MS" w:hAnsi="Arial Unicode MS" w:cs="Arial Unicode MS"/>
                <w:sz w:val="20"/>
                <w:szCs w:val="20"/>
              </w:rPr>
            </w:pPr>
            <w:r>
              <w:rPr>
                <w:rStyle w:val="PageNumber"/>
                <w:rFonts w:ascii="Cambria" w:hAnsi="Cambria" w:cs="Cambria"/>
                <w:sz w:val="20"/>
                <w:szCs w:val="20"/>
              </w:rPr>
              <w:t xml:space="preserve">NYHA class &gt; II </w:t>
            </w:r>
          </w:p>
        </w:tc>
        <w:tc>
          <w:tcPr>
            <w:tcW w:w="1300" w:type="dxa"/>
            <w:tcMar>
              <w:top w:w="80" w:type="dxa"/>
              <w:left w:w="80" w:type="dxa"/>
              <w:bottom w:w="80" w:type="dxa"/>
              <w:right w:w="80" w:type="dxa"/>
            </w:tcMar>
            <w:vAlign w:val="bottom"/>
          </w:tcPr>
          <w:p w:rsidR="001970AC" w:rsidRDefault="001970AC">
            <w:pPr>
              <w:pStyle w:val="Body"/>
              <w:pBdr>
                <w:top w:val="none" w:sz="0" w:space="0" w:color="auto"/>
                <w:left w:val="none" w:sz="0" w:space="0" w:color="auto"/>
                <w:bottom w:val="none" w:sz="0" w:space="0" w:color="auto"/>
                <w:right w:val="none" w:sz="0" w:space="0" w:color="auto"/>
              </w:pBdr>
              <w:spacing w:after="0" w:line="240" w:lineRule="auto"/>
              <w:jc w:val="center"/>
              <w:rPr>
                <w:rFonts w:ascii="Arial Unicode MS" w:hAnsi="Arial Unicode MS" w:cs="Arial Unicode MS"/>
                <w:sz w:val="20"/>
                <w:szCs w:val="20"/>
              </w:rPr>
            </w:pPr>
            <w:r>
              <w:rPr>
                <w:rStyle w:val="PageNumber"/>
                <w:rFonts w:ascii="Cambria" w:hAnsi="Cambria" w:cs="Cambria"/>
                <w:sz w:val="20"/>
                <w:szCs w:val="20"/>
              </w:rPr>
              <w:t>1.06</w:t>
            </w:r>
          </w:p>
        </w:tc>
        <w:tc>
          <w:tcPr>
            <w:tcW w:w="1300" w:type="dxa"/>
            <w:tcMar>
              <w:top w:w="80" w:type="dxa"/>
              <w:left w:w="80" w:type="dxa"/>
              <w:bottom w:w="80" w:type="dxa"/>
              <w:right w:w="80" w:type="dxa"/>
            </w:tcMar>
            <w:vAlign w:val="bottom"/>
          </w:tcPr>
          <w:p w:rsidR="001970AC" w:rsidRDefault="001970AC">
            <w:pPr>
              <w:pStyle w:val="Body"/>
              <w:pBdr>
                <w:top w:val="none" w:sz="0" w:space="0" w:color="auto"/>
                <w:left w:val="none" w:sz="0" w:space="0" w:color="auto"/>
                <w:bottom w:val="none" w:sz="0" w:space="0" w:color="auto"/>
                <w:right w:val="none" w:sz="0" w:space="0" w:color="auto"/>
              </w:pBdr>
              <w:spacing w:after="0" w:line="240" w:lineRule="auto"/>
              <w:jc w:val="center"/>
              <w:rPr>
                <w:rFonts w:ascii="Arial Unicode MS" w:hAnsi="Arial Unicode MS" w:cs="Arial Unicode MS"/>
                <w:sz w:val="20"/>
                <w:szCs w:val="20"/>
              </w:rPr>
            </w:pPr>
            <w:r>
              <w:rPr>
                <w:rStyle w:val="PageNumber"/>
                <w:rFonts w:ascii="Cambria" w:hAnsi="Cambria" w:cs="Cambria"/>
                <w:sz w:val="20"/>
                <w:szCs w:val="20"/>
              </w:rPr>
              <w:t>0.95</w:t>
            </w:r>
          </w:p>
        </w:tc>
        <w:tc>
          <w:tcPr>
            <w:tcW w:w="1300" w:type="dxa"/>
            <w:tcMar>
              <w:top w:w="80" w:type="dxa"/>
              <w:left w:w="80" w:type="dxa"/>
              <w:bottom w:w="80" w:type="dxa"/>
              <w:right w:w="80" w:type="dxa"/>
            </w:tcMar>
            <w:vAlign w:val="bottom"/>
          </w:tcPr>
          <w:p w:rsidR="001970AC" w:rsidRDefault="001970AC">
            <w:pPr>
              <w:pStyle w:val="Body"/>
              <w:pBdr>
                <w:top w:val="none" w:sz="0" w:space="0" w:color="auto"/>
                <w:left w:val="none" w:sz="0" w:space="0" w:color="auto"/>
                <w:bottom w:val="none" w:sz="0" w:space="0" w:color="auto"/>
                <w:right w:val="none" w:sz="0" w:space="0" w:color="auto"/>
              </w:pBdr>
              <w:spacing w:after="0" w:line="240" w:lineRule="auto"/>
              <w:jc w:val="center"/>
              <w:rPr>
                <w:rFonts w:ascii="Arial Unicode MS" w:hAnsi="Arial Unicode MS" w:cs="Arial Unicode MS"/>
                <w:sz w:val="20"/>
                <w:szCs w:val="20"/>
              </w:rPr>
            </w:pPr>
            <w:r>
              <w:rPr>
                <w:rStyle w:val="PageNumber"/>
                <w:rFonts w:ascii="Cambria" w:hAnsi="Cambria" w:cs="Cambria"/>
                <w:sz w:val="20"/>
                <w:szCs w:val="20"/>
              </w:rPr>
              <w:t>1.19</w:t>
            </w:r>
          </w:p>
        </w:tc>
        <w:tc>
          <w:tcPr>
            <w:tcW w:w="1300" w:type="dxa"/>
            <w:tcMar>
              <w:top w:w="80" w:type="dxa"/>
              <w:left w:w="80" w:type="dxa"/>
              <w:bottom w:w="80" w:type="dxa"/>
              <w:right w:w="80" w:type="dxa"/>
            </w:tcMar>
            <w:vAlign w:val="bottom"/>
          </w:tcPr>
          <w:p w:rsidR="001970AC" w:rsidRDefault="001970AC">
            <w:pPr>
              <w:pStyle w:val="Body"/>
              <w:pBdr>
                <w:top w:val="none" w:sz="0" w:space="0" w:color="auto"/>
                <w:left w:val="none" w:sz="0" w:space="0" w:color="auto"/>
                <w:bottom w:val="none" w:sz="0" w:space="0" w:color="auto"/>
                <w:right w:val="none" w:sz="0" w:space="0" w:color="auto"/>
              </w:pBdr>
              <w:spacing w:after="0" w:line="240" w:lineRule="auto"/>
              <w:jc w:val="center"/>
              <w:rPr>
                <w:rFonts w:ascii="Arial Unicode MS" w:hAnsi="Arial Unicode MS" w:cs="Arial Unicode MS"/>
                <w:sz w:val="20"/>
                <w:szCs w:val="20"/>
              </w:rPr>
            </w:pPr>
            <w:r>
              <w:rPr>
                <w:rStyle w:val="PageNumber"/>
                <w:rFonts w:ascii="Cambria" w:hAnsi="Cambria" w:cs="Cambria"/>
                <w:sz w:val="20"/>
                <w:szCs w:val="20"/>
              </w:rPr>
              <w:t>0.27</w:t>
            </w:r>
          </w:p>
        </w:tc>
      </w:tr>
      <w:tr w:rsidR="001970AC">
        <w:trPr>
          <w:trHeight w:val="260"/>
        </w:trPr>
        <w:tc>
          <w:tcPr>
            <w:tcW w:w="3402" w:type="dxa"/>
            <w:tcMar>
              <w:top w:w="80" w:type="dxa"/>
              <w:left w:w="80" w:type="dxa"/>
              <w:bottom w:w="80" w:type="dxa"/>
              <w:right w:w="80" w:type="dxa"/>
            </w:tcMar>
            <w:vAlign w:val="bottom"/>
          </w:tcPr>
          <w:p w:rsidR="001970AC" w:rsidRDefault="001970AC">
            <w:pPr>
              <w:pStyle w:val="Body"/>
              <w:pBdr>
                <w:top w:val="none" w:sz="0" w:space="0" w:color="auto"/>
                <w:left w:val="none" w:sz="0" w:space="0" w:color="auto"/>
                <w:bottom w:val="none" w:sz="0" w:space="0" w:color="auto"/>
                <w:right w:val="none" w:sz="0" w:space="0" w:color="auto"/>
              </w:pBdr>
              <w:spacing w:after="0" w:line="240" w:lineRule="auto"/>
              <w:jc w:val="left"/>
              <w:rPr>
                <w:rFonts w:ascii="Arial Unicode MS" w:hAnsi="Arial Unicode MS" w:cs="Arial Unicode MS"/>
                <w:sz w:val="20"/>
                <w:szCs w:val="20"/>
              </w:rPr>
            </w:pPr>
            <w:r>
              <w:rPr>
                <w:rStyle w:val="PageNumber"/>
                <w:rFonts w:ascii="Cambria" w:hAnsi="Cambria" w:cs="Cambria"/>
                <w:sz w:val="20"/>
                <w:szCs w:val="20"/>
              </w:rPr>
              <w:t>eGFR &lt; 60 mL/min/1.73 m</w:t>
            </w:r>
            <w:r>
              <w:rPr>
                <w:rStyle w:val="PageNumber"/>
                <w:rFonts w:ascii="Cambria" w:hAnsi="Cambria" w:cs="Cambria"/>
                <w:sz w:val="20"/>
                <w:szCs w:val="20"/>
                <w:vertAlign w:val="superscript"/>
              </w:rPr>
              <w:t>2</w:t>
            </w:r>
          </w:p>
        </w:tc>
        <w:tc>
          <w:tcPr>
            <w:tcW w:w="1300" w:type="dxa"/>
            <w:tcMar>
              <w:top w:w="80" w:type="dxa"/>
              <w:left w:w="80" w:type="dxa"/>
              <w:bottom w:w="80" w:type="dxa"/>
              <w:right w:w="80" w:type="dxa"/>
            </w:tcMar>
            <w:vAlign w:val="bottom"/>
          </w:tcPr>
          <w:p w:rsidR="001970AC" w:rsidRDefault="001970AC">
            <w:pPr>
              <w:pStyle w:val="Body"/>
              <w:pBdr>
                <w:top w:val="none" w:sz="0" w:space="0" w:color="auto"/>
                <w:left w:val="none" w:sz="0" w:space="0" w:color="auto"/>
                <w:bottom w:val="none" w:sz="0" w:space="0" w:color="auto"/>
                <w:right w:val="none" w:sz="0" w:space="0" w:color="auto"/>
              </w:pBdr>
              <w:spacing w:after="0" w:line="240" w:lineRule="auto"/>
              <w:jc w:val="center"/>
              <w:rPr>
                <w:rFonts w:ascii="Arial Unicode MS" w:hAnsi="Arial Unicode MS" w:cs="Arial Unicode MS"/>
                <w:sz w:val="20"/>
                <w:szCs w:val="20"/>
              </w:rPr>
            </w:pPr>
            <w:r>
              <w:rPr>
                <w:rStyle w:val="PageNumber"/>
                <w:rFonts w:ascii="Cambria" w:hAnsi="Cambria" w:cs="Cambria"/>
                <w:sz w:val="20"/>
                <w:szCs w:val="20"/>
              </w:rPr>
              <w:t>1.15</w:t>
            </w:r>
          </w:p>
        </w:tc>
        <w:tc>
          <w:tcPr>
            <w:tcW w:w="1300" w:type="dxa"/>
            <w:tcMar>
              <w:top w:w="80" w:type="dxa"/>
              <w:left w:w="80" w:type="dxa"/>
              <w:bottom w:w="80" w:type="dxa"/>
              <w:right w:w="80" w:type="dxa"/>
            </w:tcMar>
            <w:vAlign w:val="bottom"/>
          </w:tcPr>
          <w:p w:rsidR="001970AC" w:rsidRDefault="001970AC">
            <w:pPr>
              <w:pStyle w:val="Body"/>
              <w:pBdr>
                <w:top w:val="none" w:sz="0" w:space="0" w:color="auto"/>
                <w:left w:val="none" w:sz="0" w:space="0" w:color="auto"/>
                <w:bottom w:val="none" w:sz="0" w:space="0" w:color="auto"/>
                <w:right w:val="none" w:sz="0" w:space="0" w:color="auto"/>
              </w:pBdr>
              <w:spacing w:after="0" w:line="240" w:lineRule="auto"/>
              <w:jc w:val="center"/>
              <w:rPr>
                <w:rFonts w:ascii="Arial Unicode MS" w:hAnsi="Arial Unicode MS" w:cs="Arial Unicode MS"/>
                <w:sz w:val="20"/>
                <w:szCs w:val="20"/>
              </w:rPr>
            </w:pPr>
            <w:r>
              <w:rPr>
                <w:rStyle w:val="PageNumber"/>
                <w:rFonts w:ascii="Cambria" w:hAnsi="Cambria" w:cs="Cambria"/>
                <w:sz w:val="20"/>
                <w:szCs w:val="20"/>
              </w:rPr>
              <w:t>0.95</w:t>
            </w:r>
          </w:p>
        </w:tc>
        <w:tc>
          <w:tcPr>
            <w:tcW w:w="1300" w:type="dxa"/>
            <w:tcMar>
              <w:top w:w="80" w:type="dxa"/>
              <w:left w:w="80" w:type="dxa"/>
              <w:bottom w:w="80" w:type="dxa"/>
              <w:right w:w="80" w:type="dxa"/>
            </w:tcMar>
            <w:vAlign w:val="bottom"/>
          </w:tcPr>
          <w:p w:rsidR="001970AC" w:rsidRDefault="001970AC">
            <w:pPr>
              <w:pStyle w:val="Body"/>
              <w:pBdr>
                <w:top w:val="none" w:sz="0" w:space="0" w:color="auto"/>
                <w:left w:val="none" w:sz="0" w:space="0" w:color="auto"/>
                <w:bottom w:val="none" w:sz="0" w:space="0" w:color="auto"/>
                <w:right w:val="none" w:sz="0" w:space="0" w:color="auto"/>
              </w:pBdr>
              <w:spacing w:after="0" w:line="240" w:lineRule="auto"/>
              <w:jc w:val="center"/>
              <w:rPr>
                <w:rFonts w:ascii="Arial Unicode MS" w:hAnsi="Arial Unicode MS" w:cs="Arial Unicode MS"/>
                <w:sz w:val="20"/>
                <w:szCs w:val="20"/>
              </w:rPr>
            </w:pPr>
            <w:r>
              <w:rPr>
                <w:rStyle w:val="PageNumber"/>
                <w:rFonts w:ascii="Cambria" w:hAnsi="Cambria" w:cs="Cambria"/>
                <w:sz w:val="20"/>
                <w:szCs w:val="20"/>
              </w:rPr>
              <w:t>1.39</w:t>
            </w:r>
          </w:p>
        </w:tc>
        <w:tc>
          <w:tcPr>
            <w:tcW w:w="1300" w:type="dxa"/>
            <w:tcMar>
              <w:top w:w="80" w:type="dxa"/>
              <w:left w:w="80" w:type="dxa"/>
              <w:bottom w:w="80" w:type="dxa"/>
              <w:right w:w="80" w:type="dxa"/>
            </w:tcMar>
            <w:vAlign w:val="bottom"/>
          </w:tcPr>
          <w:p w:rsidR="001970AC" w:rsidRDefault="001970AC">
            <w:pPr>
              <w:pStyle w:val="Body"/>
              <w:pBdr>
                <w:top w:val="none" w:sz="0" w:space="0" w:color="auto"/>
                <w:left w:val="none" w:sz="0" w:space="0" w:color="auto"/>
                <w:bottom w:val="none" w:sz="0" w:space="0" w:color="auto"/>
                <w:right w:val="none" w:sz="0" w:space="0" w:color="auto"/>
              </w:pBdr>
              <w:spacing w:after="0" w:line="240" w:lineRule="auto"/>
              <w:jc w:val="center"/>
              <w:rPr>
                <w:rFonts w:ascii="Arial Unicode MS" w:hAnsi="Arial Unicode MS" w:cs="Arial Unicode MS"/>
                <w:sz w:val="20"/>
                <w:szCs w:val="20"/>
              </w:rPr>
            </w:pPr>
            <w:r>
              <w:rPr>
                <w:rStyle w:val="PageNumber"/>
                <w:rFonts w:ascii="Cambria" w:hAnsi="Cambria" w:cs="Cambria"/>
                <w:sz w:val="20"/>
                <w:szCs w:val="20"/>
              </w:rPr>
              <w:t>0.16</w:t>
            </w:r>
          </w:p>
        </w:tc>
      </w:tr>
      <w:tr w:rsidR="001970AC">
        <w:trPr>
          <w:trHeight w:val="260"/>
        </w:trPr>
        <w:tc>
          <w:tcPr>
            <w:tcW w:w="3402" w:type="dxa"/>
            <w:tcMar>
              <w:top w:w="80" w:type="dxa"/>
              <w:left w:w="80" w:type="dxa"/>
              <w:bottom w:w="80" w:type="dxa"/>
              <w:right w:w="80" w:type="dxa"/>
            </w:tcMar>
            <w:vAlign w:val="bottom"/>
          </w:tcPr>
          <w:p w:rsidR="001970AC" w:rsidRDefault="001970AC">
            <w:pPr>
              <w:pStyle w:val="Body"/>
              <w:pBdr>
                <w:top w:val="none" w:sz="0" w:space="0" w:color="auto"/>
                <w:left w:val="none" w:sz="0" w:space="0" w:color="auto"/>
                <w:bottom w:val="none" w:sz="0" w:space="0" w:color="auto"/>
                <w:right w:val="none" w:sz="0" w:space="0" w:color="auto"/>
              </w:pBdr>
              <w:spacing w:after="0" w:line="240" w:lineRule="auto"/>
              <w:jc w:val="left"/>
              <w:rPr>
                <w:rFonts w:ascii="Arial Unicode MS" w:hAnsi="Arial Unicode MS" w:cs="Arial Unicode MS"/>
                <w:sz w:val="20"/>
                <w:szCs w:val="20"/>
              </w:rPr>
            </w:pPr>
            <w:r>
              <w:rPr>
                <w:rStyle w:val="PageNumber"/>
                <w:rFonts w:ascii="Cambria" w:hAnsi="Cambria" w:cs="Cambria"/>
                <w:sz w:val="20"/>
                <w:szCs w:val="20"/>
              </w:rPr>
              <w:t>Hemoglobin &lt; 11 g/dL</w:t>
            </w:r>
          </w:p>
        </w:tc>
        <w:tc>
          <w:tcPr>
            <w:tcW w:w="1300" w:type="dxa"/>
            <w:tcMar>
              <w:top w:w="80" w:type="dxa"/>
              <w:left w:w="80" w:type="dxa"/>
              <w:bottom w:w="80" w:type="dxa"/>
              <w:right w:w="80" w:type="dxa"/>
            </w:tcMar>
            <w:vAlign w:val="bottom"/>
          </w:tcPr>
          <w:p w:rsidR="001970AC" w:rsidRDefault="001970AC">
            <w:pPr>
              <w:pStyle w:val="Body"/>
              <w:pBdr>
                <w:top w:val="none" w:sz="0" w:space="0" w:color="auto"/>
                <w:left w:val="none" w:sz="0" w:space="0" w:color="auto"/>
                <w:bottom w:val="none" w:sz="0" w:space="0" w:color="auto"/>
                <w:right w:val="none" w:sz="0" w:space="0" w:color="auto"/>
              </w:pBdr>
              <w:spacing w:after="0" w:line="240" w:lineRule="auto"/>
              <w:jc w:val="center"/>
              <w:rPr>
                <w:rFonts w:ascii="Arial Unicode MS" w:hAnsi="Arial Unicode MS" w:cs="Arial Unicode MS"/>
                <w:sz w:val="20"/>
                <w:szCs w:val="20"/>
              </w:rPr>
            </w:pPr>
            <w:r>
              <w:rPr>
                <w:rStyle w:val="PageNumber"/>
                <w:rFonts w:ascii="Cambria" w:hAnsi="Cambria" w:cs="Cambria"/>
                <w:sz w:val="20"/>
                <w:szCs w:val="20"/>
              </w:rPr>
              <w:t>1.43</w:t>
            </w:r>
          </w:p>
        </w:tc>
        <w:tc>
          <w:tcPr>
            <w:tcW w:w="1300" w:type="dxa"/>
            <w:tcMar>
              <w:top w:w="80" w:type="dxa"/>
              <w:left w:w="80" w:type="dxa"/>
              <w:bottom w:w="80" w:type="dxa"/>
              <w:right w:w="80" w:type="dxa"/>
            </w:tcMar>
            <w:vAlign w:val="bottom"/>
          </w:tcPr>
          <w:p w:rsidR="001970AC" w:rsidRDefault="001970AC">
            <w:pPr>
              <w:pStyle w:val="Body"/>
              <w:pBdr>
                <w:top w:val="none" w:sz="0" w:space="0" w:color="auto"/>
                <w:left w:val="none" w:sz="0" w:space="0" w:color="auto"/>
                <w:bottom w:val="none" w:sz="0" w:space="0" w:color="auto"/>
                <w:right w:val="none" w:sz="0" w:space="0" w:color="auto"/>
              </w:pBdr>
              <w:spacing w:after="0" w:line="240" w:lineRule="auto"/>
              <w:jc w:val="center"/>
              <w:rPr>
                <w:rFonts w:ascii="Arial Unicode MS" w:hAnsi="Arial Unicode MS" w:cs="Arial Unicode MS"/>
                <w:sz w:val="20"/>
                <w:szCs w:val="20"/>
              </w:rPr>
            </w:pPr>
            <w:r>
              <w:rPr>
                <w:rStyle w:val="PageNumber"/>
                <w:rFonts w:ascii="Cambria" w:hAnsi="Cambria" w:cs="Cambria"/>
                <w:sz w:val="20"/>
                <w:szCs w:val="20"/>
              </w:rPr>
              <w:t>1.17</w:t>
            </w:r>
          </w:p>
        </w:tc>
        <w:tc>
          <w:tcPr>
            <w:tcW w:w="1300" w:type="dxa"/>
            <w:tcMar>
              <w:top w:w="80" w:type="dxa"/>
              <w:left w:w="80" w:type="dxa"/>
              <w:bottom w:w="80" w:type="dxa"/>
              <w:right w:w="80" w:type="dxa"/>
            </w:tcMar>
            <w:vAlign w:val="bottom"/>
          </w:tcPr>
          <w:p w:rsidR="001970AC" w:rsidRDefault="001970AC">
            <w:pPr>
              <w:pStyle w:val="Body"/>
              <w:pBdr>
                <w:top w:val="none" w:sz="0" w:space="0" w:color="auto"/>
                <w:left w:val="none" w:sz="0" w:space="0" w:color="auto"/>
                <w:bottom w:val="none" w:sz="0" w:space="0" w:color="auto"/>
                <w:right w:val="none" w:sz="0" w:space="0" w:color="auto"/>
              </w:pBdr>
              <w:spacing w:after="0" w:line="240" w:lineRule="auto"/>
              <w:jc w:val="center"/>
              <w:rPr>
                <w:rFonts w:ascii="Arial Unicode MS" w:hAnsi="Arial Unicode MS" w:cs="Arial Unicode MS"/>
                <w:sz w:val="20"/>
                <w:szCs w:val="20"/>
              </w:rPr>
            </w:pPr>
            <w:r>
              <w:rPr>
                <w:rStyle w:val="PageNumber"/>
                <w:rFonts w:ascii="Cambria" w:hAnsi="Cambria" w:cs="Cambria"/>
                <w:sz w:val="20"/>
                <w:szCs w:val="20"/>
              </w:rPr>
              <w:t>1.76</w:t>
            </w:r>
          </w:p>
        </w:tc>
        <w:tc>
          <w:tcPr>
            <w:tcW w:w="1300" w:type="dxa"/>
            <w:tcMar>
              <w:top w:w="80" w:type="dxa"/>
              <w:left w:w="80" w:type="dxa"/>
              <w:bottom w:w="80" w:type="dxa"/>
              <w:right w:w="80" w:type="dxa"/>
            </w:tcMar>
            <w:vAlign w:val="bottom"/>
          </w:tcPr>
          <w:p w:rsidR="001970AC" w:rsidRDefault="001970AC">
            <w:pPr>
              <w:pStyle w:val="Body"/>
              <w:pBdr>
                <w:top w:val="none" w:sz="0" w:space="0" w:color="auto"/>
                <w:left w:val="none" w:sz="0" w:space="0" w:color="auto"/>
                <w:bottom w:val="none" w:sz="0" w:space="0" w:color="auto"/>
                <w:right w:val="none" w:sz="0" w:space="0" w:color="auto"/>
              </w:pBdr>
              <w:spacing w:after="0" w:line="240" w:lineRule="auto"/>
              <w:jc w:val="center"/>
              <w:rPr>
                <w:rFonts w:ascii="Arial Unicode MS" w:hAnsi="Arial Unicode MS" w:cs="Arial Unicode MS"/>
                <w:sz w:val="20"/>
                <w:szCs w:val="20"/>
              </w:rPr>
            </w:pPr>
            <w:r>
              <w:rPr>
                <w:rStyle w:val="PageNumber"/>
                <w:rFonts w:ascii="Cambria" w:hAnsi="Cambria" w:cs="Cambria"/>
                <w:sz w:val="20"/>
                <w:szCs w:val="20"/>
              </w:rPr>
              <w:t>&lt; 0.001</w:t>
            </w:r>
          </w:p>
        </w:tc>
      </w:tr>
      <w:tr w:rsidR="001970AC">
        <w:trPr>
          <w:trHeight w:val="260"/>
        </w:trPr>
        <w:tc>
          <w:tcPr>
            <w:tcW w:w="3402" w:type="dxa"/>
            <w:tcMar>
              <w:top w:w="80" w:type="dxa"/>
              <w:left w:w="80" w:type="dxa"/>
              <w:bottom w:w="80" w:type="dxa"/>
              <w:right w:w="80" w:type="dxa"/>
            </w:tcMar>
            <w:vAlign w:val="bottom"/>
          </w:tcPr>
          <w:p w:rsidR="001970AC" w:rsidRDefault="001970AC">
            <w:pPr>
              <w:pStyle w:val="Body"/>
              <w:pBdr>
                <w:top w:val="none" w:sz="0" w:space="0" w:color="auto"/>
                <w:left w:val="none" w:sz="0" w:space="0" w:color="auto"/>
                <w:bottom w:val="none" w:sz="0" w:space="0" w:color="auto"/>
                <w:right w:val="none" w:sz="0" w:space="0" w:color="auto"/>
              </w:pBdr>
              <w:spacing w:after="0" w:line="240" w:lineRule="auto"/>
              <w:jc w:val="left"/>
              <w:rPr>
                <w:rFonts w:ascii="Arial Unicode MS" w:hAnsi="Arial Unicode MS" w:cs="Arial Unicode MS"/>
                <w:sz w:val="20"/>
                <w:szCs w:val="20"/>
              </w:rPr>
            </w:pPr>
            <w:r>
              <w:rPr>
                <w:rStyle w:val="PageNumber"/>
                <w:rFonts w:ascii="Cambria" w:hAnsi="Cambria" w:cs="Cambria"/>
                <w:sz w:val="20"/>
                <w:szCs w:val="20"/>
              </w:rPr>
              <w:t>Admission SBP (per 1 mm Hg)</w:t>
            </w:r>
          </w:p>
        </w:tc>
        <w:tc>
          <w:tcPr>
            <w:tcW w:w="1300" w:type="dxa"/>
            <w:tcMar>
              <w:top w:w="80" w:type="dxa"/>
              <w:left w:w="80" w:type="dxa"/>
              <w:bottom w:w="80" w:type="dxa"/>
              <w:right w:w="80" w:type="dxa"/>
            </w:tcMar>
            <w:vAlign w:val="bottom"/>
          </w:tcPr>
          <w:p w:rsidR="001970AC" w:rsidRDefault="001970AC">
            <w:pPr>
              <w:pStyle w:val="Body"/>
              <w:pBdr>
                <w:top w:val="none" w:sz="0" w:space="0" w:color="auto"/>
                <w:left w:val="none" w:sz="0" w:space="0" w:color="auto"/>
                <w:bottom w:val="none" w:sz="0" w:space="0" w:color="auto"/>
                <w:right w:val="none" w:sz="0" w:space="0" w:color="auto"/>
              </w:pBdr>
              <w:spacing w:after="0" w:line="240" w:lineRule="auto"/>
              <w:jc w:val="center"/>
              <w:rPr>
                <w:rFonts w:ascii="Arial Unicode MS" w:hAnsi="Arial Unicode MS" w:cs="Arial Unicode MS"/>
                <w:sz w:val="20"/>
                <w:szCs w:val="20"/>
              </w:rPr>
            </w:pPr>
            <w:r>
              <w:rPr>
                <w:rStyle w:val="PageNumber"/>
                <w:rFonts w:ascii="Cambria" w:hAnsi="Cambria" w:cs="Cambria"/>
                <w:sz w:val="20"/>
                <w:szCs w:val="20"/>
              </w:rPr>
              <w:t>0.95</w:t>
            </w:r>
          </w:p>
        </w:tc>
        <w:tc>
          <w:tcPr>
            <w:tcW w:w="1300" w:type="dxa"/>
            <w:tcMar>
              <w:top w:w="80" w:type="dxa"/>
              <w:left w:w="80" w:type="dxa"/>
              <w:bottom w:w="80" w:type="dxa"/>
              <w:right w:w="80" w:type="dxa"/>
            </w:tcMar>
            <w:vAlign w:val="bottom"/>
          </w:tcPr>
          <w:p w:rsidR="001970AC" w:rsidRDefault="001970AC">
            <w:pPr>
              <w:pStyle w:val="Body"/>
              <w:pBdr>
                <w:top w:val="none" w:sz="0" w:space="0" w:color="auto"/>
                <w:left w:val="none" w:sz="0" w:space="0" w:color="auto"/>
                <w:bottom w:val="none" w:sz="0" w:space="0" w:color="auto"/>
                <w:right w:val="none" w:sz="0" w:space="0" w:color="auto"/>
              </w:pBdr>
              <w:spacing w:after="0" w:line="240" w:lineRule="auto"/>
              <w:jc w:val="center"/>
              <w:rPr>
                <w:rFonts w:ascii="Arial Unicode MS" w:hAnsi="Arial Unicode MS" w:cs="Arial Unicode MS"/>
                <w:sz w:val="20"/>
                <w:szCs w:val="20"/>
              </w:rPr>
            </w:pPr>
            <w:r>
              <w:rPr>
                <w:rStyle w:val="PageNumber"/>
                <w:rFonts w:ascii="Cambria" w:hAnsi="Cambria" w:cs="Cambria"/>
                <w:sz w:val="20"/>
                <w:szCs w:val="20"/>
              </w:rPr>
              <w:t>0.94</w:t>
            </w:r>
          </w:p>
        </w:tc>
        <w:tc>
          <w:tcPr>
            <w:tcW w:w="1300" w:type="dxa"/>
            <w:tcMar>
              <w:top w:w="80" w:type="dxa"/>
              <w:left w:w="80" w:type="dxa"/>
              <w:bottom w:w="80" w:type="dxa"/>
              <w:right w:w="80" w:type="dxa"/>
            </w:tcMar>
            <w:vAlign w:val="bottom"/>
          </w:tcPr>
          <w:p w:rsidR="001970AC" w:rsidRDefault="001970AC">
            <w:pPr>
              <w:pStyle w:val="Body"/>
              <w:pBdr>
                <w:top w:val="none" w:sz="0" w:space="0" w:color="auto"/>
                <w:left w:val="none" w:sz="0" w:space="0" w:color="auto"/>
                <w:bottom w:val="none" w:sz="0" w:space="0" w:color="auto"/>
                <w:right w:val="none" w:sz="0" w:space="0" w:color="auto"/>
              </w:pBdr>
              <w:spacing w:after="0" w:line="240" w:lineRule="auto"/>
              <w:jc w:val="center"/>
              <w:rPr>
                <w:rFonts w:ascii="Arial Unicode MS" w:hAnsi="Arial Unicode MS" w:cs="Arial Unicode MS"/>
                <w:sz w:val="20"/>
                <w:szCs w:val="20"/>
              </w:rPr>
            </w:pPr>
            <w:r>
              <w:rPr>
                <w:rStyle w:val="PageNumber"/>
                <w:rFonts w:ascii="Cambria" w:hAnsi="Cambria" w:cs="Cambria"/>
                <w:sz w:val="20"/>
                <w:szCs w:val="20"/>
              </w:rPr>
              <w:t>0.95</w:t>
            </w:r>
          </w:p>
        </w:tc>
        <w:tc>
          <w:tcPr>
            <w:tcW w:w="1300" w:type="dxa"/>
            <w:tcMar>
              <w:top w:w="80" w:type="dxa"/>
              <w:left w:w="80" w:type="dxa"/>
              <w:bottom w:w="80" w:type="dxa"/>
              <w:right w:w="80" w:type="dxa"/>
            </w:tcMar>
            <w:vAlign w:val="bottom"/>
          </w:tcPr>
          <w:p w:rsidR="001970AC" w:rsidRDefault="001970AC">
            <w:pPr>
              <w:pStyle w:val="Body"/>
              <w:pBdr>
                <w:top w:val="none" w:sz="0" w:space="0" w:color="auto"/>
                <w:left w:val="none" w:sz="0" w:space="0" w:color="auto"/>
                <w:bottom w:val="none" w:sz="0" w:space="0" w:color="auto"/>
                <w:right w:val="none" w:sz="0" w:space="0" w:color="auto"/>
              </w:pBdr>
              <w:spacing w:after="0" w:line="240" w:lineRule="auto"/>
              <w:jc w:val="center"/>
              <w:rPr>
                <w:rFonts w:ascii="Arial Unicode MS" w:hAnsi="Arial Unicode MS" w:cs="Arial Unicode MS"/>
                <w:sz w:val="20"/>
                <w:szCs w:val="20"/>
              </w:rPr>
            </w:pPr>
            <w:r>
              <w:rPr>
                <w:rStyle w:val="PageNumber"/>
                <w:rFonts w:ascii="Cambria" w:hAnsi="Cambria" w:cs="Cambria"/>
                <w:sz w:val="20"/>
                <w:szCs w:val="20"/>
              </w:rPr>
              <w:t>&lt; 0.001</w:t>
            </w:r>
          </w:p>
        </w:tc>
      </w:tr>
      <w:tr w:rsidR="001970AC">
        <w:trPr>
          <w:trHeight w:val="260"/>
        </w:trPr>
        <w:tc>
          <w:tcPr>
            <w:tcW w:w="3402" w:type="dxa"/>
            <w:tcMar>
              <w:top w:w="80" w:type="dxa"/>
              <w:left w:w="80" w:type="dxa"/>
              <w:bottom w:w="80" w:type="dxa"/>
              <w:right w:w="80" w:type="dxa"/>
            </w:tcMar>
            <w:vAlign w:val="bottom"/>
          </w:tcPr>
          <w:p w:rsidR="001970AC" w:rsidRDefault="001970AC">
            <w:pPr>
              <w:pStyle w:val="Body"/>
              <w:pBdr>
                <w:top w:val="none" w:sz="0" w:space="0" w:color="auto"/>
                <w:left w:val="none" w:sz="0" w:space="0" w:color="auto"/>
                <w:bottom w:val="none" w:sz="0" w:space="0" w:color="auto"/>
                <w:right w:val="none" w:sz="0" w:space="0" w:color="auto"/>
              </w:pBdr>
              <w:spacing w:after="0" w:line="240" w:lineRule="auto"/>
              <w:jc w:val="left"/>
              <w:rPr>
                <w:rFonts w:ascii="Arial Unicode MS" w:hAnsi="Arial Unicode MS" w:cs="Arial Unicode MS"/>
                <w:sz w:val="20"/>
                <w:szCs w:val="20"/>
              </w:rPr>
            </w:pPr>
            <w:r>
              <w:rPr>
                <w:rStyle w:val="PageNumber"/>
                <w:rFonts w:ascii="Cambria" w:hAnsi="Cambria" w:cs="Cambria"/>
                <w:sz w:val="20"/>
                <w:szCs w:val="20"/>
              </w:rPr>
              <w:t>Heart rate (per 5 bpm increment)</w:t>
            </w:r>
          </w:p>
        </w:tc>
        <w:tc>
          <w:tcPr>
            <w:tcW w:w="1300" w:type="dxa"/>
            <w:tcMar>
              <w:top w:w="80" w:type="dxa"/>
              <w:left w:w="80" w:type="dxa"/>
              <w:bottom w:w="80" w:type="dxa"/>
              <w:right w:w="80" w:type="dxa"/>
            </w:tcMar>
            <w:vAlign w:val="bottom"/>
          </w:tcPr>
          <w:p w:rsidR="001970AC" w:rsidRDefault="001970AC">
            <w:pPr>
              <w:pStyle w:val="Body"/>
              <w:pBdr>
                <w:top w:val="none" w:sz="0" w:space="0" w:color="auto"/>
                <w:left w:val="none" w:sz="0" w:space="0" w:color="auto"/>
                <w:bottom w:val="none" w:sz="0" w:space="0" w:color="auto"/>
                <w:right w:val="none" w:sz="0" w:space="0" w:color="auto"/>
              </w:pBdr>
              <w:spacing w:after="0" w:line="240" w:lineRule="auto"/>
              <w:jc w:val="center"/>
              <w:rPr>
                <w:rFonts w:ascii="Arial Unicode MS" w:hAnsi="Arial Unicode MS" w:cs="Arial Unicode MS"/>
                <w:sz w:val="20"/>
                <w:szCs w:val="20"/>
              </w:rPr>
            </w:pPr>
            <w:r>
              <w:rPr>
                <w:rStyle w:val="PageNumber"/>
                <w:rFonts w:ascii="Cambria" w:hAnsi="Cambria" w:cs="Cambria"/>
                <w:sz w:val="20"/>
                <w:szCs w:val="20"/>
              </w:rPr>
              <w:t>0.95</w:t>
            </w:r>
          </w:p>
        </w:tc>
        <w:tc>
          <w:tcPr>
            <w:tcW w:w="1300" w:type="dxa"/>
            <w:tcMar>
              <w:top w:w="80" w:type="dxa"/>
              <w:left w:w="80" w:type="dxa"/>
              <w:bottom w:w="80" w:type="dxa"/>
              <w:right w:w="80" w:type="dxa"/>
            </w:tcMar>
            <w:vAlign w:val="bottom"/>
          </w:tcPr>
          <w:p w:rsidR="001970AC" w:rsidRDefault="001970AC">
            <w:pPr>
              <w:pStyle w:val="Body"/>
              <w:pBdr>
                <w:top w:val="none" w:sz="0" w:space="0" w:color="auto"/>
                <w:left w:val="none" w:sz="0" w:space="0" w:color="auto"/>
                <w:bottom w:val="none" w:sz="0" w:space="0" w:color="auto"/>
                <w:right w:val="none" w:sz="0" w:space="0" w:color="auto"/>
              </w:pBdr>
              <w:spacing w:after="0" w:line="240" w:lineRule="auto"/>
              <w:jc w:val="center"/>
              <w:rPr>
                <w:rFonts w:ascii="Arial Unicode MS" w:hAnsi="Arial Unicode MS" w:cs="Arial Unicode MS"/>
                <w:sz w:val="20"/>
                <w:szCs w:val="20"/>
              </w:rPr>
            </w:pPr>
            <w:r>
              <w:rPr>
                <w:rStyle w:val="PageNumber"/>
                <w:rFonts w:ascii="Cambria" w:hAnsi="Cambria" w:cs="Cambria"/>
                <w:sz w:val="20"/>
                <w:szCs w:val="20"/>
              </w:rPr>
              <w:t>0.90</w:t>
            </w:r>
          </w:p>
        </w:tc>
        <w:tc>
          <w:tcPr>
            <w:tcW w:w="1300" w:type="dxa"/>
            <w:tcMar>
              <w:top w:w="80" w:type="dxa"/>
              <w:left w:w="80" w:type="dxa"/>
              <w:bottom w:w="80" w:type="dxa"/>
              <w:right w:w="80" w:type="dxa"/>
            </w:tcMar>
            <w:vAlign w:val="bottom"/>
          </w:tcPr>
          <w:p w:rsidR="001970AC" w:rsidRDefault="001970AC">
            <w:pPr>
              <w:pStyle w:val="Body"/>
              <w:pBdr>
                <w:top w:val="none" w:sz="0" w:space="0" w:color="auto"/>
                <w:left w:val="none" w:sz="0" w:space="0" w:color="auto"/>
                <w:bottom w:val="none" w:sz="0" w:space="0" w:color="auto"/>
                <w:right w:val="none" w:sz="0" w:space="0" w:color="auto"/>
              </w:pBdr>
              <w:spacing w:after="0" w:line="240" w:lineRule="auto"/>
              <w:jc w:val="center"/>
              <w:rPr>
                <w:rFonts w:ascii="Arial Unicode MS" w:hAnsi="Arial Unicode MS" w:cs="Arial Unicode MS"/>
                <w:sz w:val="20"/>
                <w:szCs w:val="20"/>
              </w:rPr>
            </w:pPr>
            <w:r>
              <w:rPr>
                <w:rStyle w:val="PageNumber"/>
                <w:rFonts w:ascii="Cambria" w:hAnsi="Cambria" w:cs="Cambria"/>
                <w:sz w:val="20"/>
                <w:szCs w:val="20"/>
              </w:rPr>
              <w:t>0.99</w:t>
            </w:r>
          </w:p>
        </w:tc>
        <w:tc>
          <w:tcPr>
            <w:tcW w:w="1300" w:type="dxa"/>
            <w:tcMar>
              <w:top w:w="80" w:type="dxa"/>
              <w:left w:w="80" w:type="dxa"/>
              <w:bottom w:w="80" w:type="dxa"/>
              <w:right w:w="80" w:type="dxa"/>
            </w:tcMar>
            <w:vAlign w:val="bottom"/>
          </w:tcPr>
          <w:p w:rsidR="001970AC" w:rsidRDefault="001970AC">
            <w:pPr>
              <w:pStyle w:val="Body"/>
              <w:pBdr>
                <w:top w:val="none" w:sz="0" w:space="0" w:color="auto"/>
                <w:left w:val="none" w:sz="0" w:space="0" w:color="auto"/>
                <w:bottom w:val="none" w:sz="0" w:space="0" w:color="auto"/>
                <w:right w:val="none" w:sz="0" w:space="0" w:color="auto"/>
              </w:pBdr>
              <w:spacing w:after="0" w:line="240" w:lineRule="auto"/>
              <w:jc w:val="center"/>
              <w:rPr>
                <w:rFonts w:ascii="Arial Unicode MS" w:hAnsi="Arial Unicode MS" w:cs="Arial Unicode MS"/>
                <w:sz w:val="20"/>
                <w:szCs w:val="20"/>
              </w:rPr>
            </w:pPr>
            <w:r>
              <w:rPr>
                <w:rStyle w:val="PageNumber"/>
                <w:rFonts w:ascii="Cambria" w:hAnsi="Cambria" w:cs="Cambria"/>
                <w:sz w:val="20"/>
                <w:szCs w:val="20"/>
              </w:rPr>
              <w:t>0.02</w:t>
            </w:r>
          </w:p>
        </w:tc>
      </w:tr>
      <w:tr w:rsidR="001970AC">
        <w:trPr>
          <w:trHeight w:val="260"/>
        </w:trPr>
        <w:tc>
          <w:tcPr>
            <w:tcW w:w="3402" w:type="dxa"/>
            <w:tcMar>
              <w:top w:w="80" w:type="dxa"/>
              <w:left w:w="80" w:type="dxa"/>
              <w:bottom w:w="80" w:type="dxa"/>
              <w:right w:w="80" w:type="dxa"/>
            </w:tcMar>
            <w:vAlign w:val="bottom"/>
          </w:tcPr>
          <w:p w:rsidR="001970AC" w:rsidRDefault="001970AC">
            <w:pPr>
              <w:pStyle w:val="Body"/>
              <w:pBdr>
                <w:top w:val="none" w:sz="0" w:space="0" w:color="auto"/>
                <w:left w:val="none" w:sz="0" w:space="0" w:color="auto"/>
                <w:bottom w:val="none" w:sz="0" w:space="0" w:color="auto"/>
                <w:right w:val="none" w:sz="0" w:space="0" w:color="auto"/>
              </w:pBdr>
              <w:spacing w:after="0" w:line="240" w:lineRule="auto"/>
              <w:jc w:val="left"/>
              <w:rPr>
                <w:rFonts w:ascii="Arial Unicode MS" w:hAnsi="Arial Unicode MS" w:cs="Arial Unicode MS"/>
                <w:sz w:val="20"/>
                <w:szCs w:val="20"/>
              </w:rPr>
            </w:pPr>
            <w:r>
              <w:rPr>
                <w:rStyle w:val="PageNumber"/>
                <w:rFonts w:ascii="Cambria" w:hAnsi="Cambria" w:cs="Cambria"/>
                <w:sz w:val="20"/>
                <w:szCs w:val="20"/>
              </w:rPr>
              <w:t>HFpSF (vs. HFrSF)</w:t>
            </w:r>
          </w:p>
        </w:tc>
        <w:tc>
          <w:tcPr>
            <w:tcW w:w="1300" w:type="dxa"/>
            <w:tcMar>
              <w:top w:w="80" w:type="dxa"/>
              <w:left w:w="80" w:type="dxa"/>
              <w:bottom w:w="80" w:type="dxa"/>
              <w:right w:w="80" w:type="dxa"/>
            </w:tcMar>
            <w:vAlign w:val="bottom"/>
          </w:tcPr>
          <w:p w:rsidR="001970AC" w:rsidRDefault="001970AC">
            <w:pPr>
              <w:pStyle w:val="Body"/>
              <w:pBdr>
                <w:top w:val="none" w:sz="0" w:space="0" w:color="auto"/>
                <w:left w:val="none" w:sz="0" w:space="0" w:color="auto"/>
                <w:bottom w:val="none" w:sz="0" w:space="0" w:color="auto"/>
                <w:right w:val="none" w:sz="0" w:space="0" w:color="auto"/>
              </w:pBdr>
              <w:spacing w:after="0" w:line="240" w:lineRule="auto"/>
              <w:jc w:val="center"/>
              <w:rPr>
                <w:rFonts w:ascii="Arial Unicode MS" w:hAnsi="Arial Unicode MS" w:cs="Arial Unicode MS"/>
                <w:sz w:val="20"/>
                <w:szCs w:val="20"/>
              </w:rPr>
            </w:pPr>
            <w:r>
              <w:rPr>
                <w:rStyle w:val="PageNumber"/>
                <w:rFonts w:ascii="Cambria" w:hAnsi="Cambria" w:cs="Cambria"/>
                <w:sz w:val="20"/>
                <w:szCs w:val="20"/>
              </w:rPr>
              <w:t>1.29</w:t>
            </w:r>
          </w:p>
        </w:tc>
        <w:tc>
          <w:tcPr>
            <w:tcW w:w="1300" w:type="dxa"/>
            <w:tcMar>
              <w:top w:w="80" w:type="dxa"/>
              <w:left w:w="80" w:type="dxa"/>
              <w:bottom w:w="80" w:type="dxa"/>
              <w:right w:w="80" w:type="dxa"/>
            </w:tcMar>
            <w:vAlign w:val="bottom"/>
          </w:tcPr>
          <w:p w:rsidR="001970AC" w:rsidRDefault="001970AC">
            <w:pPr>
              <w:pStyle w:val="Body"/>
              <w:pBdr>
                <w:top w:val="none" w:sz="0" w:space="0" w:color="auto"/>
                <w:left w:val="none" w:sz="0" w:space="0" w:color="auto"/>
                <w:bottom w:val="none" w:sz="0" w:space="0" w:color="auto"/>
                <w:right w:val="none" w:sz="0" w:space="0" w:color="auto"/>
              </w:pBdr>
              <w:spacing w:after="0" w:line="240" w:lineRule="auto"/>
              <w:jc w:val="center"/>
              <w:rPr>
                <w:rFonts w:ascii="Arial Unicode MS" w:hAnsi="Arial Unicode MS" w:cs="Arial Unicode MS"/>
                <w:sz w:val="20"/>
                <w:szCs w:val="20"/>
              </w:rPr>
            </w:pPr>
            <w:r>
              <w:rPr>
                <w:rStyle w:val="PageNumber"/>
                <w:rFonts w:ascii="Cambria" w:hAnsi="Cambria" w:cs="Cambria"/>
                <w:sz w:val="20"/>
                <w:szCs w:val="20"/>
              </w:rPr>
              <w:t>1.02</w:t>
            </w:r>
          </w:p>
        </w:tc>
        <w:tc>
          <w:tcPr>
            <w:tcW w:w="1300" w:type="dxa"/>
            <w:tcMar>
              <w:top w:w="80" w:type="dxa"/>
              <w:left w:w="80" w:type="dxa"/>
              <w:bottom w:w="80" w:type="dxa"/>
              <w:right w:w="80" w:type="dxa"/>
            </w:tcMar>
            <w:vAlign w:val="bottom"/>
          </w:tcPr>
          <w:p w:rsidR="001970AC" w:rsidRDefault="001970AC">
            <w:pPr>
              <w:pStyle w:val="Body"/>
              <w:pBdr>
                <w:top w:val="none" w:sz="0" w:space="0" w:color="auto"/>
                <w:left w:val="none" w:sz="0" w:space="0" w:color="auto"/>
                <w:bottom w:val="none" w:sz="0" w:space="0" w:color="auto"/>
                <w:right w:val="none" w:sz="0" w:space="0" w:color="auto"/>
              </w:pBdr>
              <w:spacing w:after="0" w:line="240" w:lineRule="auto"/>
              <w:jc w:val="center"/>
              <w:rPr>
                <w:rFonts w:ascii="Arial Unicode MS" w:hAnsi="Arial Unicode MS" w:cs="Arial Unicode MS"/>
                <w:sz w:val="20"/>
                <w:szCs w:val="20"/>
              </w:rPr>
            </w:pPr>
            <w:r>
              <w:rPr>
                <w:rStyle w:val="PageNumber"/>
                <w:rFonts w:ascii="Cambria" w:hAnsi="Cambria" w:cs="Cambria"/>
                <w:sz w:val="20"/>
                <w:szCs w:val="20"/>
              </w:rPr>
              <w:t>1.64</w:t>
            </w:r>
          </w:p>
        </w:tc>
        <w:tc>
          <w:tcPr>
            <w:tcW w:w="1300" w:type="dxa"/>
            <w:tcMar>
              <w:top w:w="80" w:type="dxa"/>
              <w:left w:w="80" w:type="dxa"/>
              <w:bottom w:w="80" w:type="dxa"/>
              <w:right w:w="80" w:type="dxa"/>
            </w:tcMar>
            <w:vAlign w:val="bottom"/>
          </w:tcPr>
          <w:p w:rsidR="001970AC" w:rsidRDefault="001970AC">
            <w:pPr>
              <w:pStyle w:val="Body"/>
              <w:pBdr>
                <w:top w:val="none" w:sz="0" w:space="0" w:color="auto"/>
                <w:left w:val="none" w:sz="0" w:space="0" w:color="auto"/>
                <w:bottom w:val="none" w:sz="0" w:space="0" w:color="auto"/>
                <w:right w:val="none" w:sz="0" w:space="0" w:color="auto"/>
              </w:pBdr>
              <w:spacing w:after="0" w:line="240" w:lineRule="auto"/>
              <w:jc w:val="center"/>
              <w:rPr>
                <w:rFonts w:ascii="Arial Unicode MS" w:hAnsi="Arial Unicode MS" w:cs="Arial Unicode MS"/>
                <w:sz w:val="20"/>
                <w:szCs w:val="20"/>
              </w:rPr>
            </w:pPr>
            <w:r>
              <w:rPr>
                <w:rStyle w:val="PageNumber"/>
                <w:rFonts w:ascii="Cambria" w:hAnsi="Cambria" w:cs="Cambria"/>
                <w:sz w:val="20"/>
                <w:szCs w:val="20"/>
              </w:rPr>
              <w:t>0.03</w:t>
            </w:r>
          </w:p>
        </w:tc>
      </w:tr>
    </w:tbl>
    <w:p w:rsidR="001970AC" w:rsidRDefault="001970AC">
      <w:pPr>
        <w:pStyle w:val="Body"/>
        <w:widowControl w:val="0"/>
        <w:pBdr>
          <w:top w:val="none" w:sz="0" w:space="0" w:color="auto"/>
          <w:left w:val="none" w:sz="0" w:space="0" w:color="auto"/>
          <w:bottom w:val="none" w:sz="0" w:space="0" w:color="auto"/>
          <w:right w:val="none" w:sz="0" w:space="0" w:color="auto"/>
        </w:pBdr>
        <w:spacing w:line="240" w:lineRule="auto"/>
        <w:ind w:left="16" w:hanging="16"/>
        <w:jc w:val="left"/>
        <w:rPr>
          <w:rFonts w:ascii="Times New Roman" w:hAnsi="Times New Roman" w:cs="Times New Roman"/>
        </w:rPr>
      </w:pPr>
    </w:p>
    <w:p w:rsidR="001970AC" w:rsidRDefault="001970AC">
      <w:pPr>
        <w:pStyle w:val="Body"/>
        <w:pBdr>
          <w:top w:val="none" w:sz="0" w:space="0" w:color="auto"/>
          <w:left w:val="none" w:sz="0" w:space="0" w:color="auto"/>
          <w:bottom w:val="none" w:sz="0" w:space="0" w:color="auto"/>
          <w:right w:val="none" w:sz="0" w:space="0" w:color="auto"/>
        </w:pBdr>
        <w:ind w:left="1080"/>
        <w:jc w:val="left"/>
        <w:rPr>
          <w:rFonts w:ascii="Times New Roman" w:hAnsi="Times New Roman" w:cs="Times New Roman"/>
        </w:rPr>
      </w:pPr>
    </w:p>
    <w:p w:rsidR="001970AC" w:rsidRDefault="001970AC">
      <w:pPr>
        <w:pStyle w:val="Body"/>
        <w:pBdr>
          <w:top w:val="none" w:sz="0" w:space="0" w:color="auto"/>
          <w:left w:val="none" w:sz="0" w:space="0" w:color="auto"/>
          <w:bottom w:val="none" w:sz="0" w:space="0" w:color="auto"/>
          <w:right w:val="none" w:sz="0" w:space="0" w:color="auto"/>
        </w:pBdr>
        <w:spacing w:line="480" w:lineRule="auto"/>
        <w:jc w:val="left"/>
        <w:rPr>
          <w:rFonts w:ascii="Times New Roman" w:hAnsi="Times New Roman" w:cs="Times New Roman"/>
        </w:rPr>
      </w:pPr>
      <w:r>
        <w:rPr>
          <w:rFonts w:ascii="Arial Unicode MS" w:hAnsi="Arial Unicode MS" w:cs="Arial Unicode MS"/>
          <w:lang w:val="he-IL"/>
        </w:rPr>
        <w:t xml:space="preserve">* </w:t>
      </w:r>
      <w:r>
        <w:rPr>
          <w:rFonts w:ascii="Times New Roman" w:hAnsi="Times New Roman" w:cs="Times New Roman"/>
        </w:rPr>
        <w:t xml:space="preserve">Model further adjusted for age and gender (both p=NS)  </w:t>
      </w:r>
    </w:p>
    <w:p w:rsidR="001970AC" w:rsidRDefault="001970AC">
      <w:pPr>
        <w:jc w:val="left"/>
      </w:pPr>
      <w:r>
        <w:t>OR, odds ratio; CI, confidence interval; HFpSF, heart failure with preserved systolic function; HFrSF, heart failure with reduced systolic function.</w:t>
      </w:r>
    </w:p>
    <w:p w:rsidR="001970AC" w:rsidRDefault="001970AC">
      <w:pPr>
        <w:jc w:val="left"/>
        <w:rPr>
          <w:rFonts w:ascii="Times New Roman" w:hAnsi="Times New Roman" w:cs="Times New Roman"/>
          <w:sz w:val="24"/>
          <w:szCs w:val="24"/>
        </w:rPr>
      </w:pPr>
    </w:p>
    <w:p w:rsidR="001970AC" w:rsidRDefault="001970AC">
      <w:pPr>
        <w:jc w:val="left"/>
        <w:rPr>
          <w:rFonts w:ascii="Arial" w:hAnsi="Arial" w:cs="Arial"/>
        </w:rPr>
      </w:pPr>
    </w:p>
    <w:p w:rsidR="001970AC" w:rsidRDefault="001970AC">
      <w:pPr>
        <w:jc w:val="left"/>
        <w:rPr>
          <w:rFonts w:ascii="Arial" w:hAnsi="Arial" w:cs="Arial"/>
        </w:rPr>
      </w:pPr>
    </w:p>
    <w:p w:rsidR="001970AC" w:rsidRDefault="001970AC">
      <w:pPr>
        <w:jc w:val="left"/>
        <w:rPr>
          <w:rFonts w:ascii="Arial" w:hAnsi="Arial" w:cs="Arial"/>
        </w:rPr>
      </w:pPr>
    </w:p>
    <w:p w:rsidR="001970AC" w:rsidRDefault="001970AC">
      <w:pPr>
        <w:jc w:val="left"/>
        <w:rPr>
          <w:rFonts w:ascii="Times New Roman" w:hAnsi="Times New Roman" w:cs="Times New Roman"/>
          <w:b/>
          <w:bCs/>
          <w:sz w:val="28"/>
          <w:szCs w:val="28"/>
        </w:rPr>
      </w:pPr>
      <w:r>
        <w:rPr>
          <w:rFonts w:ascii="Times New Roman" w:hAnsi="Times New Roman" w:cs="Times New Roman"/>
          <w:b/>
          <w:bCs/>
          <w:sz w:val="28"/>
          <w:szCs w:val="28"/>
        </w:rPr>
        <w:t>Table 3. Analysis by Heart Failure with reduced ejection fraction (HFrEF ≤40%)  and Heart Failure with preserved ejection fraction (HFpEF &gt;40%) for the entire cohort</w:t>
      </w:r>
    </w:p>
    <w:tbl>
      <w:tblPr>
        <w:tblpPr w:leftFromText="180" w:rightFromText="180" w:vertAnchor="page" w:horzAnchor="margin" w:tblpY="36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30"/>
        <w:gridCol w:w="339"/>
        <w:gridCol w:w="1842"/>
        <w:gridCol w:w="1843"/>
        <w:gridCol w:w="1468"/>
      </w:tblGrid>
      <w:tr w:rsidR="001970AC">
        <w:tc>
          <w:tcPr>
            <w:tcW w:w="3369" w:type="dxa"/>
            <w:gridSpan w:val="2"/>
            <w:vAlign w:val="center"/>
          </w:tcPr>
          <w:p w:rsidR="001970AC" w:rsidRDefault="001970AC">
            <w:pPr>
              <w:spacing w:after="0" w:line="240" w:lineRule="auto"/>
              <w:jc w:val="center"/>
              <w:rPr>
                <w:rFonts w:ascii="Times New Roman" w:hAnsi="Times New Roman" w:cs="Times New Roman"/>
              </w:rPr>
            </w:pPr>
          </w:p>
        </w:tc>
        <w:tc>
          <w:tcPr>
            <w:tcW w:w="1842" w:type="dxa"/>
            <w:vAlign w:val="center"/>
          </w:tcPr>
          <w:p w:rsidR="001970AC" w:rsidRDefault="001970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HFrSF ≤40%</w:t>
            </w:r>
          </w:p>
        </w:tc>
        <w:tc>
          <w:tcPr>
            <w:tcW w:w="1843" w:type="dxa"/>
            <w:vAlign w:val="center"/>
          </w:tcPr>
          <w:p w:rsidR="001970AC" w:rsidRDefault="001970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HFpSF &gt;40%</w:t>
            </w:r>
          </w:p>
        </w:tc>
        <w:tc>
          <w:tcPr>
            <w:tcW w:w="1468" w:type="dxa"/>
            <w:vAlign w:val="center"/>
          </w:tcPr>
          <w:p w:rsidR="001970AC" w:rsidRDefault="001970AC">
            <w:pPr>
              <w:spacing w:after="0" w:line="240" w:lineRule="auto"/>
              <w:jc w:val="center"/>
              <w:rPr>
                <w:rFonts w:ascii="Times New Roman" w:hAnsi="Times New Roman" w:cs="Times New Roman"/>
                <w:b/>
                <w:bCs/>
                <w:sz w:val="24"/>
                <w:szCs w:val="24"/>
              </w:rPr>
            </w:pPr>
            <w:r>
              <w:rPr>
                <w:rFonts w:ascii="Times New Roman" w:hAnsi="Times New Roman" w:cs="Times New Roman"/>
                <w:b/>
                <w:bCs/>
                <w:i/>
                <w:iCs/>
                <w:sz w:val="24"/>
                <w:szCs w:val="24"/>
              </w:rPr>
              <w:t>P</w:t>
            </w:r>
            <w:r>
              <w:rPr>
                <w:rFonts w:ascii="Times New Roman" w:hAnsi="Times New Roman" w:cs="Times New Roman"/>
                <w:b/>
                <w:bCs/>
                <w:sz w:val="24"/>
                <w:szCs w:val="24"/>
              </w:rPr>
              <w:t>-value</w:t>
            </w:r>
          </w:p>
        </w:tc>
      </w:tr>
      <w:tr w:rsidR="001970AC">
        <w:tc>
          <w:tcPr>
            <w:tcW w:w="3369" w:type="dxa"/>
            <w:gridSpan w:val="2"/>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Age, years</w:t>
            </w:r>
          </w:p>
        </w:tc>
        <w:tc>
          <w:tcPr>
            <w:tcW w:w="1842"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71 ± 12</w:t>
            </w:r>
          </w:p>
        </w:tc>
        <w:tc>
          <w:tcPr>
            <w:tcW w:w="1843"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72 ± 12</w:t>
            </w:r>
          </w:p>
        </w:tc>
        <w:tc>
          <w:tcPr>
            <w:tcW w:w="1468"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0.06</w:t>
            </w:r>
          </w:p>
        </w:tc>
      </w:tr>
      <w:tr w:rsidR="001970AC">
        <w:tc>
          <w:tcPr>
            <w:tcW w:w="3369" w:type="dxa"/>
            <w:gridSpan w:val="2"/>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Age below 75 years</w:t>
            </w:r>
          </w:p>
        </w:tc>
        <w:tc>
          <w:tcPr>
            <w:tcW w:w="1842"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59</w:t>
            </w:r>
          </w:p>
        </w:tc>
        <w:tc>
          <w:tcPr>
            <w:tcW w:w="1843"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55</w:t>
            </w:r>
          </w:p>
        </w:tc>
        <w:tc>
          <w:tcPr>
            <w:tcW w:w="1468"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0.1</w:t>
            </w:r>
          </w:p>
        </w:tc>
      </w:tr>
      <w:tr w:rsidR="001970AC">
        <w:tc>
          <w:tcPr>
            <w:tcW w:w="3369" w:type="dxa"/>
            <w:gridSpan w:val="2"/>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Patients at the upper quartile of SBP change, %</w:t>
            </w:r>
          </w:p>
        </w:tc>
        <w:tc>
          <w:tcPr>
            <w:tcW w:w="1842"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26</w:t>
            </w:r>
          </w:p>
        </w:tc>
        <w:tc>
          <w:tcPr>
            <w:tcW w:w="1843"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23</w:t>
            </w:r>
          </w:p>
        </w:tc>
        <w:tc>
          <w:tcPr>
            <w:tcW w:w="1468"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0.07</w:t>
            </w:r>
          </w:p>
        </w:tc>
      </w:tr>
      <w:tr w:rsidR="001970AC">
        <w:tc>
          <w:tcPr>
            <w:tcW w:w="3369" w:type="dxa"/>
            <w:gridSpan w:val="2"/>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Coronary artery disease, %</w:t>
            </w:r>
          </w:p>
        </w:tc>
        <w:tc>
          <w:tcPr>
            <w:tcW w:w="1842"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83</w:t>
            </w:r>
          </w:p>
        </w:tc>
        <w:tc>
          <w:tcPr>
            <w:tcW w:w="1843"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62</w:t>
            </w:r>
          </w:p>
        </w:tc>
        <w:tc>
          <w:tcPr>
            <w:tcW w:w="1468"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&lt;0.001</w:t>
            </w:r>
          </w:p>
        </w:tc>
      </w:tr>
      <w:tr w:rsidR="001970AC">
        <w:tc>
          <w:tcPr>
            <w:tcW w:w="3369" w:type="dxa"/>
            <w:gridSpan w:val="2"/>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Diabetes Mellitus, %</w:t>
            </w:r>
          </w:p>
        </w:tc>
        <w:tc>
          <w:tcPr>
            <w:tcW w:w="1842"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22</w:t>
            </w:r>
          </w:p>
        </w:tc>
        <w:tc>
          <w:tcPr>
            <w:tcW w:w="1843"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23</w:t>
            </w:r>
          </w:p>
        </w:tc>
        <w:tc>
          <w:tcPr>
            <w:tcW w:w="1468"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0.4</w:t>
            </w:r>
          </w:p>
        </w:tc>
      </w:tr>
      <w:tr w:rsidR="001970AC">
        <w:tc>
          <w:tcPr>
            <w:tcW w:w="3369" w:type="dxa"/>
            <w:gridSpan w:val="2"/>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Hypertensive heart disease, %</w:t>
            </w:r>
          </w:p>
        </w:tc>
        <w:tc>
          <w:tcPr>
            <w:tcW w:w="1842"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33</w:t>
            </w:r>
          </w:p>
        </w:tc>
        <w:tc>
          <w:tcPr>
            <w:tcW w:w="1843"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47</w:t>
            </w:r>
          </w:p>
        </w:tc>
        <w:tc>
          <w:tcPr>
            <w:tcW w:w="1468"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&lt;0.001</w:t>
            </w:r>
          </w:p>
        </w:tc>
      </w:tr>
      <w:tr w:rsidR="001970AC">
        <w:tc>
          <w:tcPr>
            <w:tcW w:w="3369" w:type="dxa"/>
            <w:gridSpan w:val="2"/>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Cardiomyopathy, %</w:t>
            </w:r>
          </w:p>
        </w:tc>
        <w:tc>
          <w:tcPr>
            <w:tcW w:w="1842"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19</w:t>
            </w:r>
          </w:p>
        </w:tc>
        <w:tc>
          <w:tcPr>
            <w:tcW w:w="1843"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11</w:t>
            </w:r>
          </w:p>
        </w:tc>
        <w:tc>
          <w:tcPr>
            <w:tcW w:w="1468"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&lt;0.001</w:t>
            </w:r>
          </w:p>
        </w:tc>
      </w:tr>
      <w:tr w:rsidR="001970AC">
        <w:tc>
          <w:tcPr>
            <w:tcW w:w="3369" w:type="dxa"/>
            <w:gridSpan w:val="2"/>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Valvular heart disease, %</w:t>
            </w:r>
          </w:p>
        </w:tc>
        <w:tc>
          <w:tcPr>
            <w:tcW w:w="1842"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22</w:t>
            </w:r>
          </w:p>
        </w:tc>
        <w:tc>
          <w:tcPr>
            <w:tcW w:w="1843"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31</w:t>
            </w:r>
          </w:p>
        </w:tc>
        <w:tc>
          <w:tcPr>
            <w:tcW w:w="1468"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&lt;0.001</w:t>
            </w:r>
          </w:p>
        </w:tc>
      </w:tr>
      <w:tr w:rsidR="001970AC">
        <w:tc>
          <w:tcPr>
            <w:tcW w:w="3369" w:type="dxa"/>
            <w:gridSpan w:val="2"/>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Lung disease</w:t>
            </w:r>
            <w:r>
              <w:rPr>
                <w:rFonts w:ascii="Times New Roman" w:hAnsi="Times New Roman" w:cs="Times New Roman"/>
                <w:color w:val="000000"/>
              </w:rPr>
              <w:t>, %</w:t>
            </w:r>
          </w:p>
        </w:tc>
        <w:tc>
          <w:tcPr>
            <w:tcW w:w="1842"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34</w:t>
            </w:r>
          </w:p>
        </w:tc>
        <w:tc>
          <w:tcPr>
            <w:tcW w:w="1843"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32</w:t>
            </w:r>
          </w:p>
        </w:tc>
        <w:tc>
          <w:tcPr>
            <w:tcW w:w="1468"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0.7</w:t>
            </w:r>
          </w:p>
        </w:tc>
      </w:tr>
      <w:tr w:rsidR="001970AC">
        <w:tc>
          <w:tcPr>
            <w:tcW w:w="3369" w:type="dxa"/>
            <w:gridSpan w:val="2"/>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Rhythm disorder</w:t>
            </w:r>
            <w:r>
              <w:rPr>
                <w:rFonts w:ascii="Times New Roman" w:hAnsi="Times New Roman" w:cs="Times New Roman"/>
                <w:color w:val="000000"/>
              </w:rPr>
              <w:t>, %</w:t>
            </w:r>
          </w:p>
        </w:tc>
        <w:tc>
          <w:tcPr>
            <w:tcW w:w="1842"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51</w:t>
            </w:r>
          </w:p>
        </w:tc>
        <w:tc>
          <w:tcPr>
            <w:tcW w:w="1843"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49</w:t>
            </w:r>
          </w:p>
        </w:tc>
        <w:tc>
          <w:tcPr>
            <w:tcW w:w="1468"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0.8</w:t>
            </w:r>
          </w:p>
        </w:tc>
      </w:tr>
      <w:tr w:rsidR="001970AC">
        <w:trPr>
          <w:cantSplit/>
          <w:trHeight w:val="165"/>
        </w:trPr>
        <w:tc>
          <w:tcPr>
            <w:tcW w:w="3030" w:type="dxa"/>
            <w:vMerge w:val="restart"/>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New York Heart Association class, %</w:t>
            </w:r>
          </w:p>
        </w:tc>
        <w:tc>
          <w:tcPr>
            <w:tcW w:w="339"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1</w:t>
            </w:r>
          </w:p>
        </w:tc>
        <w:tc>
          <w:tcPr>
            <w:tcW w:w="1842"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17</w:t>
            </w:r>
          </w:p>
        </w:tc>
        <w:tc>
          <w:tcPr>
            <w:tcW w:w="1843"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26</w:t>
            </w:r>
          </w:p>
        </w:tc>
        <w:tc>
          <w:tcPr>
            <w:tcW w:w="1468" w:type="dxa"/>
            <w:vMerge w:val="restart"/>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&lt;0.001</w:t>
            </w:r>
          </w:p>
        </w:tc>
      </w:tr>
      <w:tr w:rsidR="001970AC">
        <w:trPr>
          <w:cantSplit/>
          <w:trHeight w:val="150"/>
        </w:trPr>
        <w:tc>
          <w:tcPr>
            <w:tcW w:w="3030" w:type="dxa"/>
            <w:vMerge/>
            <w:vAlign w:val="center"/>
          </w:tcPr>
          <w:p w:rsidR="001970AC" w:rsidRDefault="001970AC">
            <w:pPr>
              <w:spacing w:after="0" w:line="240" w:lineRule="auto"/>
              <w:jc w:val="center"/>
              <w:rPr>
                <w:rFonts w:ascii="Times New Roman" w:hAnsi="Times New Roman" w:cs="Times New Roman"/>
              </w:rPr>
            </w:pPr>
          </w:p>
        </w:tc>
        <w:tc>
          <w:tcPr>
            <w:tcW w:w="339"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2</w:t>
            </w:r>
          </w:p>
        </w:tc>
        <w:tc>
          <w:tcPr>
            <w:tcW w:w="1842"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40</w:t>
            </w:r>
          </w:p>
        </w:tc>
        <w:tc>
          <w:tcPr>
            <w:tcW w:w="1843"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41</w:t>
            </w:r>
          </w:p>
        </w:tc>
        <w:tc>
          <w:tcPr>
            <w:tcW w:w="1468" w:type="dxa"/>
            <w:vMerge/>
            <w:vAlign w:val="center"/>
          </w:tcPr>
          <w:p w:rsidR="001970AC" w:rsidRDefault="001970AC">
            <w:pPr>
              <w:spacing w:after="0" w:line="240" w:lineRule="auto"/>
              <w:jc w:val="center"/>
              <w:rPr>
                <w:rFonts w:ascii="Times New Roman" w:hAnsi="Times New Roman" w:cs="Times New Roman"/>
              </w:rPr>
            </w:pPr>
          </w:p>
        </w:tc>
      </w:tr>
      <w:tr w:rsidR="001970AC">
        <w:trPr>
          <w:cantSplit/>
          <w:trHeight w:val="105"/>
        </w:trPr>
        <w:tc>
          <w:tcPr>
            <w:tcW w:w="3030" w:type="dxa"/>
            <w:vMerge/>
            <w:vAlign w:val="center"/>
          </w:tcPr>
          <w:p w:rsidR="001970AC" w:rsidRDefault="001970AC">
            <w:pPr>
              <w:spacing w:after="0" w:line="240" w:lineRule="auto"/>
              <w:jc w:val="center"/>
              <w:rPr>
                <w:rFonts w:ascii="Times New Roman" w:hAnsi="Times New Roman" w:cs="Times New Roman"/>
              </w:rPr>
            </w:pPr>
          </w:p>
        </w:tc>
        <w:tc>
          <w:tcPr>
            <w:tcW w:w="339"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3</w:t>
            </w:r>
          </w:p>
        </w:tc>
        <w:tc>
          <w:tcPr>
            <w:tcW w:w="1842"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35</w:t>
            </w:r>
          </w:p>
        </w:tc>
        <w:tc>
          <w:tcPr>
            <w:tcW w:w="1843"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27</w:t>
            </w:r>
          </w:p>
        </w:tc>
        <w:tc>
          <w:tcPr>
            <w:tcW w:w="1468" w:type="dxa"/>
            <w:vMerge/>
            <w:vAlign w:val="center"/>
          </w:tcPr>
          <w:p w:rsidR="001970AC" w:rsidRDefault="001970AC">
            <w:pPr>
              <w:spacing w:after="0" w:line="240" w:lineRule="auto"/>
              <w:jc w:val="center"/>
              <w:rPr>
                <w:rFonts w:ascii="Times New Roman" w:hAnsi="Times New Roman" w:cs="Times New Roman"/>
              </w:rPr>
            </w:pPr>
          </w:p>
        </w:tc>
      </w:tr>
      <w:tr w:rsidR="001970AC">
        <w:trPr>
          <w:cantSplit/>
          <w:trHeight w:val="135"/>
        </w:trPr>
        <w:tc>
          <w:tcPr>
            <w:tcW w:w="3030" w:type="dxa"/>
            <w:vMerge/>
            <w:vAlign w:val="center"/>
          </w:tcPr>
          <w:p w:rsidR="001970AC" w:rsidRDefault="001970AC">
            <w:pPr>
              <w:spacing w:after="0" w:line="240" w:lineRule="auto"/>
              <w:jc w:val="center"/>
              <w:rPr>
                <w:rFonts w:ascii="Times New Roman" w:hAnsi="Times New Roman" w:cs="Times New Roman"/>
              </w:rPr>
            </w:pPr>
          </w:p>
        </w:tc>
        <w:tc>
          <w:tcPr>
            <w:tcW w:w="339"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4</w:t>
            </w:r>
          </w:p>
        </w:tc>
        <w:tc>
          <w:tcPr>
            <w:tcW w:w="1842"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8</w:t>
            </w:r>
          </w:p>
        </w:tc>
        <w:tc>
          <w:tcPr>
            <w:tcW w:w="1843"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6</w:t>
            </w:r>
          </w:p>
        </w:tc>
        <w:tc>
          <w:tcPr>
            <w:tcW w:w="1468" w:type="dxa"/>
            <w:vMerge/>
            <w:vAlign w:val="center"/>
          </w:tcPr>
          <w:p w:rsidR="001970AC" w:rsidRDefault="001970AC">
            <w:pPr>
              <w:spacing w:after="0" w:line="240" w:lineRule="auto"/>
              <w:jc w:val="center"/>
              <w:rPr>
                <w:rFonts w:ascii="Times New Roman" w:hAnsi="Times New Roman" w:cs="Times New Roman"/>
              </w:rPr>
            </w:pPr>
          </w:p>
        </w:tc>
      </w:tr>
      <w:tr w:rsidR="001970AC">
        <w:tc>
          <w:tcPr>
            <w:tcW w:w="3369" w:type="dxa"/>
            <w:gridSpan w:val="2"/>
            <w:vAlign w:val="center"/>
          </w:tcPr>
          <w:p w:rsidR="001970AC" w:rsidRDefault="001970AC">
            <w:pPr>
              <w:spacing w:after="0" w:line="240" w:lineRule="auto"/>
              <w:jc w:val="center"/>
              <w:rPr>
                <w:rFonts w:ascii="Times New Roman" w:hAnsi="Times New Roman" w:cs="Times New Roman"/>
                <w:color w:val="000000"/>
              </w:rPr>
            </w:pPr>
            <w:r>
              <w:rPr>
                <w:rFonts w:ascii="Times New Roman" w:hAnsi="Times New Roman" w:cs="Times New Roman"/>
                <w:color w:val="000000"/>
              </w:rPr>
              <w:t>Shortness of breath, %</w:t>
            </w:r>
          </w:p>
        </w:tc>
        <w:tc>
          <w:tcPr>
            <w:tcW w:w="1842" w:type="dxa"/>
            <w:vAlign w:val="center"/>
          </w:tcPr>
          <w:p w:rsidR="001970AC" w:rsidRDefault="001970AC">
            <w:pPr>
              <w:spacing w:after="0" w:line="240" w:lineRule="auto"/>
              <w:jc w:val="center"/>
              <w:rPr>
                <w:rFonts w:ascii="Times New Roman" w:hAnsi="Times New Roman" w:cs="Times New Roman"/>
                <w:color w:val="000000"/>
              </w:rPr>
            </w:pPr>
            <w:r>
              <w:rPr>
                <w:rFonts w:ascii="Times New Roman" w:hAnsi="Times New Roman" w:cs="Times New Roman"/>
                <w:color w:val="000000"/>
              </w:rPr>
              <w:t>20</w:t>
            </w:r>
          </w:p>
        </w:tc>
        <w:tc>
          <w:tcPr>
            <w:tcW w:w="1843"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19</w:t>
            </w:r>
          </w:p>
        </w:tc>
        <w:tc>
          <w:tcPr>
            <w:tcW w:w="1468"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0.6</w:t>
            </w:r>
          </w:p>
        </w:tc>
      </w:tr>
      <w:tr w:rsidR="001970AC">
        <w:tc>
          <w:tcPr>
            <w:tcW w:w="3369" w:type="dxa"/>
            <w:gridSpan w:val="2"/>
            <w:vAlign w:val="center"/>
          </w:tcPr>
          <w:p w:rsidR="001970AC" w:rsidRDefault="001970AC">
            <w:pPr>
              <w:spacing w:after="0" w:line="240" w:lineRule="auto"/>
              <w:jc w:val="center"/>
              <w:rPr>
                <w:rFonts w:ascii="Times New Roman" w:hAnsi="Times New Roman" w:cs="Times New Roman"/>
                <w:color w:val="000000"/>
              </w:rPr>
            </w:pPr>
            <w:r>
              <w:rPr>
                <w:rFonts w:ascii="Times New Roman" w:hAnsi="Times New Roman" w:cs="Times New Roman"/>
                <w:color w:val="000000"/>
              </w:rPr>
              <w:t>Fatigue, %</w:t>
            </w:r>
          </w:p>
        </w:tc>
        <w:tc>
          <w:tcPr>
            <w:tcW w:w="1842" w:type="dxa"/>
            <w:vAlign w:val="center"/>
          </w:tcPr>
          <w:p w:rsidR="001970AC" w:rsidRDefault="001970AC">
            <w:pPr>
              <w:spacing w:after="0" w:line="240" w:lineRule="auto"/>
              <w:jc w:val="center"/>
              <w:rPr>
                <w:rFonts w:ascii="Times New Roman" w:hAnsi="Times New Roman" w:cs="Times New Roman"/>
                <w:color w:val="000000"/>
              </w:rPr>
            </w:pPr>
            <w:r>
              <w:rPr>
                <w:rFonts w:ascii="Times New Roman" w:hAnsi="Times New Roman" w:cs="Times New Roman"/>
                <w:color w:val="000000"/>
              </w:rPr>
              <w:t>58</w:t>
            </w:r>
          </w:p>
        </w:tc>
        <w:tc>
          <w:tcPr>
            <w:tcW w:w="1843"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62</w:t>
            </w:r>
          </w:p>
        </w:tc>
        <w:tc>
          <w:tcPr>
            <w:tcW w:w="1468"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0.2</w:t>
            </w:r>
          </w:p>
        </w:tc>
      </w:tr>
      <w:tr w:rsidR="001970AC">
        <w:tc>
          <w:tcPr>
            <w:tcW w:w="3369" w:type="dxa"/>
            <w:gridSpan w:val="2"/>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Fluid, %</w:t>
            </w:r>
          </w:p>
        </w:tc>
        <w:tc>
          <w:tcPr>
            <w:tcW w:w="1842"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52</w:t>
            </w:r>
          </w:p>
        </w:tc>
        <w:tc>
          <w:tcPr>
            <w:tcW w:w="1843"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48</w:t>
            </w:r>
          </w:p>
        </w:tc>
        <w:tc>
          <w:tcPr>
            <w:tcW w:w="1468"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0.4</w:t>
            </w:r>
          </w:p>
        </w:tc>
      </w:tr>
      <w:tr w:rsidR="001970AC">
        <w:tc>
          <w:tcPr>
            <w:tcW w:w="3369" w:type="dxa"/>
            <w:gridSpan w:val="2"/>
            <w:vAlign w:val="center"/>
          </w:tcPr>
          <w:p w:rsidR="001970AC" w:rsidRDefault="001970AC">
            <w:pPr>
              <w:spacing w:after="0" w:line="240" w:lineRule="auto"/>
              <w:jc w:val="center"/>
              <w:rPr>
                <w:rFonts w:ascii="Times New Roman" w:hAnsi="Times New Roman" w:cs="Times New Roman"/>
                <w:color w:val="000000"/>
              </w:rPr>
            </w:pPr>
            <w:r>
              <w:rPr>
                <w:rFonts w:ascii="Times New Roman" w:hAnsi="Times New Roman" w:cs="Times New Roman"/>
                <w:color w:val="000000"/>
              </w:rPr>
              <w:t>No previous Hospitalization</w:t>
            </w:r>
            <w:r>
              <w:rPr>
                <w:rFonts w:ascii="Times New Roman" w:hAnsi="Times New Roman" w:cs="Times New Roman"/>
              </w:rPr>
              <w:t>, %</w:t>
            </w:r>
          </w:p>
        </w:tc>
        <w:tc>
          <w:tcPr>
            <w:tcW w:w="1842" w:type="dxa"/>
            <w:vAlign w:val="center"/>
          </w:tcPr>
          <w:p w:rsidR="001970AC" w:rsidRDefault="001970AC">
            <w:pPr>
              <w:spacing w:after="0" w:line="240" w:lineRule="auto"/>
              <w:jc w:val="center"/>
              <w:rPr>
                <w:rFonts w:ascii="Times New Roman" w:hAnsi="Times New Roman" w:cs="Times New Roman"/>
                <w:color w:val="000000"/>
              </w:rPr>
            </w:pPr>
            <w:r>
              <w:rPr>
                <w:rFonts w:ascii="Times New Roman" w:hAnsi="Times New Roman" w:cs="Times New Roman"/>
                <w:color w:val="000000"/>
              </w:rPr>
              <w:t>43</w:t>
            </w:r>
          </w:p>
        </w:tc>
        <w:tc>
          <w:tcPr>
            <w:tcW w:w="1843"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39</w:t>
            </w:r>
          </w:p>
        </w:tc>
        <w:tc>
          <w:tcPr>
            <w:tcW w:w="1468"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0.08</w:t>
            </w:r>
          </w:p>
        </w:tc>
      </w:tr>
      <w:tr w:rsidR="001970AC">
        <w:tc>
          <w:tcPr>
            <w:tcW w:w="3369" w:type="dxa"/>
            <w:gridSpan w:val="2"/>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Precipitating factors:</w:t>
            </w:r>
          </w:p>
        </w:tc>
        <w:tc>
          <w:tcPr>
            <w:tcW w:w="1842" w:type="dxa"/>
            <w:vAlign w:val="center"/>
          </w:tcPr>
          <w:p w:rsidR="001970AC" w:rsidRDefault="001970AC">
            <w:pPr>
              <w:spacing w:after="0" w:line="240" w:lineRule="auto"/>
              <w:jc w:val="center"/>
              <w:rPr>
                <w:rFonts w:ascii="Times New Roman" w:hAnsi="Times New Roman" w:cs="Times New Roman"/>
              </w:rPr>
            </w:pPr>
          </w:p>
        </w:tc>
        <w:tc>
          <w:tcPr>
            <w:tcW w:w="1843" w:type="dxa"/>
            <w:vAlign w:val="center"/>
          </w:tcPr>
          <w:p w:rsidR="001970AC" w:rsidRDefault="001970AC">
            <w:pPr>
              <w:spacing w:after="0" w:line="240" w:lineRule="auto"/>
              <w:jc w:val="center"/>
              <w:rPr>
                <w:rFonts w:ascii="Times New Roman" w:hAnsi="Times New Roman" w:cs="Times New Roman"/>
              </w:rPr>
            </w:pPr>
          </w:p>
        </w:tc>
        <w:tc>
          <w:tcPr>
            <w:tcW w:w="1468" w:type="dxa"/>
            <w:vAlign w:val="center"/>
          </w:tcPr>
          <w:p w:rsidR="001970AC" w:rsidRDefault="001970AC">
            <w:pPr>
              <w:spacing w:after="0" w:line="240" w:lineRule="auto"/>
              <w:jc w:val="center"/>
              <w:rPr>
                <w:rFonts w:ascii="Times New Roman" w:hAnsi="Times New Roman" w:cs="Times New Roman"/>
              </w:rPr>
            </w:pPr>
          </w:p>
        </w:tc>
      </w:tr>
      <w:tr w:rsidR="001970AC">
        <w:tc>
          <w:tcPr>
            <w:tcW w:w="3369" w:type="dxa"/>
            <w:gridSpan w:val="2"/>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Not compliant with therapy, %</w:t>
            </w:r>
          </w:p>
        </w:tc>
        <w:tc>
          <w:tcPr>
            <w:tcW w:w="1842"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8</w:t>
            </w:r>
          </w:p>
        </w:tc>
        <w:tc>
          <w:tcPr>
            <w:tcW w:w="1843"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6</w:t>
            </w:r>
          </w:p>
        </w:tc>
        <w:tc>
          <w:tcPr>
            <w:tcW w:w="1468"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0.2</w:t>
            </w:r>
          </w:p>
        </w:tc>
      </w:tr>
      <w:tr w:rsidR="001970AC">
        <w:tc>
          <w:tcPr>
            <w:tcW w:w="3369" w:type="dxa"/>
            <w:gridSpan w:val="2"/>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Renal dysfunction, %</w:t>
            </w:r>
          </w:p>
        </w:tc>
        <w:tc>
          <w:tcPr>
            <w:tcW w:w="1842"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15</w:t>
            </w:r>
          </w:p>
        </w:tc>
        <w:tc>
          <w:tcPr>
            <w:tcW w:w="1843"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14</w:t>
            </w:r>
          </w:p>
        </w:tc>
        <w:tc>
          <w:tcPr>
            <w:tcW w:w="1468"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0.4</w:t>
            </w:r>
          </w:p>
        </w:tc>
      </w:tr>
      <w:tr w:rsidR="001970AC">
        <w:tc>
          <w:tcPr>
            <w:tcW w:w="3369" w:type="dxa"/>
            <w:gridSpan w:val="2"/>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Infection, %</w:t>
            </w:r>
          </w:p>
        </w:tc>
        <w:tc>
          <w:tcPr>
            <w:tcW w:w="1842"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14</w:t>
            </w:r>
          </w:p>
        </w:tc>
        <w:tc>
          <w:tcPr>
            <w:tcW w:w="1843"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15</w:t>
            </w:r>
          </w:p>
        </w:tc>
        <w:tc>
          <w:tcPr>
            <w:tcW w:w="1468"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0.3</w:t>
            </w:r>
          </w:p>
        </w:tc>
      </w:tr>
      <w:tr w:rsidR="001970AC">
        <w:tc>
          <w:tcPr>
            <w:tcW w:w="3369" w:type="dxa"/>
            <w:gridSpan w:val="2"/>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Myocardial infarction, %</w:t>
            </w:r>
          </w:p>
        </w:tc>
        <w:tc>
          <w:tcPr>
            <w:tcW w:w="1842"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35</w:t>
            </w:r>
          </w:p>
        </w:tc>
        <w:tc>
          <w:tcPr>
            <w:tcW w:w="1843"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33</w:t>
            </w:r>
          </w:p>
        </w:tc>
        <w:tc>
          <w:tcPr>
            <w:tcW w:w="1468"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0.3</w:t>
            </w:r>
          </w:p>
        </w:tc>
      </w:tr>
      <w:tr w:rsidR="001970AC">
        <w:tc>
          <w:tcPr>
            <w:tcW w:w="3369" w:type="dxa"/>
            <w:gridSpan w:val="2"/>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Admission characteristics:</w:t>
            </w:r>
          </w:p>
        </w:tc>
        <w:tc>
          <w:tcPr>
            <w:tcW w:w="1842" w:type="dxa"/>
            <w:vAlign w:val="center"/>
          </w:tcPr>
          <w:p w:rsidR="001970AC" w:rsidRDefault="001970AC">
            <w:pPr>
              <w:spacing w:after="0" w:line="240" w:lineRule="auto"/>
              <w:jc w:val="center"/>
              <w:rPr>
                <w:rFonts w:ascii="Times New Roman" w:hAnsi="Times New Roman" w:cs="Times New Roman"/>
              </w:rPr>
            </w:pPr>
          </w:p>
        </w:tc>
        <w:tc>
          <w:tcPr>
            <w:tcW w:w="1843" w:type="dxa"/>
            <w:vAlign w:val="center"/>
          </w:tcPr>
          <w:p w:rsidR="001970AC" w:rsidRDefault="001970AC">
            <w:pPr>
              <w:spacing w:after="0" w:line="240" w:lineRule="auto"/>
              <w:jc w:val="center"/>
              <w:rPr>
                <w:rFonts w:ascii="Times New Roman" w:hAnsi="Times New Roman" w:cs="Times New Roman"/>
              </w:rPr>
            </w:pPr>
          </w:p>
        </w:tc>
        <w:tc>
          <w:tcPr>
            <w:tcW w:w="1468" w:type="dxa"/>
            <w:vAlign w:val="center"/>
          </w:tcPr>
          <w:p w:rsidR="001970AC" w:rsidRDefault="001970AC">
            <w:pPr>
              <w:spacing w:after="0" w:line="240" w:lineRule="auto"/>
              <w:jc w:val="center"/>
              <w:rPr>
                <w:rFonts w:ascii="Times New Roman" w:hAnsi="Times New Roman" w:cs="Times New Roman"/>
              </w:rPr>
            </w:pPr>
          </w:p>
        </w:tc>
      </w:tr>
      <w:tr w:rsidR="001970AC">
        <w:tc>
          <w:tcPr>
            <w:tcW w:w="3369" w:type="dxa"/>
            <w:gridSpan w:val="2"/>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Admission SBP, mm Hg</w:t>
            </w:r>
          </w:p>
        </w:tc>
        <w:tc>
          <w:tcPr>
            <w:tcW w:w="1842"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140 ± 28</w:t>
            </w:r>
          </w:p>
        </w:tc>
        <w:tc>
          <w:tcPr>
            <w:tcW w:w="1843"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150 ± 32</w:t>
            </w:r>
          </w:p>
        </w:tc>
        <w:tc>
          <w:tcPr>
            <w:tcW w:w="1468"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&lt;0.001</w:t>
            </w:r>
          </w:p>
        </w:tc>
      </w:tr>
      <w:tr w:rsidR="001970AC">
        <w:tc>
          <w:tcPr>
            <w:tcW w:w="3369" w:type="dxa"/>
            <w:gridSpan w:val="2"/>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Admission DBP, mm Hg</w:t>
            </w:r>
          </w:p>
        </w:tc>
        <w:tc>
          <w:tcPr>
            <w:tcW w:w="1842"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79 ± 16</w:t>
            </w:r>
          </w:p>
        </w:tc>
        <w:tc>
          <w:tcPr>
            <w:tcW w:w="1843"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79 ± 17</w:t>
            </w:r>
          </w:p>
        </w:tc>
        <w:tc>
          <w:tcPr>
            <w:tcW w:w="1468"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0.3</w:t>
            </w:r>
          </w:p>
        </w:tc>
      </w:tr>
      <w:tr w:rsidR="001970AC">
        <w:tc>
          <w:tcPr>
            <w:tcW w:w="3369" w:type="dxa"/>
            <w:gridSpan w:val="2"/>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Admission heart rate, Bpm</w:t>
            </w:r>
          </w:p>
        </w:tc>
        <w:tc>
          <w:tcPr>
            <w:tcW w:w="1842"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85 ± 22</w:t>
            </w:r>
          </w:p>
        </w:tc>
        <w:tc>
          <w:tcPr>
            <w:tcW w:w="1843"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83 ± 21</w:t>
            </w:r>
          </w:p>
        </w:tc>
        <w:tc>
          <w:tcPr>
            <w:tcW w:w="1468"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0.05</w:t>
            </w:r>
          </w:p>
        </w:tc>
      </w:tr>
      <w:tr w:rsidR="001970AC">
        <w:tc>
          <w:tcPr>
            <w:tcW w:w="3369" w:type="dxa"/>
            <w:gridSpan w:val="2"/>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Clinically diagnosed, %</w:t>
            </w:r>
          </w:p>
        </w:tc>
        <w:tc>
          <w:tcPr>
            <w:tcW w:w="1842"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70</w:t>
            </w:r>
          </w:p>
        </w:tc>
        <w:tc>
          <w:tcPr>
            <w:tcW w:w="1843"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71</w:t>
            </w:r>
          </w:p>
        </w:tc>
        <w:tc>
          <w:tcPr>
            <w:tcW w:w="1468"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0.5</w:t>
            </w:r>
          </w:p>
        </w:tc>
      </w:tr>
      <w:tr w:rsidR="001970AC">
        <w:tc>
          <w:tcPr>
            <w:tcW w:w="3369" w:type="dxa"/>
            <w:gridSpan w:val="2"/>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Radiographically diagnosed, %</w:t>
            </w:r>
          </w:p>
        </w:tc>
        <w:tc>
          <w:tcPr>
            <w:tcW w:w="1842"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51</w:t>
            </w:r>
          </w:p>
        </w:tc>
        <w:tc>
          <w:tcPr>
            <w:tcW w:w="1843"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51</w:t>
            </w:r>
          </w:p>
        </w:tc>
        <w:tc>
          <w:tcPr>
            <w:tcW w:w="1468"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0.95</w:t>
            </w:r>
          </w:p>
        </w:tc>
      </w:tr>
      <w:tr w:rsidR="001970AC">
        <w:tc>
          <w:tcPr>
            <w:tcW w:w="3369" w:type="dxa"/>
            <w:gridSpan w:val="2"/>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Echocardiographically diagnosed, %</w:t>
            </w:r>
          </w:p>
        </w:tc>
        <w:tc>
          <w:tcPr>
            <w:tcW w:w="1842"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73</w:t>
            </w:r>
          </w:p>
        </w:tc>
        <w:tc>
          <w:tcPr>
            <w:tcW w:w="1843"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60</w:t>
            </w:r>
          </w:p>
        </w:tc>
        <w:tc>
          <w:tcPr>
            <w:tcW w:w="1468"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&lt;0.001</w:t>
            </w:r>
          </w:p>
        </w:tc>
      </w:tr>
      <w:tr w:rsidR="001970AC">
        <w:tc>
          <w:tcPr>
            <w:tcW w:w="3369" w:type="dxa"/>
            <w:gridSpan w:val="2"/>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Admission Pulmonary edema, %</w:t>
            </w:r>
          </w:p>
        </w:tc>
        <w:tc>
          <w:tcPr>
            <w:tcW w:w="1842"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29</w:t>
            </w:r>
          </w:p>
        </w:tc>
        <w:tc>
          <w:tcPr>
            <w:tcW w:w="1843"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31</w:t>
            </w:r>
          </w:p>
        </w:tc>
        <w:tc>
          <w:tcPr>
            <w:tcW w:w="1468"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0.4</w:t>
            </w:r>
          </w:p>
        </w:tc>
      </w:tr>
      <w:tr w:rsidR="001970AC">
        <w:tc>
          <w:tcPr>
            <w:tcW w:w="3369" w:type="dxa"/>
            <w:gridSpan w:val="2"/>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Discharge SBP, mm Hg</w:t>
            </w:r>
          </w:p>
        </w:tc>
        <w:tc>
          <w:tcPr>
            <w:tcW w:w="1842"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127 ± 19</w:t>
            </w:r>
          </w:p>
        </w:tc>
        <w:tc>
          <w:tcPr>
            <w:tcW w:w="1843"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134 ± 21</w:t>
            </w:r>
          </w:p>
        </w:tc>
        <w:tc>
          <w:tcPr>
            <w:tcW w:w="1468"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&lt;0.001</w:t>
            </w:r>
          </w:p>
        </w:tc>
      </w:tr>
      <w:tr w:rsidR="001970AC">
        <w:tc>
          <w:tcPr>
            <w:tcW w:w="3369" w:type="dxa"/>
            <w:gridSpan w:val="2"/>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Discharge DBP, mm Hg</w:t>
            </w:r>
          </w:p>
        </w:tc>
        <w:tc>
          <w:tcPr>
            <w:tcW w:w="1842"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71 ± 11</w:t>
            </w:r>
          </w:p>
        </w:tc>
        <w:tc>
          <w:tcPr>
            <w:tcW w:w="1843"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72 ± 12</w:t>
            </w:r>
          </w:p>
        </w:tc>
        <w:tc>
          <w:tcPr>
            <w:tcW w:w="1468"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0.1</w:t>
            </w:r>
          </w:p>
        </w:tc>
      </w:tr>
      <w:tr w:rsidR="001970AC">
        <w:tc>
          <w:tcPr>
            <w:tcW w:w="3369" w:type="dxa"/>
            <w:gridSpan w:val="2"/>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 xml:space="preserve">Discharge heart rate, Bpm </w:t>
            </w:r>
          </w:p>
        </w:tc>
        <w:tc>
          <w:tcPr>
            <w:tcW w:w="1842"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73 ± 12</w:t>
            </w:r>
          </w:p>
        </w:tc>
        <w:tc>
          <w:tcPr>
            <w:tcW w:w="1843"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73 ± 13</w:t>
            </w:r>
          </w:p>
        </w:tc>
        <w:tc>
          <w:tcPr>
            <w:tcW w:w="1468"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0.7</w:t>
            </w:r>
          </w:p>
        </w:tc>
      </w:tr>
      <w:tr w:rsidR="001970AC">
        <w:tc>
          <w:tcPr>
            <w:tcW w:w="3369" w:type="dxa"/>
            <w:gridSpan w:val="2"/>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Discharge pulmonary edema, %</w:t>
            </w:r>
          </w:p>
        </w:tc>
        <w:tc>
          <w:tcPr>
            <w:tcW w:w="1842"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24</w:t>
            </w:r>
          </w:p>
        </w:tc>
        <w:tc>
          <w:tcPr>
            <w:tcW w:w="1843"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26</w:t>
            </w:r>
          </w:p>
        </w:tc>
        <w:tc>
          <w:tcPr>
            <w:tcW w:w="1468" w:type="dxa"/>
            <w:vAlign w:val="center"/>
          </w:tcPr>
          <w:p w:rsidR="001970AC" w:rsidRDefault="001970AC">
            <w:pPr>
              <w:spacing w:after="0" w:line="240" w:lineRule="auto"/>
              <w:jc w:val="center"/>
              <w:rPr>
                <w:rFonts w:ascii="Times New Roman" w:hAnsi="Times New Roman" w:cs="Times New Roman"/>
              </w:rPr>
            </w:pPr>
            <w:r>
              <w:rPr>
                <w:rFonts w:ascii="Times New Roman" w:hAnsi="Times New Roman" w:cs="Times New Roman"/>
              </w:rPr>
              <w:t>0.2</w:t>
            </w:r>
          </w:p>
        </w:tc>
      </w:tr>
    </w:tbl>
    <w:p w:rsidR="001970AC" w:rsidRDefault="001970AC">
      <w:pPr>
        <w:jc w:val="left"/>
        <w:rPr>
          <w:rFonts w:ascii="Times New Roman" w:hAnsi="Times New Roman" w:cs="Times New Roman"/>
          <w:sz w:val="36"/>
          <w:szCs w:val="36"/>
        </w:rPr>
      </w:pPr>
    </w:p>
    <w:p w:rsidR="001970AC" w:rsidRDefault="001970AC">
      <w:pPr>
        <w:jc w:val="center"/>
        <w:rPr>
          <w:rFonts w:ascii="Times New Roman" w:hAnsi="Times New Roman" w:cs="Times New Roman"/>
          <w:sz w:val="36"/>
          <w:szCs w:val="36"/>
        </w:rPr>
      </w:pPr>
    </w:p>
    <w:p w:rsidR="001970AC" w:rsidRDefault="001970AC">
      <w:pPr>
        <w:rPr>
          <w:rFonts w:ascii="Arial" w:hAnsi="Arial" w:cs="Arial"/>
        </w:rPr>
      </w:pPr>
    </w:p>
    <w:p w:rsidR="001970AC" w:rsidRDefault="001970AC">
      <w:pPr>
        <w:jc w:val="left"/>
        <w:rPr>
          <w:rFonts w:ascii="Arial" w:hAnsi="Arial" w:cs="Arial"/>
        </w:rPr>
      </w:pPr>
    </w:p>
    <w:sectPr w:rsidR="001970AC" w:rsidSect="001970AC">
      <w:pgSz w:w="11906" w:h="16838"/>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altName w:val="Meiryo"/>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81833"/>
    <w:multiLevelType w:val="hybridMultilevel"/>
    <w:tmpl w:val="B3184AD6"/>
    <w:lvl w:ilvl="0" w:tplc="D264DDC6">
      <w:start w:val="16"/>
      <w:numFmt w:val="bullet"/>
      <w:lvlText w:val=""/>
      <w:lvlJc w:val="left"/>
      <w:pPr>
        <w:ind w:left="420" w:hanging="360"/>
      </w:pPr>
      <w:rPr>
        <w:rFonts w:ascii="Symbol" w:eastAsia="Times New Roman" w:hAnsi="Symbo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cs="Wingdings" w:hint="default"/>
      </w:rPr>
    </w:lvl>
    <w:lvl w:ilvl="3" w:tplc="04090001">
      <w:start w:val="1"/>
      <w:numFmt w:val="bullet"/>
      <w:lvlText w:val=""/>
      <w:lvlJc w:val="left"/>
      <w:pPr>
        <w:ind w:left="2580" w:hanging="360"/>
      </w:pPr>
      <w:rPr>
        <w:rFonts w:ascii="Symbol" w:hAnsi="Symbol" w:cs="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cs="Wingdings" w:hint="default"/>
      </w:rPr>
    </w:lvl>
    <w:lvl w:ilvl="6" w:tplc="04090001">
      <w:start w:val="1"/>
      <w:numFmt w:val="bullet"/>
      <w:lvlText w:val=""/>
      <w:lvlJc w:val="left"/>
      <w:pPr>
        <w:ind w:left="4740" w:hanging="360"/>
      </w:pPr>
      <w:rPr>
        <w:rFonts w:ascii="Symbol" w:hAnsi="Symbol" w:cs="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70AC"/>
    <w:rsid w:val="001970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jc w:val="right"/>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Body">
    <w:name w:val="Body"/>
    <w:uiPriority w:val="99"/>
    <w:pPr>
      <w:pBdr>
        <w:top w:val="none" w:sz="96" w:space="31" w:color="FFFFFF" w:shadow="1" w:frame="1"/>
        <w:left w:val="none" w:sz="96" w:space="31" w:color="FFFFFF" w:shadow="1" w:frame="1"/>
        <w:bottom w:val="none" w:sz="96" w:space="31" w:color="FFFFFF" w:shadow="1" w:frame="1"/>
        <w:right w:val="none" w:sz="96" w:space="31" w:color="FFFFFF" w:shadow="1" w:frame="1"/>
      </w:pBdr>
      <w:spacing w:after="200" w:line="276" w:lineRule="auto"/>
      <w:jc w:val="right"/>
    </w:pPr>
    <w:rPr>
      <w:rFonts w:ascii="Calibri" w:hAnsi="Calibri" w:cs="Calibri"/>
      <w:color w:val="000000"/>
      <w:u w:color="000000"/>
    </w:rPr>
  </w:style>
  <w:style w:type="character" w:styleId="PageNumber">
    <w:name w:val="page number"/>
    <w:basedOn w:val="DefaultParagraphFont"/>
    <w:uiPriority w:val="99"/>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19</Pages>
  <Words>555</Words>
  <Characters>3168</Characters>
  <Application>Microsoft Office Outlook</Application>
  <DocSecurity>0</DocSecurity>
  <Lines>0</Lines>
  <Paragraphs>0</Paragraphs>
  <ScaleCrop>false</ScaleCrop>
  <Company>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TEESLWW</cp:lastModifiedBy>
  <cp:revision>4</cp:revision>
  <dcterms:created xsi:type="dcterms:W3CDTF">2016-08-15T21:23:00Z</dcterms:created>
  <dcterms:modified xsi:type="dcterms:W3CDTF">2017-01-07T06:45:00Z</dcterms:modified>
</cp:coreProperties>
</file>