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5F" w:rsidRDefault="00400B5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highlight w:val="yellow"/>
        </w:rPr>
        <w:t xml:space="preserve">Appendix Table 1. Sensitivity analysis of age as a risk factor for post-operative complications (Age </w:t>
      </w:r>
      <w:r>
        <w:rPr>
          <w:rStyle w:val="normaltextrun"/>
          <w:highlight w:val="yellow"/>
          <w:lang w:eastAsia="en-US"/>
        </w:rPr>
        <w:t>≥60)</w:t>
      </w:r>
      <w:r>
        <w:rPr>
          <w:highlight w:val="yellow"/>
        </w:rPr>
        <w:t xml:space="preserve"> </w:t>
      </w:r>
    </w:p>
    <w:tbl>
      <w:tblPr>
        <w:tblpPr w:leftFromText="180" w:rightFromText="180" w:vertAnchor="page" w:horzAnchor="margin" w:tblpY="3146"/>
        <w:tblW w:w="0" w:type="auto"/>
        <w:tblBorders>
          <w:top w:val="single" w:sz="8" w:space="0" w:color="A5A5A5"/>
          <w:bottom w:val="single" w:sz="8" w:space="0" w:color="A5A5A5"/>
        </w:tblBorders>
        <w:tblLook w:val="0000"/>
      </w:tblPr>
      <w:tblGrid>
        <w:gridCol w:w="1872"/>
        <w:gridCol w:w="1872"/>
        <w:gridCol w:w="1872"/>
        <w:gridCol w:w="1872"/>
        <w:gridCol w:w="1872"/>
      </w:tblGrid>
      <w:tr w:rsidR="00400B5F">
        <w:tc>
          <w:tcPr>
            <w:tcW w:w="1872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D0CECE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  <w:t>Predictors*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D0CECE"/>
          </w:tcPr>
          <w:p w:rsidR="00400B5F" w:rsidRDefault="00400B5F">
            <w:pP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b/>
                <w:bCs/>
                <w:color w:val="000000"/>
                <w:sz w:val="24"/>
                <w:szCs w:val="24"/>
                <w:highlight w:val="yellow"/>
                <w:u w:color="000000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b/>
                <w:bCs/>
                <w:color w:val="000000"/>
                <w:sz w:val="24"/>
                <w:szCs w:val="24"/>
                <w:highlight w:val="yellow"/>
                <w:u w:color="000000"/>
                <w:lang w:eastAsia="en-US"/>
              </w:rPr>
              <w:t>Odds Ratio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D0CECE"/>
          </w:tcPr>
          <w:p w:rsidR="00400B5F" w:rsidRDefault="00400B5F">
            <w:pP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b/>
                <w:bCs/>
                <w:color w:val="000000"/>
                <w:sz w:val="24"/>
                <w:szCs w:val="24"/>
                <w:highlight w:val="yellow"/>
                <w:u w:color="000000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b/>
                <w:bCs/>
                <w:color w:val="000000"/>
                <w:sz w:val="24"/>
                <w:szCs w:val="24"/>
                <w:highlight w:val="yellow"/>
                <w:u w:color="000000"/>
                <w:lang w:eastAsia="en-US"/>
              </w:rPr>
              <w:t>95% Confidence Limits</w:t>
            </w:r>
          </w:p>
          <w:p w:rsidR="00400B5F" w:rsidRDefault="00400B5F">
            <w:pP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b/>
                <w:bCs/>
                <w:color w:val="000000"/>
                <w:sz w:val="24"/>
                <w:szCs w:val="24"/>
                <w:highlight w:val="yellow"/>
                <w:u w:color="000000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D0CECE"/>
          </w:tcPr>
          <w:p w:rsidR="00400B5F" w:rsidRDefault="00400B5F">
            <w:pP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b/>
                <w:bCs/>
                <w:color w:val="000000"/>
                <w:sz w:val="24"/>
                <w:szCs w:val="24"/>
                <w:highlight w:val="yellow"/>
                <w:u w:color="000000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b/>
                <w:bCs/>
                <w:color w:val="000000"/>
                <w:sz w:val="24"/>
                <w:szCs w:val="24"/>
                <w:highlight w:val="yellow"/>
                <w:u w:color="000000"/>
                <w:lang w:eastAsia="en-US"/>
              </w:rPr>
              <w:t>p-value</w:t>
            </w:r>
          </w:p>
        </w:tc>
      </w:tr>
      <w:tr w:rsidR="00400B5F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Age ≥ 60 vs. &lt;60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1.16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1.31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0.02</w:t>
            </w:r>
          </w:p>
        </w:tc>
      </w:tr>
      <w:tr w:rsidR="00400B5F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Male vs. Female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0.98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1.28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0.11</w:t>
            </w:r>
          </w:p>
        </w:tc>
      </w:tr>
      <w:tr w:rsidR="00400B5F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mbria" w:hAnsi="Cambria" w:cs="Cambria"/>
                <w:sz w:val="22"/>
                <w:szCs w:val="22"/>
                <w:highlight w:val="yellow"/>
              </w:rPr>
              <w:t xml:space="preserve"> 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BMI ≥30 vs. &lt;30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1.11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0.99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1.24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0.09</w:t>
            </w:r>
          </w:p>
        </w:tc>
      </w:tr>
      <w:tr w:rsidR="00400B5F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Non-Caucasian vs. Caucasian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1.27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1.43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&lt;0.0001</w:t>
            </w:r>
          </w:p>
        </w:tc>
      </w:tr>
      <w:tr w:rsidR="00400B5F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Diabetic Yes vs. No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0.90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1.21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0.60</w:t>
            </w:r>
          </w:p>
        </w:tc>
      </w:tr>
      <w:tr w:rsidR="00400B5F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Smoker Yes vs. No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1.27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1.46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0.0009</w:t>
            </w:r>
          </w:p>
        </w:tc>
      </w:tr>
      <w:tr w:rsidR="00400B5F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Functional Status Dependent vs. Independent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3.25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2.30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4.60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&lt;0.0001</w:t>
            </w:r>
          </w:p>
        </w:tc>
      </w:tr>
      <w:tr w:rsidR="00400B5F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CHF Yes vs. No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2.31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1.33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3.99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0.003</w:t>
            </w:r>
          </w:p>
        </w:tc>
      </w:tr>
      <w:tr w:rsidR="00400B5F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Hypertensive Yes vs. No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1.15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1.30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0.03</w:t>
            </w:r>
          </w:p>
        </w:tc>
      </w:tr>
      <w:tr w:rsidR="00400B5F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Dialysis Yes vs. No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1.75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3.03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0.05</w:t>
            </w:r>
          </w:p>
        </w:tc>
      </w:tr>
      <w:tr w:rsidR="00400B5F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Wound Infection Yes vs. No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1.79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0.95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3.37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0.07</w:t>
            </w:r>
          </w:p>
        </w:tc>
      </w:tr>
      <w:tr w:rsidR="00400B5F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Steroids Yes vs. No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1.66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1.27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2.17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0.0002</w:t>
            </w:r>
          </w:p>
        </w:tc>
      </w:tr>
      <w:tr w:rsidR="00400B5F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Bleeding Disorder Yes vs. No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1.80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1.32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2.44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0.0002</w:t>
            </w:r>
          </w:p>
        </w:tc>
      </w:tr>
      <w:tr w:rsidR="00400B5F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Pre-Operative Sepsis Yes vs. No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3.77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2.35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6.05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&lt;0.0001</w:t>
            </w:r>
          </w:p>
        </w:tc>
      </w:tr>
      <w:tr w:rsidR="00400B5F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ASA Class ≥ 3 vs. 1-2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1.91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1.69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2.16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&lt;0.0001</w:t>
            </w:r>
          </w:p>
        </w:tc>
      </w:tr>
      <w:tr w:rsidR="00400B5F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ICD9 Cancer vs. Non-toxic Goiter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1.27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1.44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0.0001</w:t>
            </w:r>
          </w:p>
        </w:tc>
      </w:tr>
      <w:tr w:rsidR="00400B5F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ICD9 Benign Neoplasm vs. Non-toxic Goiter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0.80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1.30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0.85</w:t>
            </w:r>
          </w:p>
        </w:tc>
      </w:tr>
      <w:tr w:rsidR="00400B5F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ICD9 Thyrotoxicosis vs. Non-toxic Goiter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u w:val="single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0.96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1.34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0.14</w:t>
            </w:r>
          </w:p>
        </w:tc>
      </w:tr>
      <w:tr w:rsidR="00400B5F">
        <w:tc>
          <w:tcPr>
            <w:tcW w:w="1872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Outpatient vs. Inpatient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E8E8E8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&lt;0.0001</w:t>
            </w:r>
          </w:p>
        </w:tc>
      </w:tr>
    </w:tbl>
    <w:p w:rsidR="00400B5F" w:rsidRDefault="00400B5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400B5F" w:rsidRDefault="00400B5F">
      <w:pPr>
        <w:rPr>
          <w:rFonts w:ascii="Times New Roman" w:hAnsi="Times New Roman" w:cs="Times New Roman"/>
        </w:rPr>
      </w:pPr>
      <w:bookmarkStart w:id="0" w:name="_GoBack"/>
      <w:bookmarkEnd w:id="0"/>
    </w:p>
    <w:p w:rsidR="00400B5F" w:rsidRDefault="00400B5F">
      <w:pPr>
        <w:pStyle w:val="Body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ASA=American Society of Anesthesiology, BMI= Body Mass Index, CHF = Congestive Heart Failure, HTN=Hypertension, ICD=International classification of diseases</w:t>
      </w:r>
    </w:p>
    <w:p w:rsidR="00400B5F" w:rsidRDefault="00400B5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400B5F" w:rsidRDefault="00400B5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400B5F" w:rsidRDefault="00400B5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highlight w:val="yellow"/>
        </w:rPr>
        <w:t xml:space="preserve">Appendix Table 2. Sensitivity analysis of age as a risk factor for post-operative complications (Age </w:t>
      </w:r>
      <w:r>
        <w:rPr>
          <w:rStyle w:val="normaltextrun"/>
          <w:highlight w:val="yellow"/>
          <w:lang w:eastAsia="en-US"/>
        </w:rPr>
        <w:t>≥65)</w:t>
      </w:r>
      <w:r>
        <w:rPr>
          <w:highlight w:val="yellow"/>
        </w:rPr>
        <w:t xml:space="preserve"> </w:t>
      </w:r>
    </w:p>
    <w:tbl>
      <w:tblPr>
        <w:tblpPr w:leftFromText="180" w:rightFromText="180" w:vertAnchor="text" w:horzAnchor="margin" w:tblpY="611"/>
        <w:tblW w:w="7307" w:type="dxa"/>
        <w:tblBorders>
          <w:top w:val="single" w:sz="8" w:space="0" w:color="A5A5A5"/>
          <w:bottom w:val="single" w:sz="8" w:space="0" w:color="A5A5A5"/>
        </w:tblBorders>
        <w:tblLook w:val="0000"/>
      </w:tblPr>
      <w:tblGrid>
        <w:gridCol w:w="3966"/>
        <w:gridCol w:w="822"/>
        <w:gridCol w:w="759"/>
        <w:gridCol w:w="760"/>
        <w:gridCol w:w="1000"/>
      </w:tblGrid>
      <w:tr w:rsidR="00400B5F">
        <w:trPr>
          <w:cantSplit/>
          <w:trHeight w:val="472"/>
        </w:trPr>
        <w:tc>
          <w:tcPr>
            <w:tcW w:w="3966" w:type="dxa"/>
            <w:vMerge w:val="restart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D0CECE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  <w:t>Predictors*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D0CECE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  <w:t>Odds Ratio</w:t>
            </w:r>
          </w:p>
        </w:tc>
        <w:tc>
          <w:tcPr>
            <w:tcW w:w="1519" w:type="dxa"/>
            <w:gridSpan w:val="2"/>
            <w:vMerge w:val="restart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D0CECE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  <w:t>Confidence Limits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D0CECE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  <w:t>p-value</w:t>
            </w:r>
          </w:p>
        </w:tc>
      </w:tr>
      <w:tr w:rsidR="00400B5F">
        <w:trPr>
          <w:cantSplit/>
          <w:trHeight w:val="804"/>
        </w:trPr>
        <w:tc>
          <w:tcPr>
            <w:tcW w:w="39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00B5F">
        <w:trPr>
          <w:trHeight w:val="496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Age ≥65 vs. &lt;65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1.19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1.04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0.01</w:t>
            </w:r>
          </w:p>
        </w:tc>
      </w:tr>
      <w:tr w:rsidR="00400B5F">
        <w:trPr>
          <w:trHeight w:val="496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Male vs. Female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1.11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0.98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0.11</w:t>
            </w:r>
          </w:p>
        </w:tc>
      </w:tr>
      <w:tr w:rsidR="00400B5F">
        <w:trPr>
          <w:trHeight w:val="496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BMI ≥30 vs. &lt;30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1.11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0.99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0.07</w:t>
            </w:r>
          </w:p>
        </w:tc>
      </w:tr>
      <w:tr w:rsidR="00400B5F">
        <w:trPr>
          <w:trHeight w:val="496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Non-Caucasian vs. Caucasian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1.27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1.13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&lt;0.0001</w:t>
            </w:r>
          </w:p>
        </w:tc>
      </w:tr>
      <w:tr w:rsidR="00400B5F">
        <w:trPr>
          <w:trHeight w:val="496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Diabetic Yes vs. No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1.04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0.90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0.57</w:t>
            </w:r>
          </w:p>
        </w:tc>
      </w:tr>
      <w:tr w:rsidR="00400B5F">
        <w:trPr>
          <w:trHeight w:val="496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Smoker Yes vs. No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1.27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1.11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0.0008</w:t>
            </w:r>
          </w:p>
        </w:tc>
      </w:tr>
      <w:tr w:rsidR="00400B5F">
        <w:trPr>
          <w:trHeight w:val="496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Functional Status Dependent vs. Independent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3.22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2.28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4.56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&lt;0.0001</w:t>
            </w:r>
          </w:p>
        </w:tc>
      </w:tr>
      <w:tr w:rsidR="00400B5F">
        <w:trPr>
          <w:trHeight w:val="496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CHF Yes vs. No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2.31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1.34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4.00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0.003</w:t>
            </w:r>
          </w:p>
        </w:tc>
      </w:tr>
      <w:tr w:rsidR="00400B5F">
        <w:trPr>
          <w:trHeight w:val="496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Hypertensive Yes vs. No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1.15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0.03</w:t>
            </w:r>
          </w:p>
        </w:tc>
      </w:tr>
      <w:tr w:rsidR="00400B5F">
        <w:trPr>
          <w:trHeight w:val="496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Dialysis Yes vs. No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1.76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3.05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0.04</w:t>
            </w:r>
          </w:p>
        </w:tc>
      </w:tr>
      <w:tr w:rsidR="00400B5F">
        <w:trPr>
          <w:trHeight w:val="496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Wound Infection Yes vs. No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1.79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0.95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3.38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0.07</w:t>
            </w:r>
          </w:p>
        </w:tc>
      </w:tr>
      <w:tr w:rsidR="00400B5F">
        <w:trPr>
          <w:trHeight w:val="496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Steroids Yes vs. No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1.66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1.27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2.18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0.0002</w:t>
            </w:r>
          </w:p>
        </w:tc>
      </w:tr>
      <w:tr w:rsidR="00400B5F">
        <w:trPr>
          <w:trHeight w:val="496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Bleeding Disorder Yes vs. No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1.79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1.32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2.43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0.0002</w:t>
            </w:r>
          </w:p>
        </w:tc>
      </w:tr>
      <w:tr w:rsidR="00400B5F">
        <w:trPr>
          <w:trHeight w:val="496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Pre-Operative Sepsis Yes vs. No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3.73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2.33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5.99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&lt;0.0001</w:t>
            </w:r>
          </w:p>
        </w:tc>
      </w:tr>
      <w:tr w:rsidR="00400B5F">
        <w:trPr>
          <w:trHeight w:val="496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ASA Class ≥ 3 vs. 1-2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1.90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1.68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2.16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&lt;0.0001</w:t>
            </w:r>
          </w:p>
        </w:tc>
      </w:tr>
      <w:tr w:rsidR="00400B5F">
        <w:trPr>
          <w:trHeight w:val="496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ICD9 Cancer vs. Non-toxic Goiter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1.27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1.12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0.0001</w:t>
            </w:r>
          </w:p>
        </w:tc>
      </w:tr>
      <w:tr w:rsidR="00400B5F">
        <w:trPr>
          <w:trHeight w:val="496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ICD9 Benign Neoplasm vs. Non-toxic Goiter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1.02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0.80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0.8679</w:t>
            </w:r>
          </w:p>
        </w:tc>
      </w:tr>
      <w:tr w:rsidR="00400B5F">
        <w:trPr>
          <w:trHeight w:val="496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ICD9 Thyrotoxicosis vs. Non-toxic Goiter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1.13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0.96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1.34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0.15</w:t>
            </w:r>
          </w:p>
        </w:tc>
      </w:tr>
      <w:tr w:rsidR="00400B5F">
        <w:trPr>
          <w:trHeight w:val="472"/>
        </w:trPr>
        <w:tc>
          <w:tcPr>
            <w:tcW w:w="3966" w:type="dxa"/>
            <w:tcBorders>
              <w:top w:val="nil"/>
              <w:left w:val="nil"/>
              <w:bottom w:val="single" w:sz="8" w:space="0" w:color="A5A5A5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Outpatient vs. Inpatient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5A5A5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0.57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5A5A5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0.51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5A5A5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0.64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5A5A5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&lt;0.0001</w:t>
            </w:r>
          </w:p>
        </w:tc>
      </w:tr>
    </w:tbl>
    <w:p w:rsidR="00400B5F" w:rsidRDefault="00400B5F">
      <w:pPr>
        <w:rPr>
          <w:rFonts w:ascii="Cambria" w:hAnsi="Cambria" w:cs="Cambria"/>
        </w:rPr>
      </w:pPr>
      <w:r>
        <w:rPr>
          <w:rFonts w:ascii="Cambria" w:hAnsi="Cambria" w:cs="Cambria"/>
        </w:rPr>
        <w:br w:type="page"/>
      </w:r>
    </w:p>
    <w:p w:rsidR="00400B5F" w:rsidRDefault="00400B5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* ASA=American Society of Anesthesiology, BMI= Body Mass Index, CHF = Congestive Heart Failure, HTN=Hypertension, ICD=International classification of diseases</w:t>
      </w:r>
    </w:p>
    <w:p w:rsidR="00400B5F" w:rsidRDefault="00400B5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400B5F" w:rsidRDefault="00400B5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400B5F" w:rsidRDefault="00400B5F">
      <w:pPr>
        <w:rPr>
          <w:rFonts w:ascii="Cambria" w:hAnsi="Cambria" w:cs="Cambria"/>
        </w:rPr>
      </w:pPr>
    </w:p>
    <w:tbl>
      <w:tblPr>
        <w:tblpPr w:leftFromText="180" w:rightFromText="180" w:horzAnchor="margin" w:tblpY="1038"/>
        <w:tblW w:w="8449" w:type="dxa"/>
        <w:tblBorders>
          <w:top w:val="single" w:sz="8" w:space="0" w:color="A5A5A5"/>
          <w:bottom w:val="single" w:sz="8" w:space="0" w:color="A5A5A5"/>
        </w:tblBorders>
        <w:tblLook w:val="0000"/>
      </w:tblPr>
      <w:tblGrid>
        <w:gridCol w:w="4490"/>
        <w:gridCol w:w="930"/>
        <w:gridCol w:w="859"/>
        <w:gridCol w:w="859"/>
        <w:gridCol w:w="1311"/>
      </w:tblGrid>
      <w:tr w:rsidR="00400B5F">
        <w:trPr>
          <w:cantSplit/>
          <w:trHeight w:val="483"/>
        </w:trPr>
        <w:tc>
          <w:tcPr>
            <w:tcW w:w="4490" w:type="dxa"/>
            <w:vMerge w:val="restart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D0CECE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  <w:t>Predictors*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D0CECE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  <w:t>Odds Ratio</w:t>
            </w:r>
          </w:p>
        </w:tc>
        <w:tc>
          <w:tcPr>
            <w:tcW w:w="1718" w:type="dxa"/>
            <w:gridSpan w:val="2"/>
            <w:vMerge w:val="restart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D0CECE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val="en-CA" w:eastAsia="en-US"/>
              </w:rPr>
            </w:pPr>
            <w:r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val="en-CA" w:eastAsia="en-US"/>
              </w:rPr>
              <w:t>Confidence Limits</w:t>
            </w:r>
          </w:p>
        </w:tc>
        <w:tc>
          <w:tcPr>
            <w:tcW w:w="1311" w:type="dxa"/>
            <w:vMerge w:val="restart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D0CECE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jc w:val="center"/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val="en-CA" w:eastAsia="en-US"/>
              </w:rPr>
            </w:pPr>
            <w:r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eastAsia="en-US"/>
              </w:rPr>
              <w:t>p-value</w:t>
            </w:r>
          </w:p>
        </w:tc>
      </w:tr>
      <w:tr w:rsidR="00400B5F">
        <w:trPr>
          <w:cantSplit/>
          <w:trHeight w:val="507"/>
        </w:trPr>
        <w:tc>
          <w:tcPr>
            <w:tcW w:w="44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val="en-CA" w:eastAsia="en-US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val="en-CA" w:eastAsia="en-US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val="en-CA" w:eastAsia="en-US"/>
              </w:rPr>
            </w:pPr>
          </w:p>
        </w:tc>
        <w:tc>
          <w:tcPr>
            <w:tcW w:w="13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val="en-CA" w:eastAsia="en-US"/>
              </w:rPr>
            </w:pPr>
          </w:p>
        </w:tc>
      </w:tr>
      <w:tr w:rsidR="00400B5F">
        <w:trPr>
          <w:trHeight w:val="507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val="en-CA"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A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 xml:space="preserve">ge 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 xml:space="preserve">≥ 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75 vs. &lt;75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1.5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1.25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1.81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&lt;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.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0001</w:t>
            </w:r>
          </w:p>
        </w:tc>
      </w:tr>
      <w:tr w:rsidR="00400B5F">
        <w:trPr>
          <w:trHeight w:val="507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val="en-CA"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M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ale vs.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 xml:space="preserve"> F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emale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1.1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0.9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1.2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0.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10</w:t>
            </w:r>
          </w:p>
        </w:tc>
      </w:tr>
      <w:tr w:rsidR="00400B5F">
        <w:trPr>
          <w:trHeight w:val="507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val="en-CA"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BMI ≥30 vs. &lt;30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1.1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1.00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1.26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0.04</w:t>
            </w:r>
          </w:p>
        </w:tc>
      </w:tr>
      <w:tr w:rsidR="00400B5F">
        <w:trPr>
          <w:trHeight w:val="507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val="en-CA"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Non-Caucasian vs. Caucasian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1.2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1.13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1.43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&lt;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.000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</w:t>
            </w:r>
          </w:p>
        </w:tc>
      </w:tr>
      <w:tr w:rsidR="00400B5F">
        <w:trPr>
          <w:trHeight w:val="507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val="en-CA"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Diabetic Yes vs. No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1.05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0.91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1.22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0.4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8</w:t>
            </w:r>
          </w:p>
        </w:tc>
      </w:tr>
      <w:tr w:rsidR="00400B5F">
        <w:trPr>
          <w:trHeight w:val="507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val="en-CA"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Smoker Yes vs. No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1.28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1.11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1.47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0.0005</w:t>
            </w:r>
          </w:p>
        </w:tc>
      </w:tr>
      <w:tr w:rsidR="00400B5F">
        <w:trPr>
          <w:trHeight w:val="507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val="en-CA"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Functional Status Dependent vs. Independent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3.0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2.1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4.3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&lt;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.0001</w:t>
            </w:r>
          </w:p>
        </w:tc>
      </w:tr>
      <w:tr w:rsidR="00400B5F">
        <w:trPr>
          <w:trHeight w:val="507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val="en-CA"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CHF Yes vs. No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2.2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1.3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3.93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0.0032</w:t>
            </w:r>
          </w:p>
        </w:tc>
      </w:tr>
      <w:tr w:rsidR="00400B5F">
        <w:trPr>
          <w:trHeight w:val="507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val="en-CA"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Hypertensive Yes vs. No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1.15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1.0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1.30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0.0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3</w:t>
            </w:r>
          </w:p>
        </w:tc>
      </w:tr>
      <w:tr w:rsidR="00400B5F">
        <w:trPr>
          <w:trHeight w:val="507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val="en-CA"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Dialysis Yes vs. No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1.79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1.03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3.1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0.0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4</w:t>
            </w:r>
          </w:p>
        </w:tc>
      </w:tr>
      <w:tr w:rsidR="00400B5F">
        <w:trPr>
          <w:trHeight w:val="507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val="en-CA"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Wound Infection Yes vs. No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1.81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0.96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3.4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0.0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7</w:t>
            </w:r>
          </w:p>
        </w:tc>
      </w:tr>
      <w:tr w:rsidR="00400B5F">
        <w:trPr>
          <w:trHeight w:val="507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val="en-CA"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Steroids Yes vs. No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1.66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1.27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2.1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0.0002</w:t>
            </w:r>
          </w:p>
        </w:tc>
      </w:tr>
      <w:tr w:rsidR="00400B5F">
        <w:trPr>
          <w:trHeight w:val="507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val="en-CA"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 xml:space="preserve"> Bleeding Disorder Yes vs. No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1.7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1.3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2.41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0.0002</w:t>
            </w:r>
          </w:p>
        </w:tc>
      </w:tr>
      <w:tr w:rsidR="00400B5F">
        <w:trPr>
          <w:trHeight w:val="507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val="en-CA"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Pre-Operative Sepsis Yes vs. No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3.6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2.2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5.86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&lt;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.0001</w:t>
            </w:r>
          </w:p>
        </w:tc>
      </w:tr>
      <w:tr w:rsidR="00400B5F">
        <w:trPr>
          <w:trHeight w:val="507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val="en-CA"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ASA Class ≥ 3 vs. 1-2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1.8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1.6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2.1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&lt;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.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0001</w:t>
            </w:r>
          </w:p>
        </w:tc>
      </w:tr>
      <w:tr w:rsidR="00400B5F">
        <w:trPr>
          <w:trHeight w:val="507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val="en-CA"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ICD9 Cancer vs. Non-toxic Goiter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1.2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1.12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1.4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0.0002</w:t>
            </w:r>
          </w:p>
        </w:tc>
      </w:tr>
      <w:tr w:rsidR="00400B5F">
        <w:trPr>
          <w:trHeight w:val="507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val="en-CA"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ICD9 Benign Neoplasm vs. Non-toxic Goiter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1.0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0.80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1.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0.8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8</w:t>
            </w:r>
          </w:p>
        </w:tc>
      </w:tr>
      <w:tr w:rsidR="00400B5F">
        <w:trPr>
          <w:trHeight w:val="507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val="en-CA"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ICD9 Thyrotoxicosis vs. Non-toxic Goiter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1.13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0.9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1.3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0.1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5</w:t>
            </w:r>
          </w:p>
        </w:tc>
      </w:tr>
      <w:tr w:rsidR="00400B5F">
        <w:trPr>
          <w:trHeight w:val="483"/>
        </w:trPr>
        <w:tc>
          <w:tcPr>
            <w:tcW w:w="4490" w:type="dxa"/>
            <w:tcBorders>
              <w:top w:val="nil"/>
              <w:left w:val="nil"/>
              <w:bottom w:val="single" w:sz="8" w:space="0" w:color="A5A5A5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b/>
                <w:bCs/>
                <w:sz w:val="22"/>
                <w:szCs w:val="22"/>
                <w:highlight w:val="yellow"/>
                <w:lang w:val="en-CA"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Outpatient vs. Inpatient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5A5A5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0.57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5A5A5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0.51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5A5A5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0.6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5A5A5"/>
              <w:right w:val="nil"/>
            </w:tcBorders>
            <w:noWrap/>
          </w:tcPr>
          <w:p w:rsidR="00400B5F" w:rsidRDefault="0040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020"/>
              </w:tabs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</w:pP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&lt;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eastAsia="en-US"/>
              </w:rPr>
              <w:t>0</w:t>
            </w:r>
            <w:r>
              <w:rPr>
                <w:rStyle w:val="normaltextrun"/>
                <w:rFonts w:ascii="Cambria" w:hAnsi="Cambria" w:cs="Cambria"/>
                <w:sz w:val="22"/>
                <w:szCs w:val="22"/>
                <w:highlight w:val="yellow"/>
                <w:lang w:val="en-CA" w:eastAsia="en-US"/>
              </w:rPr>
              <w:t>.0001</w:t>
            </w:r>
          </w:p>
        </w:tc>
      </w:tr>
    </w:tbl>
    <w:p w:rsidR="00400B5F" w:rsidRDefault="00400B5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highlight w:val="yellow"/>
        </w:rPr>
        <w:t xml:space="preserve">Appendix Table 3. Sensitivity analysis of age as a risk factor for post-operative complications (Age </w:t>
      </w:r>
      <w:r>
        <w:rPr>
          <w:rStyle w:val="normaltextrun"/>
          <w:highlight w:val="yellow"/>
          <w:lang w:eastAsia="en-US"/>
        </w:rPr>
        <w:t>≥75)</w:t>
      </w:r>
      <w:r>
        <w:rPr>
          <w:highlight w:val="yellow"/>
        </w:rPr>
        <w:t xml:space="preserve"> </w:t>
      </w:r>
    </w:p>
    <w:p w:rsidR="00400B5F" w:rsidRDefault="00400B5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400B5F" w:rsidRDefault="00400B5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400B5F" w:rsidRDefault="00400B5F">
      <w:pPr>
        <w:rPr>
          <w:rFonts w:ascii="Cambria" w:hAnsi="Cambria" w:cs="Cambria"/>
        </w:rPr>
      </w:pPr>
    </w:p>
    <w:p w:rsidR="00400B5F" w:rsidRDefault="00400B5F">
      <w:pPr>
        <w:rPr>
          <w:rFonts w:ascii="Cambria" w:hAnsi="Cambria" w:cs="Cambria"/>
        </w:rPr>
      </w:pPr>
    </w:p>
    <w:p w:rsidR="00400B5F" w:rsidRDefault="00400B5F">
      <w:pPr>
        <w:rPr>
          <w:rFonts w:ascii="Cambria" w:hAnsi="Cambria" w:cs="Cambria"/>
        </w:rPr>
      </w:pPr>
    </w:p>
    <w:p w:rsidR="00400B5F" w:rsidRDefault="00400B5F">
      <w:pPr>
        <w:rPr>
          <w:rFonts w:ascii="Cambria" w:hAnsi="Cambria" w:cs="Cambria"/>
        </w:rPr>
      </w:pPr>
    </w:p>
    <w:p w:rsidR="00400B5F" w:rsidRDefault="00400B5F">
      <w:pPr>
        <w:rPr>
          <w:rFonts w:ascii="Cambria" w:hAnsi="Cambria" w:cs="Cambria"/>
        </w:rPr>
      </w:pPr>
    </w:p>
    <w:p w:rsidR="00400B5F" w:rsidRDefault="00400B5F">
      <w:pPr>
        <w:rPr>
          <w:rFonts w:ascii="Cambria" w:hAnsi="Cambria" w:cs="Cambria"/>
        </w:rPr>
      </w:pPr>
    </w:p>
    <w:p w:rsidR="00400B5F" w:rsidRDefault="00400B5F">
      <w:pPr>
        <w:rPr>
          <w:rFonts w:ascii="Cambria" w:hAnsi="Cambria" w:cs="Cambria"/>
        </w:rPr>
      </w:pPr>
    </w:p>
    <w:p w:rsidR="00400B5F" w:rsidRDefault="00400B5F">
      <w:pPr>
        <w:rPr>
          <w:rFonts w:ascii="Cambria" w:hAnsi="Cambria" w:cs="Cambria"/>
        </w:rPr>
      </w:pPr>
    </w:p>
    <w:p w:rsidR="00400B5F" w:rsidRDefault="00400B5F">
      <w:pPr>
        <w:rPr>
          <w:rFonts w:ascii="Cambria" w:hAnsi="Cambria" w:cs="Cambria"/>
        </w:rPr>
      </w:pPr>
    </w:p>
    <w:p w:rsidR="00400B5F" w:rsidRDefault="00400B5F">
      <w:pPr>
        <w:rPr>
          <w:rFonts w:ascii="Cambria" w:hAnsi="Cambria" w:cs="Cambria"/>
        </w:rPr>
      </w:pPr>
    </w:p>
    <w:p w:rsidR="00400B5F" w:rsidRDefault="00400B5F">
      <w:pPr>
        <w:rPr>
          <w:rFonts w:ascii="Cambria" w:hAnsi="Cambria" w:cs="Cambria"/>
        </w:rPr>
      </w:pPr>
    </w:p>
    <w:p w:rsidR="00400B5F" w:rsidRDefault="00400B5F">
      <w:pPr>
        <w:rPr>
          <w:rFonts w:ascii="Cambria" w:hAnsi="Cambria" w:cs="Cambria"/>
        </w:rPr>
      </w:pPr>
    </w:p>
    <w:p w:rsidR="00400B5F" w:rsidRDefault="00400B5F">
      <w:pPr>
        <w:rPr>
          <w:rFonts w:ascii="Cambria" w:hAnsi="Cambria" w:cs="Cambria"/>
        </w:rPr>
      </w:pPr>
    </w:p>
    <w:p w:rsidR="00400B5F" w:rsidRDefault="00400B5F">
      <w:pPr>
        <w:rPr>
          <w:rFonts w:ascii="Cambria" w:hAnsi="Cambria" w:cs="Cambria"/>
        </w:rPr>
      </w:pPr>
    </w:p>
    <w:p w:rsidR="00400B5F" w:rsidRDefault="00400B5F">
      <w:pPr>
        <w:rPr>
          <w:rFonts w:ascii="Cambria" w:hAnsi="Cambria" w:cs="Cambria"/>
        </w:rPr>
      </w:pPr>
    </w:p>
    <w:p w:rsidR="00400B5F" w:rsidRDefault="00400B5F">
      <w:pPr>
        <w:rPr>
          <w:rFonts w:ascii="Cambria" w:hAnsi="Cambria" w:cs="Cambria"/>
        </w:rPr>
      </w:pPr>
    </w:p>
    <w:p w:rsidR="00400B5F" w:rsidRDefault="00400B5F">
      <w:pPr>
        <w:rPr>
          <w:rFonts w:ascii="Cambria" w:hAnsi="Cambria" w:cs="Cambria"/>
        </w:rPr>
      </w:pPr>
    </w:p>
    <w:p w:rsidR="00400B5F" w:rsidRDefault="00400B5F">
      <w:pPr>
        <w:rPr>
          <w:rFonts w:ascii="Cambria" w:hAnsi="Cambria" w:cs="Cambria"/>
        </w:rPr>
      </w:pPr>
    </w:p>
    <w:p w:rsidR="00400B5F" w:rsidRDefault="00400B5F">
      <w:pPr>
        <w:rPr>
          <w:rFonts w:ascii="Cambria" w:hAnsi="Cambria" w:cs="Cambria"/>
        </w:rPr>
      </w:pPr>
    </w:p>
    <w:p w:rsidR="00400B5F" w:rsidRDefault="00400B5F">
      <w:pPr>
        <w:rPr>
          <w:rFonts w:ascii="Cambria" w:hAnsi="Cambria" w:cs="Cambria"/>
        </w:rPr>
      </w:pPr>
    </w:p>
    <w:p w:rsidR="00400B5F" w:rsidRDefault="00400B5F">
      <w:pPr>
        <w:rPr>
          <w:rFonts w:ascii="Cambria" w:hAnsi="Cambria" w:cs="Cambria"/>
        </w:rPr>
      </w:pPr>
    </w:p>
    <w:p w:rsidR="00400B5F" w:rsidRDefault="00400B5F">
      <w:pPr>
        <w:rPr>
          <w:rFonts w:ascii="Cambria" w:hAnsi="Cambria" w:cs="Cambria"/>
        </w:rPr>
      </w:pPr>
    </w:p>
    <w:p w:rsidR="00400B5F" w:rsidRDefault="00400B5F">
      <w:pPr>
        <w:rPr>
          <w:rFonts w:ascii="Cambria" w:hAnsi="Cambria" w:cs="Cambria"/>
        </w:rPr>
      </w:pPr>
    </w:p>
    <w:p w:rsidR="00400B5F" w:rsidRDefault="00400B5F">
      <w:pPr>
        <w:rPr>
          <w:rFonts w:ascii="Cambria" w:hAnsi="Cambria" w:cs="Cambria"/>
        </w:rPr>
      </w:pPr>
    </w:p>
    <w:p w:rsidR="00400B5F" w:rsidRDefault="00400B5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* ASA=American Society of Anesthesiology, BMI= Body Mass Index, CHF = Congestive Heart Failure, HTN=Hypertension, ICD=International classification of diseases</w:t>
      </w:r>
    </w:p>
    <w:p w:rsidR="00400B5F" w:rsidRDefault="00400B5F">
      <w:pPr>
        <w:rPr>
          <w:rFonts w:ascii="Cambria" w:hAnsi="Cambria" w:cs="Cambria"/>
        </w:rPr>
      </w:pPr>
    </w:p>
    <w:p w:rsidR="00400B5F" w:rsidRDefault="00400B5F">
      <w:pPr>
        <w:rPr>
          <w:rFonts w:ascii="Times New Roman" w:hAnsi="Times New Roman" w:cs="Times New Roman"/>
        </w:rPr>
      </w:pPr>
    </w:p>
    <w:p w:rsidR="00400B5F" w:rsidRDefault="00400B5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sectPr w:rsidR="00400B5F" w:rsidSect="00400B5F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81C70"/>
    <w:multiLevelType w:val="hybridMultilevel"/>
    <w:tmpl w:val="5D842C8A"/>
    <w:lvl w:ilvl="0" w:tplc="AC3019C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B5F"/>
    <w:rsid w:val="0040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uiPriority w:val="9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Cambria" w:hAnsi="Cambria" w:cs="Cambria"/>
      <w:color w:val="000000"/>
      <w:sz w:val="24"/>
      <w:szCs w:val="24"/>
      <w:u w:color="000000"/>
    </w:rPr>
  </w:style>
  <w:style w:type="character" w:customStyle="1" w:styleId="normaltextrun">
    <w:name w:val="normaltextrun"/>
    <w:uiPriority w:val="99"/>
    <w:rPr>
      <w:lang w:val="en-US"/>
    </w:rPr>
  </w:style>
  <w:style w:type="paragraph" w:customStyle="1" w:styleId="Body">
    <w:name w:val="Body"/>
    <w:uiPriority w:val="9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Times New Roman" w:hAnsi="Times New Roman" w:cs="Times New Roman"/>
      <w:color w:val="000000"/>
      <w:sz w:val="24"/>
      <w:szCs w:val="24"/>
      <w:u w:color="000000"/>
      <w:lang w:val="en-CA"/>
    </w:rPr>
  </w:style>
  <w:style w:type="paragraph" w:customStyle="1" w:styleId="Default">
    <w:name w:val="Default"/>
    <w:uiPriority w:val="9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Helvetica" w:hAnsi="Helvetica" w:cs="Helvetica"/>
      <w:color w:val="000000"/>
      <w:u w:color="000000"/>
    </w:rPr>
  </w:style>
  <w:style w:type="character" w:customStyle="1" w:styleId="BodyAChar">
    <w:name w:val="Body A Char"/>
    <w:basedOn w:val="DefaultParagraphFont"/>
    <w:uiPriority w:val="99"/>
    <w:rPr>
      <w:rFonts w:ascii="Cambria" w:eastAsia="Times New Roman" w:hAnsi="Cambria" w:cs="Cambria"/>
      <w:color w:val="000000"/>
      <w:sz w:val="24"/>
      <w:szCs w:val="24"/>
      <w:u w:color="00000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541</Words>
  <Characters>3088</Characters>
  <Application>Microsoft Office Outlook</Application>
  <DocSecurity>0</DocSecurity>
  <Lines>0</Lines>
  <Paragraphs>0</Paragraphs>
  <ScaleCrop>false</ScaleCrop>
  <Company>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Cee</dc:creator>
  <cp:keywords/>
  <dc:description/>
  <cp:lastModifiedBy>TEESLWW</cp:lastModifiedBy>
  <cp:revision>3</cp:revision>
  <dcterms:created xsi:type="dcterms:W3CDTF">2016-11-23T12:47:00Z</dcterms:created>
  <dcterms:modified xsi:type="dcterms:W3CDTF">2017-01-16T05:51:00Z</dcterms:modified>
</cp:coreProperties>
</file>